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ToS Corpus &amp; Rights Registry</w:t>
      </w:r>
    </w:p>
    <w:p>
      <w:pPr>
        <w:pStyle w:val="Subtitle"/>
      </w:pPr>
      <w:r>
        <w:t>T2-41 · Санскритская космопольная книжность</w:t>
        <w:br/>
        <w:t>Юго-Восточной Азии</w:t>
      </w:r>
    </w:p>
    <w:p>
      <w:pPr>
        <w:widowControl/>
      </w:pPr>
      <w:r>
        <w:t>Исследовательский отчёт к реестру доступа и прав · 4 сентября 2026 года</w:t>
      </w:r>
    </w:p>
    <w:tbl>
      <w:tblPr>
        <w:tblW w:type="auto" w:w="0"/>
        <w:tblLayout w:type="fixed"/>
        <w:tblLook w:firstColumn="1" w:firstRow="1" w:lastColumn="0" w:lastRow="0" w:noHBand="0" w:noVBand="1" w:val="04A0"/>
      </w:tblPr>
      <w:tblGrid>
        <w:gridCol w:w="3213"/>
        <w:gridCol w:w="3213"/>
        <w:gridCol w:w="3213"/>
      </w:tblGrid>
      <w:tr>
        <w:tc>
          <w:tcPr>
            <w:tcW w:type="dxa" w:w="3213"/>
            <w:shd w:fill="EAF2F5"/>
          </w:tcPr>
          <w:p>
            <w:pPr>
              <w:spacing w:after="120" w:before="120"/>
            </w:pPr>
            <w:r>
              <w:rPr>
                <w:b/>
                <w:color w:val="164655"/>
                <w:sz w:val="18"/>
              </w:rPr>
              <w:t>90 маршрутов</w:t>
            </w:r>
          </w:p>
        </w:tc>
        <w:tc>
          <w:tcPr>
            <w:tcW w:type="dxa" w:w="3213"/>
            <w:shd w:fill="EAF2F5"/>
          </w:tcPr>
          <w:p>
            <w:pPr>
              <w:spacing w:after="120" w:before="120"/>
            </w:pPr>
            <w:r>
              <w:rPr>
                <w:b/>
                <w:color w:val="164655"/>
                <w:sz w:val="18"/>
              </w:rPr>
              <w:t>38 пробелов</w:t>
            </w:r>
          </w:p>
        </w:tc>
        <w:tc>
          <w:tcPr>
            <w:tcW w:type="dxa" w:w="3213"/>
            <w:shd w:fill="EAF2F5"/>
          </w:tcPr>
          <w:p>
            <w:pPr>
              <w:spacing w:after="120" w:before="120"/>
            </w:pPr>
            <w:r>
              <w:rPr>
                <w:b/>
                <w:color w:val="164655"/>
                <w:sz w:val="18"/>
              </w:rPr>
              <w:t>Статус B сохранён</w:t>
            </w:r>
          </w:p>
        </w:tc>
      </w:tr>
      <w:tr>
        <w:tc>
          <w:tcPr>
            <w:tcW w:type="dxa" w:w="3213"/>
            <w:shd w:fill="EAF2F5"/>
          </w:tcPr>
          <w:p>
            <w:pPr>
              <w:spacing w:after="120" w:before="120"/>
            </w:pPr>
            <w:r>
              <w:rPr>
                <w:color w:val="164655"/>
                <w:sz w:val="18"/>
              </w:rPr>
              <w:t>32 поля в основном реестре</w:t>
            </w:r>
          </w:p>
        </w:tc>
        <w:tc>
          <w:tcPr>
            <w:tcW w:type="dxa" w:w="3213"/>
            <w:shd w:fill="EAF2F5"/>
          </w:tcPr>
          <w:p>
            <w:pPr>
              <w:spacing w:after="120" w:before="120"/>
            </w:pPr>
            <w:r>
              <w:rPr>
                <w:color w:val="164655"/>
                <w:sz w:val="18"/>
              </w:rPr>
              <w:t>Конкретные объекты и проверки</w:t>
            </w:r>
          </w:p>
        </w:tc>
        <w:tc>
          <w:tcPr>
            <w:tcW w:type="dxa" w:w="3213"/>
            <w:shd w:fill="EAF2F5"/>
          </w:tcPr>
          <w:p>
            <w:pPr>
              <w:spacing w:after="120" w:before="120"/>
            </w:pPr>
            <w:r>
              <w:rPr>
                <w:color w:val="164655"/>
                <w:sz w:val="18"/>
              </w:rPr>
              <w:t>Исторические границы не изменены</w:t>
            </w:r>
          </w:p>
        </w:tc>
      </w:tr>
    </w:tbl>
    <w:p>
      <w:pPr>
        <w:pStyle w:val="Heading1"/>
      </w:pPr>
      <w:r>
        <w:t>1. Паспорт</w:t>
      </w:r>
    </w:p>
    <w:p>
      <w:pPr>
        <w:widowControl/>
      </w:pPr>
      <w:r>
        <w:rPr>
          <w:b/>
        </w:rPr>
        <w:t xml:space="preserve">Мастер-строка. </w:t>
      </w:r>
      <w:r>
        <w:t>T2-41; исходный статус B, исходная уверенность 4/5. Формирование — V–XIII вв.; письменная фиксация — V–XV вв.; канонизация/комментарий — IX–XV вв. Эти параметры взяты из приложенного DR и не изменены. Поздняя копия, современная редакция или новый способ доступа не сдвигают историческую строку.</w:t>
      </w:r>
    </w:p>
    <w:p>
      <w:pPr>
        <w:widowControl/>
      </w:pPr>
      <w:r>
        <w:rPr>
          <w:b/>
        </w:rPr>
        <w:t xml:space="preserve">Исходный документ. </w:t>
      </w:r>
      <w:r>
        <w:t>«ToS Deep Research_ T2-41 — Санскритская космопольная книжность Юго-Восточной Азии(1).docx». Для инвентаризации использованы прежде всего разделы 6 и 16, для расширения — разделы о трансмиссиях и поздней сохранности. Графовые предложения и машинные черновики DR не выполнялись.</w:t>
      </w:r>
    </w:p>
    <w:p>
      <w:pPr>
        <w:widowControl/>
      </w:pPr>
      <w:r>
        <w:rPr>
          <w:b/>
        </w:rPr>
        <w:t xml:space="preserve">Ядро. </w:t>
      </w:r>
      <w:r>
        <w:t>Кхмерская санскритская и двуязычная эпиграфика; санскритские и смешанные надписи Явы; санскритско-старочамский корпус Campā; балийские надписи и явано-балийская рукописная передача. Главными объектами служили тексты, конкретные редакции и переводы, физические свидетели, цифровые транскрипции, факсимиле и корпусные пакеты.</w:t>
      </w:r>
    </w:p>
    <w:p>
      <w:pPr>
        <w:widowControl/>
      </w:pPr>
      <w:r>
        <w:rPr>
          <w:b/>
        </w:rPr>
        <w:t xml:space="preserve">Поиск. </w:t>
      </w:r>
      <w:r>
        <w:t>Запросы выполнялись по-русски, по-английски, по-французски и по-индонезийски, с нидерландскими библиографическими названиями, вьетнамскими именами памятников и санскритской транслитерацией. Проверялись K- и C-номера, названия XML, рукописные шифры, ISBN и DOI. Грамматика, эпос и тантрические тексты включались только при конкретной связи с эпиграфикой или рукописной семьёй.</w:t>
      </w:r>
    </w:p>
    <w:p>
      <w:pPr>
        <w:widowControl/>
      </w:pPr>
      <w:r>
        <w:rPr>
          <w:b/>
        </w:rPr>
        <w:t xml:space="preserve">Качество доказательств. </w:t>
      </w:r>
      <w:r>
        <w:t>Доступ проверялся через DHARMA/CIK/CIC, университетские и национальные библиотеки, музейные страницы, авторизованные репозитории и издательства. Идентификация опирается на издания, TEI-заголовки, музейные номера и каталоги. Права — на item-level availability/licence, официальные LICENSE/README и условия владельцев; старый год издания сам по себе не принят как всемирное разрешение.</w:t>
      </w:r>
    </w:p>
    <w:p>
      <w:pPr>
        <w:widowControl/>
      </w:pPr>
      <w:r>
        <w:rPr>
          <w:b/>
        </w:rPr>
        <w:t xml:space="preserve">Ограничения проверки. </w:t>
      </w:r>
      <w:r>
        <w:t>«Проверено» означает, что открыт указанный слой: текст страницы, XML, каталог либо PDF. Оно не означает скачивание всех файлов, просмотр каждой рукописи, проверку всех юрисдикций или очистку прав всех вложенных компонентов. Тайм-ауты, страницы без доступного просмотрщика и расхождения записаны отдельно. Покупки, регистрация, запросы владельцам и публикация не выполнялись.</w:t>
      </w:r>
    </w:p>
    <w:p>
      <w:pPr>
        <w:widowControl/>
      </w:pPr>
      <w:r>
        <w:t>Wikipedia в итоговых ссылках не используется. Отдельные слабые навигационные кандидаты не стали установленными объектами: например, музейный номер Kelurak требует подтверждения, хотя сама публикация Bosch подтверждена библиографией Kalasan. Такие случаи обозначены unverified_candidate на листе gaps.</w:t>
      </w:r>
      <w:r>
        <w:t xml:space="preserve">  </w:t>
      </w:r>
      <w:hyperlink r:id="rId11">
        <w:r>
          <w:rPr>
            <w:color w:val="17627A"/>
            <w:sz w:val="17"/>
          </w:rPr>
          <w:t>R004</w:t>
        </w:r>
      </w:hyperlink>
    </w:p>
    <w:p>
      <w:pPr>
        <w:pStyle w:val="Heading1"/>
      </w:pPr>
      <w:r>
        <w:t>2. Охват корпуса</w:t>
      </w:r>
    </w:p>
    <w:p>
      <w:pPr>
        <w:pStyle w:val="Heading2"/>
      </w:pPr>
      <w:r>
        <w:t>Что извлечено из DR</w:t>
      </w:r>
    </w:p>
    <w:p>
      <w:pPr>
        <w:widowControl/>
      </w:pPr>
      <w:r>
        <w:t>Все основные именованные якоря DR получили маршрут либо маршрут с явным ограничением полноты: C.41; K.5 и K.40; Canggal, Kalasan, Mañjuśrīgr̥ha, Hampran и Wukiran/Pereng; K.528, K.575, K.235 и K.908; C.66, C.80 и C.20; Blanjong; Dharma Pātañjala и Bhuvanakośa. Для группы индонезийских mantra/dhāraṇī сохранён вход в публикацию Griffiths, но инвентарь всех десяти памятников не раскрыт. Для Blanjong имеется музейно-туристическая карточка, для Bhuvanakośa — один лонтар: ни один из этих входов не назван полным критическим корпусом.</w:t>
      </w:r>
      <w:r>
        <w:t xml:space="preserve">  </w:t>
      </w:r>
      <w:hyperlink r:id="rId12">
        <w:r>
          <w:rPr>
            <w:color w:val="17627A"/>
            <w:sz w:val="17"/>
          </w:rPr>
          <w:t>R001</w:t>
        </w:r>
      </w:hyperlink>
      <w:r>
        <w:t xml:space="preserve"> · </w:t>
      </w:r>
      <w:hyperlink r:id="rId11">
        <w:r>
          <w:rPr>
            <w:color w:val="17627A"/>
            <w:sz w:val="17"/>
          </w:rPr>
          <w:t>R004</w:t>
        </w:r>
      </w:hyperlink>
      <w:r>
        <w:t xml:space="preserve"> · </w:t>
      </w:r>
      <w:hyperlink r:id="rId13">
        <w:r>
          <w:rPr>
            <w:color w:val="17627A"/>
            <w:sz w:val="17"/>
          </w:rPr>
          <w:t>R009</w:t>
        </w:r>
      </w:hyperlink>
      <w:r>
        <w:t xml:space="preserve"> · </w:t>
      </w:r>
      <w:hyperlink r:id="rId14">
        <w:r>
          <w:rPr>
            <w:color w:val="17627A"/>
            <w:sz w:val="17"/>
          </w:rPr>
          <w:t>R016</w:t>
        </w:r>
      </w:hyperlink>
      <w:r>
        <w:t xml:space="preserve"> · </w:t>
      </w:r>
      <w:hyperlink r:id="rId15">
        <w:r>
          <w:rPr>
            <w:color w:val="17627A"/>
            <w:sz w:val="17"/>
          </w:rPr>
          <w:t>R021</w:t>
        </w:r>
      </w:hyperlink>
      <w:r>
        <w:t xml:space="preserve"> · </w:t>
      </w:r>
      <w:hyperlink r:id="rId16">
        <w:r>
          <w:rPr>
            <w:color w:val="17627A"/>
            <w:sz w:val="17"/>
          </w:rPr>
          <w:t>R037</w:t>
        </w:r>
      </w:hyperlink>
      <w:r>
        <w:t xml:space="preserve"> · </w:t>
      </w:r>
      <w:hyperlink r:id="rId17">
        <w:r>
          <w:rPr>
            <w:color w:val="17627A"/>
            <w:sz w:val="17"/>
          </w:rPr>
          <w:t>R049</w:t>
        </w:r>
      </w:hyperlink>
    </w:p>
    <w:p>
      <w:pPr>
        <w:widowControl/>
      </w:pPr>
      <w:r>
        <w:t>Крупные издания из DR также не потеряны: Goodall по Восточному Мебону доступен через издателя; Sarkar — пока через каталог; Damais — через официальную страницу печатного собрания. DHARMA, CIK, CIC, SIDDHAM, ANU/HKS и HMML/DREAMSEA учтены как инфраструктура, а не как дополнительные древние произведения.</w:t>
      </w:r>
      <w:r>
        <w:t xml:space="preserve">  </w:t>
      </w:r>
      <w:hyperlink r:id="rId18">
        <w:r>
          <w:rPr>
            <w:color w:val="17627A"/>
            <w:sz w:val="17"/>
          </w:rPr>
          <w:t>R020</w:t>
        </w:r>
      </w:hyperlink>
      <w:r>
        <w:t xml:space="preserve"> · </w:t>
      </w:r>
      <w:hyperlink r:id="rId19">
        <w:r>
          <w:rPr>
            <w:color w:val="17627A"/>
            <w:sz w:val="17"/>
          </w:rPr>
          <w:t>R050</w:t>
        </w:r>
      </w:hyperlink>
      <w:r>
        <w:t xml:space="preserve"> · </w:t>
      </w:r>
      <w:hyperlink r:id="rId20">
        <w:r>
          <w:rPr>
            <w:color w:val="17627A"/>
            <w:sz w:val="17"/>
          </w:rPr>
          <w:t>R055</w:t>
        </w:r>
      </w:hyperlink>
      <w:r>
        <w:t xml:space="preserve"> · </w:t>
      </w:r>
      <w:hyperlink r:id="rId21">
        <w:r>
          <w:rPr>
            <w:color w:val="17627A"/>
            <w:sz w:val="17"/>
          </w:rPr>
          <w:t>R072</w:t>
        </w:r>
      </w:hyperlink>
      <w:r>
        <w:t xml:space="preserve"> · </w:t>
      </w:r>
      <w:hyperlink r:id="rId22">
        <w:r>
          <w:rPr>
            <w:color w:val="17627A"/>
            <w:sz w:val="17"/>
          </w:rPr>
          <w:t>R077</w:t>
        </w:r>
      </w:hyperlink>
      <w:r>
        <w:t xml:space="preserve"> · </w:t>
      </w:r>
      <w:hyperlink r:id="rId23">
        <w:r>
          <w:rPr>
            <w:color w:val="17627A"/>
            <w:sz w:val="17"/>
          </w:rPr>
          <w:t>R078</w:t>
        </w:r>
      </w:hyperlink>
      <w:r>
        <w:t xml:space="preserve"> · </w:t>
      </w:r>
      <w:hyperlink r:id="rId24">
        <w:r>
          <w:rPr>
            <w:color w:val="17627A"/>
            <w:sz w:val="17"/>
          </w:rPr>
          <w:t>R079</w:t>
        </w:r>
      </w:hyperlink>
      <w:r>
        <w:t xml:space="preserve"> · </w:t>
      </w:r>
      <w:hyperlink r:id="rId25">
        <w:r>
          <w:rPr>
            <w:color w:val="17627A"/>
            <w:sz w:val="17"/>
          </w:rPr>
          <w:t>R080</w:t>
        </w:r>
      </w:hyperlink>
      <w:r>
        <w:t xml:space="preserve"> · </w:t>
      </w:r>
      <w:hyperlink r:id="rId26">
        <w:r>
          <w:rPr>
            <w:color w:val="17627A"/>
            <w:sz w:val="17"/>
          </w:rPr>
          <w:t>R081</w:t>
        </w:r>
      </w:hyperlink>
    </w:p>
    <w:p>
      <w:pPr>
        <w:pStyle w:val="Heading2"/>
      </w:pPr>
      <w:r>
        <w:t>Добавленные прямые члены корпуса</w:t>
      </w:r>
    </w:p>
    <w:p>
      <w:pPr>
        <w:widowControl/>
      </w:pPr>
      <w:r>
        <w:t>В кхмерском блоке добавлены K.273 Ta Prohm, K.842 Banteay Srei, K.713 Preah Ko, K.447 Baset, госпитальная K.12, K.574 Jāhnavī и новое издание K.1457. Это члены той же храмовой и дарственной эпиграфической традиции. K.842 принципиально отлична от краткой K.575, а K.713 — от памятников Pre Rup. Различение инвентарей важнее сходства географических названий.</w:t>
      </w:r>
      <w:r>
        <w:t xml:space="preserve">  </w:t>
      </w:r>
      <w:hyperlink r:id="rId27">
        <w:r>
          <w:rPr>
            <w:color w:val="17627A"/>
            <w:sz w:val="17"/>
          </w:rPr>
          <w:t>R039</w:t>
        </w:r>
      </w:hyperlink>
      <w:r>
        <w:t xml:space="preserve"> · </w:t>
      </w:r>
      <w:hyperlink r:id="rId28">
        <w:r>
          <w:rPr>
            <w:color w:val="17627A"/>
            <w:sz w:val="17"/>
          </w:rPr>
          <w:t>R040</w:t>
        </w:r>
      </w:hyperlink>
      <w:r>
        <w:t xml:space="preserve"> · </w:t>
      </w:r>
      <w:hyperlink r:id="rId29">
        <w:r>
          <w:rPr>
            <w:color w:val="17627A"/>
            <w:sz w:val="17"/>
          </w:rPr>
          <w:t>R041</w:t>
        </w:r>
      </w:hyperlink>
      <w:r>
        <w:t xml:space="preserve"> · </w:t>
      </w:r>
      <w:hyperlink r:id="rId30">
        <w:r>
          <w:rPr>
            <w:color w:val="17627A"/>
            <w:sz w:val="17"/>
          </w:rPr>
          <w:t>R042</w:t>
        </w:r>
      </w:hyperlink>
      <w:r>
        <w:t xml:space="preserve"> · </w:t>
      </w:r>
      <w:hyperlink r:id="rId31">
        <w:r>
          <w:rPr>
            <w:color w:val="17627A"/>
            <w:sz w:val="17"/>
          </w:rPr>
          <w:t>R043</w:t>
        </w:r>
      </w:hyperlink>
      <w:r>
        <w:t xml:space="preserve"> · </w:t>
      </w:r>
      <w:hyperlink r:id="rId32">
        <w:r>
          <w:rPr>
            <w:color w:val="17627A"/>
            <w:sz w:val="17"/>
          </w:rPr>
          <w:t>R044</w:t>
        </w:r>
      </w:hyperlink>
      <w:r>
        <w:t xml:space="preserve"> · </w:t>
      </w:r>
      <w:hyperlink r:id="rId33">
        <w:r>
          <w:rPr>
            <w:color w:val="17627A"/>
            <w:sz w:val="17"/>
          </w:rPr>
          <w:t>R068</w:t>
        </w:r>
      </w:hyperlink>
    </w:p>
    <w:p>
      <w:pPr>
        <w:widowControl/>
      </w:pPr>
      <w:r>
        <w:t>Рукописное расширение включает Saṅ Hyaṅ Kamahāyānikan и Mantranaya, Sārasamuccaya, Vṛhaspatitattva, Tattvajñāna, Gaṇapatitattva, Mahājñāna, Ślokāntara, Vratiśāsana, Kalpabuddha и Jñānasiddhānta. Их связь — не просто «индуизм/буддизм Бали», а санскритско-старояванская доктринальная, нормативная и ритуальная книжность, сохраняемая конкретными изданиями и рукописными традициями.</w:t>
      </w:r>
      <w:r>
        <w:t xml:space="preserve">  </w:t>
      </w:r>
      <w:hyperlink r:id="rId34">
        <w:r>
          <w:rPr>
            <w:color w:val="17627A"/>
            <w:sz w:val="17"/>
          </w:rPr>
          <w:t>R017</w:t>
        </w:r>
      </w:hyperlink>
      <w:r>
        <w:t xml:space="preserve"> · </w:t>
      </w:r>
      <w:hyperlink r:id="rId35">
        <w:r>
          <w:rPr>
            <w:color w:val="17627A"/>
            <w:sz w:val="17"/>
          </w:rPr>
          <w:t>R018</w:t>
        </w:r>
      </w:hyperlink>
      <w:r>
        <w:t xml:space="preserve"> · </w:t>
      </w:r>
      <w:hyperlink r:id="rId36">
        <w:r>
          <w:rPr>
            <w:color w:val="17627A"/>
            <w:sz w:val="17"/>
          </w:rPr>
          <w:t>R027</w:t>
        </w:r>
      </w:hyperlink>
      <w:r>
        <w:t xml:space="preserve"> · </w:t>
      </w:r>
      <w:hyperlink r:id="rId37">
        <w:r>
          <w:rPr>
            <w:color w:val="17627A"/>
            <w:sz w:val="17"/>
          </w:rPr>
          <w:t>R028</w:t>
        </w:r>
      </w:hyperlink>
      <w:r>
        <w:t xml:space="preserve"> · </w:t>
      </w:r>
      <w:hyperlink r:id="rId38">
        <w:r>
          <w:rPr>
            <w:color w:val="17627A"/>
            <w:sz w:val="17"/>
          </w:rPr>
          <w:t>R029</w:t>
        </w:r>
      </w:hyperlink>
      <w:r>
        <w:t xml:space="preserve"> · </w:t>
      </w:r>
      <w:hyperlink r:id="rId39">
        <w:r>
          <w:rPr>
            <w:color w:val="17627A"/>
            <w:sz w:val="17"/>
          </w:rPr>
          <w:t>R030</w:t>
        </w:r>
      </w:hyperlink>
      <w:r>
        <w:t xml:space="preserve"> · </w:t>
      </w:r>
      <w:hyperlink r:id="rId40">
        <w:r>
          <w:rPr>
            <w:color w:val="17627A"/>
            <w:sz w:val="17"/>
          </w:rPr>
          <w:t>R031</w:t>
        </w:r>
      </w:hyperlink>
      <w:r>
        <w:t xml:space="preserve"> · </w:t>
      </w:r>
      <w:hyperlink r:id="rId41">
        <w:r>
          <w:rPr>
            <w:color w:val="17627A"/>
            <w:sz w:val="17"/>
          </w:rPr>
          <w:t>R032</w:t>
        </w:r>
      </w:hyperlink>
      <w:r>
        <w:t xml:space="preserve"> · </w:t>
      </w:r>
      <w:hyperlink r:id="rId42">
        <w:r>
          <w:rPr>
            <w:color w:val="17627A"/>
            <w:sz w:val="17"/>
          </w:rPr>
          <w:t>R033</w:t>
        </w:r>
      </w:hyperlink>
      <w:r>
        <w:t xml:space="preserve"> · </w:t>
      </w:r>
      <w:hyperlink r:id="rId43">
        <w:r>
          <w:rPr>
            <w:color w:val="17627A"/>
            <w:sz w:val="17"/>
          </w:rPr>
          <w:t>R034</w:t>
        </w:r>
      </w:hyperlink>
      <w:r>
        <w:t xml:space="preserve"> · </w:t>
      </w:r>
      <w:hyperlink r:id="rId44">
        <w:r>
          <w:rPr>
            <w:color w:val="17627A"/>
            <w:sz w:val="17"/>
          </w:rPr>
          <w:t>R057</w:t>
        </w:r>
      </w:hyperlink>
    </w:p>
    <w:p>
      <w:pPr>
        <w:widowControl/>
      </w:pPr>
      <w:r>
        <w:t>Добавлены и литературно-литургические формы того же письменного поля: Sutasoma, Kuñjarakarṇa, Arjunavivāha, Rāmavijaya Tan iṅ Rāt, Devaśāsana, Tattva Brata, Durgāṣṭakamantra и собрание Stuti and Stava. Каждая запись сохраняет отдельную редакцию и её происхождение. Файл, полученный OCR из научной книги, не приравнен к новой авторской транскрипции с рукописи.</w:t>
      </w:r>
      <w:r>
        <w:t xml:space="preserve">  </w:t>
      </w:r>
      <w:hyperlink r:id="rId45">
        <w:r>
          <w:rPr>
            <w:color w:val="17627A"/>
            <w:sz w:val="17"/>
          </w:rPr>
          <w:t>R019</w:t>
        </w:r>
      </w:hyperlink>
      <w:r>
        <w:t xml:space="preserve"> · </w:t>
      </w:r>
      <w:hyperlink r:id="rId46">
        <w:r>
          <w:rPr>
            <w:color w:val="17627A"/>
            <w:sz w:val="17"/>
          </w:rPr>
          <w:t>R035</w:t>
        </w:r>
      </w:hyperlink>
      <w:r>
        <w:t xml:space="preserve"> · </w:t>
      </w:r>
      <w:hyperlink r:id="rId47">
        <w:r>
          <w:rPr>
            <w:color w:val="17627A"/>
            <w:sz w:val="17"/>
          </w:rPr>
          <w:t>R056</w:t>
        </w:r>
      </w:hyperlink>
      <w:r>
        <w:t xml:space="preserve"> · </w:t>
      </w:r>
      <w:hyperlink r:id="rId48">
        <w:r>
          <w:rPr>
            <w:color w:val="17627A"/>
            <w:sz w:val="17"/>
          </w:rPr>
          <w:t>R062</w:t>
        </w:r>
      </w:hyperlink>
      <w:r>
        <w:t xml:space="preserve"> · </w:t>
      </w:r>
      <w:hyperlink r:id="rId49">
        <w:r>
          <w:rPr>
            <w:color w:val="17627A"/>
            <w:sz w:val="17"/>
          </w:rPr>
          <w:t>R063</w:t>
        </w:r>
      </w:hyperlink>
      <w:r>
        <w:t xml:space="preserve"> · </w:t>
      </w:r>
      <w:hyperlink r:id="rId50">
        <w:r>
          <w:rPr>
            <w:color w:val="17627A"/>
            <w:sz w:val="17"/>
          </w:rPr>
          <w:t>R064</w:t>
        </w:r>
      </w:hyperlink>
      <w:r>
        <w:t xml:space="preserve"> · </w:t>
      </w:r>
      <w:hyperlink r:id="rId51">
        <w:r>
          <w:rPr>
            <w:color w:val="17627A"/>
            <w:sz w:val="17"/>
          </w:rPr>
          <w:t>R065</w:t>
        </w:r>
      </w:hyperlink>
      <w:r>
        <w:t xml:space="preserve"> · </w:t>
      </w:r>
      <w:hyperlink r:id="rId52">
        <w:r>
          <w:rPr>
            <w:color w:val="17627A"/>
            <w:sz w:val="17"/>
          </w:rPr>
          <w:t>R066</w:t>
        </w:r>
      </w:hyperlink>
      <w:r>
        <w:t xml:space="preserve"> · </w:t>
      </w:r>
      <w:hyperlink r:id="rId53">
        <w:r>
          <w:rPr>
            <w:color w:val="17627A"/>
            <w:sz w:val="17"/>
          </w:rPr>
          <w:t>R067</w:t>
        </w:r>
      </w:hyperlink>
    </w:p>
    <w:p>
      <w:pPr>
        <w:pStyle w:val="Heading2"/>
      </w:pPr>
      <w:r>
        <w:t>Поиск назад во времени</w:t>
      </w:r>
    </w:p>
    <w:p>
      <w:pPr>
        <w:widowControl/>
      </w:pPr>
      <w:r>
        <w:t>Для Dharma Pātañjala проверена входящая линия Pātañjalayogaśāstra: найден санскритский текст SARIT и отдельная редакция Yogasūtra в GRETIL. Связь используется как филологический контекст йогической системы, а не как утверждение, что яванский текст является обычным комментарием на Патанджали. Доступная санскритская основа и её лицензия проверены отдельно от современного английского перевода яванского текста.</w:t>
      </w:r>
      <w:r>
        <w:t xml:space="preserve">  </w:t>
      </w:r>
      <w:hyperlink r:id="rId14">
        <w:r>
          <w:rPr>
            <w:color w:val="17627A"/>
            <w:sz w:val="17"/>
          </w:rPr>
          <w:t>R016</w:t>
        </w:r>
      </w:hyperlink>
      <w:r>
        <w:t xml:space="preserve"> · </w:t>
      </w:r>
      <w:hyperlink r:id="rId54">
        <w:r>
          <w:rPr>
            <w:color w:val="17627A"/>
            <w:sz w:val="17"/>
          </w:rPr>
          <w:t>R045</w:t>
        </w:r>
      </w:hyperlink>
      <w:r>
        <w:t xml:space="preserve"> · </w:t>
      </w:r>
      <w:hyperlink r:id="rId55">
        <w:r>
          <w:rPr>
            <w:color w:val="17627A"/>
            <w:sz w:val="17"/>
          </w:rPr>
          <w:t>R046</w:t>
        </w:r>
      </w:hyperlink>
      <w:r>
        <w:t xml:space="preserve"> · </w:t>
      </w:r>
      <w:hyperlink r:id="rId56">
        <w:r>
          <w:rPr>
            <w:color w:val="17627A"/>
            <w:sz w:val="17"/>
          </w:rPr>
          <w:t>Связь текстов: Nalanda University</w:t>
        </w:r>
      </w:hyperlink>
    </w:p>
    <w:p>
      <w:pPr>
        <w:widowControl/>
      </w:pPr>
      <w:r>
        <w:t>Махабхарата включена из-за эпических строф Sārasamuccaya: это входящий источник, а не приглашение развернуть весь индийский эпос. Авторизованный санскритский текст BORI доступен, но запрещает передачу копий; старый английский перевод Ganguli предлагает другой, не оригинальноязычный слой. C.40 Võ Cạnh сохранена как ранний предмет того же C-инвентаря; точный век намеренно не закреплён по поисковому сниппету.</w:t>
      </w:r>
      <w:r>
        <w:t xml:space="preserve">  </w:t>
      </w:r>
      <w:hyperlink r:id="rId35">
        <w:r>
          <w:rPr>
            <w:color w:val="17627A"/>
            <w:sz w:val="17"/>
          </w:rPr>
          <w:t>R018</w:t>
        </w:r>
      </w:hyperlink>
      <w:r>
        <w:t xml:space="preserve"> · </w:t>
      </w:r>
      <w:hyperlink r:id="rId57">
        <w:r>
          <w:rPr>
            <w:color w:val="17627A"/>
            <w:sz w:val="17"/>
          </w:rPr>
          <w:t>R047</w:t>
        </w:r>
      </w:hyperlink>
      <w:r>
        <w:t xml:space="preserve"> · </w:t>
      </w:r>
      <w:hyperlink r:id="rId58">
        <w:r>
          <w:rPr>
            <w:color w:val="17627A"/>
            <w:sz w:val="17"/>
          </w:rPr>
          <w:t>R051</w:t>
        </w:r>
      </w:hyperlink>
      <w:r>
        <w:t xml:space="preserve"> · </w:t>
      </w:r>
      <w:hyperlink r:id="rId59">
        <w:r>
          <w:rPr>
            <w:color w:val="17627A"/>
            <w:sz w:val="17"/>
          </w:rPr>
          <w:t>R052</w:t>
        </w:r>
      </w:hyperlink>
    </w:p>
    <w:p>
      <w:pPr>
        <w:widowControl/>
      </w:pPr>
      <w:r>
        <w:t>Для Mantranaya исследование Ishii даёт конкретные сопоставления с Vairocanābhisaṃbodhi, Adhyardhaśatikāprajñāpāramitā, Sarvadurgatipariśodhana, Tattvasaṃgraha, Sarvavajrodaya и Kriyāsaṃgrahapañjikā. Из этого круга проверен издательский вход BDK к английскому Vairocanābhisaṃbodhi. Остальные сохранены в gaps с местами сопоставлений: установление параллели не выдаётся за проверенный полный доступ или доказанное направление заимствования. Kāśikāvṛtti, прямо названная в K.842, также оставлена как конкретная ещё не обработанная входящая линия.</w:t>
      </w:r>
      <w:r>
        <w:t xml:space="preserve">  </w:t>
      </w:r>
      <w:hyperlink r:id="rId34">
        <w:r>
          <w:rPr>
            <w:color w:val="17627A"/>
            <w:sz w:val="17"/>
          </w:rPr>
          <w:t>R017</w:t>
        </w:r>
      </w:hyperlink>
      <w:r>
        <w:t xml:space="preserve"> · </w:t>
      </w:r>
      <w:hyperlink r:id="rId28">
        <w:r>
          <w:rPr>
            <w:color w:val="17627A"/>
            <w:sz w:val="17"/>
          </w:rPr>
          <w:t>R040</w:t>
        </w:r>
      </w:hyperlink>
      <w:r>
        <w:t xml:space="preserve"> · </w:t>
      </w:r>
      <w:hyperlink r:id="rId60">
        <w:r>
          <w:rPr>
            <w:color w:val="17627A"/>
            <w:sz w:val="17"/>
          </w:rPr>
          <w:t>R058</w:t>
        </w:r>
      </w:hyperlink>
      <w:r>
        <w:t xml:space="preserve"> · </w:t>
      </w:r>
      <w:hyperlink r:id="rId61">
        <w:r>
          <w:rPr>
            <w:color w:val="17627A"/>
            <w:sz w:val="17"/>
          </w:rPr>
          <w:t>R059</w:t>
        </w:r>
      </w:hyperlink>
    </w:p>
    <w:p>
      <w:pPr>
        <w:pStyle w:val="Heading2"/>
      </w:pPr>
      <w:r>
        <w:t>Поиск вперёд и история сохранения</w:t>
      </w:r>
    </w:p>
    <w:p>
      <w:pPr>
        <w:widowControl/>
      </w:pPr>
      <w:r>
        <w:t>C.1, C.42, C.214 и C.224 расширяют чамское эпиграфическое ядро в XIV–XV вв. Эти памятники находятся после основного периода формирования, но внутри широкого горизонта письменной фиксации мастер-строки. Их прямое основание включения — принадлежность к тому же C-корпусу и сохранение его санскритско-старочамского храмового репертуара.</w:t>
      </w:r>
      <w:r>
        <w:t xml:space="preserve">  </w:t>
      </w:r>
      <w:hyperlink r:id="rId62">
        <w:r>
          <w:rPr>
            <w:color w:val="17627A"/>
            <w:sz w:val="17"/>
          </w:rPr>
          <w:t>R023</w:t>
        </w:r>
      </w:hyperlink>
      <w:r>
        <w:t xml:space="preserve"> · </w:t>
      </w:r>
      <w:hyperlink r:id="rId63">
        <w:r>
          <w:rPr>
            <w:color w:val="17627A"/>
            <w:sz w:val="17"/>
          </w:rPr>
          <w:t>R024</w:t>
        </w:r>
      </w:hyperlink>
      <w:r>
        <w:t xml:space="preserve"> · </w:t>
      </w:r>
      <w:hyperlink r:id="rId64">
        <w:r>
          <w:rPr>
            <w:color w:val="17627A"/>
            <w:sz w:val="17"/>
          </w:rPr>
          <w:t>R025</w:t>
        </w:r>
      </w:hyperlink>
      <w:r>
        <w:t xml:space="preserve"> · </w:t>
      </w:r>
      <w:hyperlink r:id="rId65">
        <w:r>
          <w:rPr>
            <w:color w:val="17627A"/>
            <w:sz w:val="17"/>
          </w:rPr>
          <w:t>R026</w:t>
        </w:r>
      </w:hyperlink>
    </w:p>
    <w:p>
      <w:pPr>
        <w:widowControl/>
      </w:pPr>
      <w:r>
        <w:t>Tantu Panggĕlaran представляет позднюю шиваитскую институциональную книжность, выходящую за основной эпиграфический горизонт. У Tattva Brata отдельно отмечена поздняя дата рукописной копии, а у Rāmavijaya — история приобретения и транскрибирования свидетелей: эти даты не объявлены временем создания сочинений. Редакции Cœdès, Saveros Pou, Barth–Bergaigne, современные переводы и цифровые корпуса включены как линии передачи и доступа, не как события V–XV вв.</w:t>
      </w:r>
      <w:r>
        <w:t xml:space="preserve">  </w:t>
      </w:r>
      <w:hyperlink r:id="rId66">
        <w:r>
          <w:rPr>
            <w:color w:val="17627A"/>
            <w:sz w:val="17"/>
          </w:rPr>
          <w:t>R053</w:t>
        </w:r>
      </w:hyperlink>
      <w:r>
        <w:t xml:space="preserve"> · </w:t>
      </w:r>
      <w:hyperlink r:id="rId67">
        <w:r>
          <w:rPr>
            <w:color w:val="17627A"/>
            <w:sz w:val="17"/>
          </w:rPr>
          <w:t>R060</w:t>
        </w:r>
      </w:hyperlink>
      <w:r>
        <w:t xml:space="preserve"> · </w:t>
      </w:r>
      <w:hyperlink r:id="rId67">
        <w:r>
          <w:rPr>
            <w:color w:val="17627A"/>
            <w:sz w:val="17"/>
          </w:rPr>
          <w:t>R061</w:t>
        </w:r>
      </w:hyperlink>
      <w:r>
        <w:t xml:space="preserve"> · </w:t>
      </w:r>
      <w:hyperlink r:id="rId49">
        <w:r>
          <w:rPr>
            <w:color w:val="17627A"/>
            <w:sz w:val="17"/>
          </w:rPr>
          <w:t>R063</w:t>
        </w:r>
      </w:hyperlink>
      <w:r>
        <w:t xml:space="preserve"> · </w:t>
      </w:r>
      <w:hyperlink r:id="rId53">
        <w:r>
          <w:rPr>
            <w:color w:val="17627A"/>
            <w:sz w:val="17"/>
          </w:rPr>
          <w:t>R067</w:t>
        </w:r>
      </w:hyperlink>
      <w:r>
        <w:t xml:space="preserve"> · </w:t>
      </w:r>
      <w:hyperlink r:id="rId68">
        <w:r>
          <w:rPr>
            <w:color w:val="17627A"/>
            <w:sz w:val="17"/>
          </w:rPr>
          <w:t>R069</w:t>
        </w:r>
      </w:hyperlink>
      <w:r>
        <w:t xml:space="preserve"> · </w:t>
      </w:r>
      <w:hyperlink r:id="rId69">
        <w:r>
          <w:rPr>
            <w:color w:val="17627A"/>
            <w:sz w:val="17"/>
          </w:rPr>
          <w:t>R070</w:t>
        </w:r>
      </w:hyperlink>
      <w:r>
        <w:t xml:space="preserve"> · </w:t>
      </w:r>
      <w:hyperlink r:id="rId70">
        <w:r>
          <w:rPr>
            <w:color w:val="17627A"/>
            <w:sz w:val="17"/>
          </w:rPr>
          <w:t>R071</w:t>
        </w:r>
      </w:hyperlink>
    </w:p>
    <w:p>
      <w:pPr>
        <w:pStyle w:val="Heading2"/>
      </w:pPr>
      <w:r>
        <w:t>Количественный итог и границы счёта</w:t>
      </w:r>
    </w:p>
    <w:p>
      <w:pPr>
        <w:widowControl/>
      </w:pPr>
      <w:r>
        <w:t>Основной лист содержит 90 практически различимых маршрутов. В рабочем счёте они относятся к 52 именованным традиционным текстовым единицам/семействам: 28 надписям или эпиграфическим памятникам и 24 произведениям/текстовым группам. Отдельно представлены семь научных корпусных сводов и справочных изданий, десять инфраструктурных записей, одна вспомогательная статья для идентификации источников и один пока не озаглавленный рукописный объект HMML. Эти категории не следует суммировать как независимые древние сочинения: некоторые тексты вложены в более крупные корпуса.</w:t>
      </w:r>
    </w:p>
    <w:p>
      <w:pPr>
        <w:widowControl/>
      </w:pPr>
      <w:r>
        <w:t>Распределение маршрутов по метке relevance: core — 22; same_corpus_or_tradition — 20; antecedent — 4; continuation — 8; transmission_or_preservation — 22; supporting — 2; boundary — 1; infrastructure — 10; secondary_navigation — 1. Отдельных маршрутов commentary_or_reception не выделено: научный аппарат либо входит в конкретное издание, либо остаётся направлением поиска. 38 записей gaps описывают не «отсутствующие произведения», а незакрытые задачи доступа, идентификации и прав.</w:t>
      </w:r>
    </w:p>
    <w:p>
      <w:pPr>
        <w:widowControl/>
      </w:pPr>
      <w:r>
        <w:t>Плотность покрытия не равномерна: ядро стел значительно лучше проверено на уровне текста, чем фотографии и рукописные фонды. Процент покрытия всего исторического корпуса не вычислялся: общего закрытого инвентаря этого агрегированного узла нет, а реестр не претендует на замену полных CIK/CIC или всего фонда Бали.</w:t>
      </w:r>
    </w:p>
    <w:p>
      <w:pPr>
        <w:pStyle w:val="Heading1"/>
      </w:pPr>
      <w:r>
        <w:t>3. Лучшие пути доступа</w:t>
      </w:r>
    </w:p>
    <w:p>
      <w:pPr>
        <w:pStyle w:val="Heading2"/>
      </w:pPr>
      <w:r>
        <w:t>Кхмерские надписи</w:t>
      </w:r>
    </w:p>
    <w:p>
      <w:pPr>
        <w:widowControl/>
      </w:pPr>
      <w:r>
        <w:rPr>
          <w:b/>
        </w:rPr>
        <w:t xml:space="preserve">Оригиналы и машинный текст. </w:t>
      </w:r>
      <w:r>
        <w:t>Первый вход — предметные редакции DHARMA, а не стартовая страница проекта. Они дают текст, аппарат, изданные переводы и TEI source view. Для K.528 надёжнее проверенный raw XML: HTML-вход открывался нестабильно. Для массовой работы доступен Git-пакет кхмерской эпиграфики, но требуется отбор файлов и проверка каждого заголовка.</w:t>
      </w:r>
      <w:r>
        <w:t xml:space="preserve">  </w:t>
      </w:r>
      <w:hyperlink r:id="rId12">
        <w:r>
          <w:rPr>
            <w:color w:val="17627A"/>
            <w:sz w:val="17"/>
          </w:rPr>
          <w:t>R001</w:t>
        </w:r>
      </w:hyperlink>
      <w:r>
        <w:t xml:space="preserve"> · </w:t>
      </w:r>
      <w:hyperlink r:id="rId71">
        <w:r>
          <w:rPr>
            <w:color w:val="17627A"/>
            <w:sz w:val="17"/>
          </w:rPr>
          <w:t>R002</w:t>
        </w:r>
      </w:hyperlink>
      <w:r>
        <w:t xml:space="preserve"> · </w:t>
      </w:r>
      <w:hyperlink r:id="rId13">
        <w:r>
          <w:rPr>
            <w:color w:val="17627A"/>
            <w:sz w:val="17"/>
          </w:rPr>
          <w:t>R009</w:t>
        </w:r>
      </w:hyperlink>
      <w:r>
        <w:t xml:space="preserve"> · </w:t>
      </w:r>
      <w:hyperlink r:id="rId27">
        <w:r>
          <w:rPr>
            <w:color w:val="17627A"/>
            <w:sz w:val="17"/>
          </w:rPr>
          <w:t>R039</w:t>
        </w:r>
      </w:hyperlink>
      <w:r>
        <w:t xml:space="preserve"> · </w:t>
      </w:r>
      <w:hyperlink r:id="rId28">
        <w:r>
          <w:rPr>
            <w:color w:val="17627A"/>
            <w:sz w:val="17"/>
          </w:rPr>
          <w:t>R040</w:t>
        </w:r>
      </w:hyperlink>
      <w:r>
        <w:t xml:space="preserve"> · </w:t>
      </w:r>
      <w:hyperlink r:id="rId72">
        <w:r>
          <w:rPr>
            <w:color w:val="17627A"/>
            <w:sz w:val="17"/>
          </w:rPr>
          <w:t>R073</w:t>
        </w:r>
      </w:hyperlink>
    </w:p>
    <w:p>
      <w:pPr>
        <w:widowControl/>
      </w:pPr>
      <w:r>
        <w:rPr>
          <w:b/>
        </w:rPr>
        <w:t xml:space="preserve">Восточный Мебон K.528. </w:t>
      </w:r>
      <w:r>
        <w:t>Для бесплатного современного английского чтения полезен блок Goodall в DHARMA; для полного научного обсуждения — книга The East Mebon Stele Inscription from Angkor (2022), ISBN 9782855392608. Французский Finot 1925 сохранён отдельным маршрутом. Право повторно публиковать оба заимствованных перевода не выведено из лицензии XML; свободнее оригинальная транскрипция самого проекта.</w:t>
      </w:r>
      <w:r>
        <w:t xml:space="preserve">  </w:t>
      </w:r>
      <w:hyperlink r:id="rId12">
        <w:r>
          <w:rPr>
            <w:color w:val="17627A"/>
            <w:sz w:val="17"/>
          </w:rPr>
          <w:t>R001</w:t>
        </w:r>
      </w:hyperlink>
      <w:r>
        <w:t xml:space="preserve"> · </w:t>
      </w:r>
      <w:hyperlink r:id="rId18">
        <w:r>
          <w:rPr>
            <w:color w:val="17627A"/>
            <w:sz w:val="17"/>
          </w:rPr>
          <w:t>R020</w:t>
        </w:r>
      </w:hyperlink>
      <w:r>
        <w:t xml:space="preserve"> · </w:t>
      </w:r>
      <w:hyperlink r:id="rId12">
        <w:r>
          <w:rPr>
            <w:color w:val="17627A"/>
            <w:sz w:val="17"/>
          </w:rPr>
          <w:t>R085</w:t>
        </w:r>
      </w:hyperlink>
      <w:r>
        <w:t xml:space="preserve"> · </w:t>
      </w:r>
      <w:hyperlink r:id="rId12">
        <w:r>
          <w:rPr>
            <w:color w:val="17627A"/>
            <w:sz w:val="17"/>
          </w:rPr>
          <w:t>R086</w:t>
        </w:r>
      </w:hyperlink>
    </w:p>
    <w:p>
      <w:pPr>
        <w:widowControl/>
      </w:pPr>
      <w:r>
        <w:rPr>
          <w:b/>
        </w:rPr>
        <w:t xml:space="preserve">Preah Khan и Sdok Kak Thom. </w:t>
      </w:r>
      <w:r>
        <w:t>K.908 имеет свободно читаемый французский перевод Cœdès 1941. У K.235 доступны французская версия Cœdès–Dupont и две разные английские: Bhattacharya переводит санскритские строфы, Sak-Humphry — старокхмерскую прозу. Последняя запись не обещает санскритскую часть этого переводчика. Для нового перевода ToS предпочтителен оригинальный открытый слой, а не защищённый английский посредник.</w:t>
      </w:r>
      <w:r>
        <w:t xml:space="preserve">  </w:t>
      </w:r>
      <w:hyperlink r:id="rId71">
        <w:r>
          <w:rPr>
            <w:color w:val="17627A"/>
            <w:sz w:val="17"/>
          </w:rPr>
          <w:t>R002</w:t>
        </w:r>
      </w:hyperlink>
      <w:r>
        <w:t xml:space="preserve"> · </w:t>
      </w:r>
      <w:hyperlink r:id="rId13">
        <w:r>
          <w:rPr>
            <w:color w:val="17627A"/>
            <w:sz w:val="17"/>
          </w:rPr>
          <w:t>R009</w:t>
        </w:r>
      </w:hyperlink>
      <w:r>
        <w:t xml:space="preserve"> · </w:t>
      </w:r>
      <w:hyperlink r:id="rId71">
        <w:r>
          <w:rPr>
            <w:color w:val="17627A"/>
            <w:sz w:val="17"/>
          </w:rPr>
          <w:t>R087</w:t>
        </w:r>
      </w:hyperlink>
      <w:r>
        <w:t xml:space="preserve"> · </w:t>
      </w:r>
      <w:hyperlink r:id="rId13">
        <w:r>
          <w:rPr>
            <w:color w:val="17627A"/>
            <w:sz w:val="17"/>
          </w:rPr>
          <w:t>R088</w:t>
        </w:r>
      </w:hyperlink>
      <w:r>
        <w:t xml:space="preserve"> · </w:t>
      </w:r>
      <w:hyperlink r:id="rId13">
        <w:r>
          <w:rPr>
            <w:color w:val="17627A"/>
            <w:sz w:val="17"/>
          </w:rPr>
          <w:t>R089</w:t>
        </w:r>
      </w:hyperlink>
      <w:r>
        <w:t xml:space="preserve"> · </w:t>
      </w:r>
      <w:hyperlink r:id="rId13">
        <w:r>
          <w:rPr>
            <w:color w:val="17627A"/>
            <w:sz w:val="17"/>
          </w:rPr>
          <w:t>R090</w:t>
        </w:r>
      </w:hyperlink>
    </w:p>
    <w:p>
      <w:pPr>
        <w:widowControl/>
      </w:pPr>
      <w:r>
        <w:rPr>
          <w:b/>
        </w:rPr>
        <w:t xml:space="preserve">Новые и исторические издания. </w:t>
      </w:r>
      <w:r>
        <w:t>K.1457 имеет полный официальный PDF с первичным изданием и переводом. Barth–Bergaigne предлагает старый санскритско-французский скан из институционального экземпляра Toronto; полноту отдельного атласа ещё надо проверить. Cœdès, том I, — только карточка распроданного издания, не «бесплатная книга за 0 €». Том VIII полезен для конкордансов, а Nouvelles inscriptions II &amp; III — официальный платный вход к продолжению корпуса.</w:t>
      </w:r>
      <w:r>
        <w:t xml:space="preserve">  </w:t>
      </w:r>
      <w:hyperlink r:id="rId66">
        <w:r>
          <w:rPr>
            <w:color w:val="17627A"/>
            <w:sz w:val="17"/>
          </w:rPr>
          <w:t>R053</w:t>
        </w:r>
      </w:hyperlink>
      <w:r>
        <w:t xml:space="preserve"> · </w:t>
      </w:r>
      <w:hyperlink r:id="rId33">
        <w:r>
          <w:rPr>
            <w:color w:val="17627A"/>
            <w:sz w:val="17"/>
          </w:rPr>
          <w:t>R068</w:t>
        </w:r>
      </w:hyperlink>
      <w:r>
        <w:t xml:space="preserve"> · </w:t>
      </w:r>
      <w:hyperlink r:id="rId68">
        <w:r>
          <w:rPr>
            <w:color w:val="17627A"/>
            <w:sz w:val="17"/>
          </w:rPr>
          <w:t>R069</w:t>
        </w:r>
      </w:hyperlink>
      <w:r>
        <w:t xml:space="preserve"> · </w:t>
      </w:r>
      <w:hyperlink r:id="rId69">
        <w:r>
          <w:rPr>
            <w:color w:val="17627A"/>
            <w:sz w:val="17"/>
          </w:rPr>
          <w:t>R070</w:t>
        </w:r>
      </w:hyperlink>
      <w:r>
        <w:t xml:space="preserve"> · </w:t>
      </w:r>
      <w:hyperlink r:id="rId70">
        <w:r>
          <w:rPr>
            <w:color w:val="17627A"/>
            <w:sz w:val="17"/>
          </w:rPr>
          <w:t>R071</w:t>
        </w:r>
      </w:hyperlink>
    </w:p>
    <w:p>
      <w:pPr>
        <w:pStyle w:val="Heading2"/>
      </w:pPr>
      <w:r>
        <w:t>Campā</w:t>
      </w:r>
    </w:p>
    <w:p>
      <w:pPr>
        <w:widowControl/>
      </w:pPr>
      <w:r>
        <w:t>DHARMA удобна для C.41, C.66, C.80 и C.20; прежний CIC на сервере NYU ISAW остаётся самостоятельным полезным входом к C.80 и поздним C.1, C.42, C.214, C.224. Здесь можно сопоставлять санскрит/старочамский, английские и французские переводы, каталожные номера и воспроизведения. Перевод C.66 на проверенной странице охватывает выбранные строфы, а не всю стелу.</w:t>
      </w:r>
      <w:r>
        <w:t xml:space="preserve">  </w:t>
      </w:r>
      <w:hyperlink r:id="rId73">
        <w:r>
          <w:rPr>
            <w:color w:val="17627A"/>
            <w:sz w:val="17"/>
          </w:rPr>
          <w:t>R005</w:t>
        </w:r>
      </w:hyperlink>
      <w:r>
        <w:t xml:space="preserve"> · </w:t>
      </w:r>
      <w:hyperlink r:id="rId74">
        <w:r>
          <w:rPr>
            <w:color w:val="17627A"/>
            <w:sz w:val="17"/>
          </w:rPr>
          <w:t>R010</w:t>
        </w:r>
      </w:hyperlink>
      <w:r>
        <w:t xml:space="preserve"> · </w:t>
      </w:r>
      <w:hyperlink r:id="rId75">
        <w:r>
          <w:rPr>
            <w:color w:val="17627A"/>
            <w:sz w:val="17"/>
          </w:rPr>
          <w:t>R011</w:t>
        </w:r>
      </w:hyperlink>
      <w:r>
        <w:t xml:space="preserve"> · </w:t>
      </w:r>
      <w:hyperlink r:id="rId76">
        <w:r>
          <w:rPr>
            <w:color w:val="17627A"/>
            <w:sz w:val="17"/>
          </w:rPr>
          <w:t>R012</w:t>
        </w:r>
      </w:hyperlink>
      <w:r>
        <w:t xml:space="preserve"> · </w:t>
      </w:r>
      <w:hyperlink r:id="rId77">
        <w:r>
          <w:rPr>
            <w:color w:val="17627A"/>
            <w:sz w:val="17"/>
          </w:rPr>
          <w:t>R022</w:t>
        </w:r>
      </w:hyperlink>
      <w:r>
        <w:t xml:space="preserve"> · </w:t>
      </w:r>
      <w:hyperlink r:id="rId62">
        <w:r>
          <w:rPr>
            <w:color w:val="17627A"/>
            <w:sz w:val="17"/>
          </w:rPr>
          <w:t>R023</w:t>
        </w:r>
      </w:hyperlink>
      <w:r>
        <w:t xml:space="preserve"> · </w:t>
      </w:r>
      <w:hyperlink r:id="rId63">
        <w:r>
          <w:rPr>
            <w:color w:val="17627A"/>
            <w:sz w:val="17"/>
          </w:rPr>
          <w:t>R024</w:t>
        </w:r>
      </w:hyperlink>
      <w:r>
        <w:t xml:space="preserve"> · </w:t>
      </w:r>
      <w:hyperlink r:id="rId64">
        <w:r>
          <w:rPr>
            <w:color w:val="17627A"/>
            <w:sz w:val="17"/>
          </w:rPr>
          <w:t>R025</w:t>
        </w:r>
      </w:hyperlink>
      <w:r>
        <w:t xml:space="preserve"> · </w:t>
      </w:r>
      <w:hyperlink r:id="rId65">
        <w:r>
          <w:rPr>
            <w:color w:val="17627A"/>
            <w:sz w:val="17"/>
          </w:rPr>
          <w:t>R026</w:t>
        </w:r>
      </w:hyperlink>
    </w:p>
    <w:p>
      <w:pPr>
        <w:widowControl/>
      </w:pPr>
      <w:r>
        <w:t>Наиболее свободен собственный текстовый слой CIC под CC BY 3.0. Изображения требуют отдельного решения: у C.42 фигурирует фотография MFA, у C.214 — фотограф другого правообладателя. Это хорошие законные страницы просмотра, но не основание скачивать и зеркалировать все иллюстрации проекта. C.40 даёт подтверждённую музейную идентификацию и изображения, а не полный современный критический перевод.</w:t>
      </w:r>
      <w:r>
        <w:t xml:space="preserve">  </w:t>
      </w:r>
      <w:hyperlink r:id="rId63">
        <w:r>
          <w:rPr>
            <w:color w:val="17627A"/>
            <w:sz w:val="17"/>
          </w:rPr>
          <w:t>R024</w:t>
        </w:r>
      </w:hyperlink>
      <w:r>
        <w:t xml:space="preserve"> · </w:t>
      </w:r>
      <w:hyperlink r:id="rId64">
        <w:r>
          <w:rPr>
            <w:color w:val="17627A"/>
            <w:sz w:val="17"/>
          </w:rPr>
          <w:t>R025</w:t>
        </w:r>
      </w:hyperlink>
      <w:r>
        <w:t xml:space="preserve"> · </w:t>
      </w:r>
      <w:hyperlink r:id="rId57">
        <w:r>
          <w:rPr>
            <w:color w:val="17627A"/>
            <w:sz w:val="17"/>
          </w:rPr>
          <w:t>R047</w:t>
        </w:r>
      </w:hyperlink>
      <w:r>
        <w:t xml:space="preserve"> · </w:t>
      </w:r>
      <w:hyperlink r:id="rId23">
        <w:r>
          <w:rPr>
            <w:color w:val="17627A"/>
            <w:sz w:val="17"/>
          </w:rPr>
          <w:t>R078</w:t>
        </w:r>
      </w:hyperlink>
    </w:p>
    <w:p>
      <w:pPr>
        <w:pStyle w:val="Heading2"/>
      </w:pPr>
      <w:r>
        <w:t>Ява и балийская эпиграфика</w:t>
      </w:r>
    </w:p>
    <w:p>
      <w:pPr>
        <w:widowControl/>
      </w:pPr>
      <w:r>
        <w:t>Canggal, Kalasan, Hampran, Mañjuśrīgr̥ha и Wukiran лучше начинать с DHARMA. Особенно полезна Kalasan: в одной цифровой среде различены новая санскритская редакция, современный английский Griffiths, старый английский Bhandarkar 1887 и английский Sarkar. Они разнесены по отдельным маршрутам, потому что отличаются не только интерпретацией, но и доказанностью прав повторного использования.</w:t>
      </w:r>
      <w:r>
        <w:t xml:space="preserve">  </w:t>
      </w:r>
      <w:hyperlink r:id="rId78">
        <w:r>
          <w:rPr>
            <w:color w:val="17627A"/>
            <w:sz w:val="17"/>
          </w:rPr>
          <w:t>R003</w:t>
        </w:r>
      </w:hyperlink>
      <w:r>
        <w:t xml:space="preserve"> · </w:t>
      </w:r>
      <w:hyperlink r:id="rId11">
        <w:r>
          <w:rPr>
            <w:color w:val="17627A"/>
            <w:sz w:val="17"/>
          </w:rPr>
          <w:t>R004</w:t>
        </w:r>
      </w:hyperlink>
      <w:r>
        <w:t xml:space="preserve"> · </w:t>
      </w:r>
      <w:hyperlink r:id="rId79">
        <w:r>
          <w:rPr>
            <w:color w:val="17627A"/>
            <w:sz w:val="17"/>
          </w:rPr>
          <w:t>R013</w:t>
        </w:r>
      </w:hyperlink>
      <w:r>
        <w:t xml:space="preserve"> · </w:t>
      </w:r>
      <w:hyperlink r:id="rId80">
        <w:r>
          <w:rPr>
            <w:color w:val="17627A"/>
            <w:sz w:val="17"/>
          </w:rPr>
          <w:t>R014</w:t>
        </w:r>
      </w:hyperlink>
      <w:r>
        <w:t xml:space="preserve"> · </w:t>
      </w:r>
      <w:hyperlink r:id="rId81">
        <w:r>
          <w:rPr>
            <w:color w:val="17627A"/>
            <w:sz w:val="17"/>
          </w:rPr>
          <w:t>R015</w:t>
        </w:r>
      </w:hyperlink>
      <w:r>
        <w:t xml:space="preserve"> · </w:t>
      </w:r>
      <w:hyperlink r:id="rId11">
        <w:r>
          <w:rPr>
            <w:color w:val="17627A"/>
            <w:sz w:val="17"/>
          </w:rPr>
          <w:t>R082</w:t>
        </w:r>
      </w:hyperlink>
      <w:r>
        <w:t xml:space="preserve"> · </w:t>
      </w:r>
      <w:hyperlink r:id="rId11">
        <w:r>
          <w:rPr>
            <w:color w:val="17627A"/>
            <w:sz w:val="17"/>
          </w:rPr>
          <w:t>R083</w:t>
        </w:r>
      </w:hyperlink>
      <w:r>
        <w:t xml:space="preserve"> · </w:t>
      </w:r>
      <w:hyperlink r:id="rId11">
        <w:r>
          <w:rPr>
            <w:color w:val="17627A"/>
            <w:sz w:val="17"/>
          </w:rPr>
          <w:t>R084</w:t>
        </w:r>
      </w:hyperlink>
    </w:p>
    <w:p>
      <w:pPr>
        <w:widowControl/>
      </w:pPr>
      <w:r>
        <w:t>Лучший свободно лицензированный современный перевод среди этих проверенных вариантов — собственный перевод Griffiths в Kalasan, ограниченный его блоком XML. Старый Bhandarkar полезен как исторический перевод, но глобальный правовой статус не установлен автоматически. Полный Sarkar пока не получен: каталог Open Library не равен подтверждённой цифровой выдаче. У Blanjong сохранился предметный официальный вход, но надёжный полный двуязычный текст остаётся первоочередной задачей.</w:t>
      </w:r>
      <w:r>
        <w:t xml:space="preserve">  </w:t>
      </w:r>
      <w:hyperlink r:id="rId15">
        <w:r>
          <w:rPr>
            <w:color w:val="17627A"/>
            <w:sz w:val="17"/>
          </w:rPr>
          <w:t>R021</w:t>
        </w:r>
      </w:hyperlink>
      <w:r>
        <w:t xml:space="preserve"> · </w:t>
      </w:r>
      <w:hyperlink r:id="rId20">
        <w:r>
          <w:rPr>
            <w:color w:val="17627A"/>
            <w:sz w:val="17"/>
          </w:rPr>
          <w:t>R055</w:t>
        </w:r>
      </w:hyperlink>
      <w:r>
        <w:t xml:space="preserve"> · </w:t>
      </w:r>
      <w:hyperlink r:id="rId11">
        <w:r>
          <w:rPr>
            <w:color w:val="17627A"/>
            <w:sz w:val="17"/>
          </w:rPr>
          <w:t>R082</w:t>
        </w:r>
      </w:hyperlink>
      <w:r>
        <w:t xml:space="preserve"> · </w:t>
      </w:r>
      <w:hyperlink r:id="rId11">
        <w:r>
          <w:rPr>
            <w:color w:val="17627A"/>
            <w:sz w:val="17"/>
          </w:rPr>
          <w:t>R083</w:t>
        </w:r>
      </w:hyperlink>
      <w:r>
        <w:t xml:space="preserve"> · </w:t>
      </w:r>
      <w:hyperlink r:id="rId11">
        <w:r>
          <w:rPr>
            <w:color w:val="17627A"/>
            <w:sz w:val="17"/>
          </w:rPr>
          <w:t>R084</w:t>
        </w:r>
      </w:hyperlink>
    </w:p>
    <w:p>
      <w:pPr>
        <w:pStyle w:val="Heading2"/>
      </w:pPr>
      <w:r>
        <w:t>Dharma Pātañjala, Bhuvanakośa и доктринальная семья</w:t>
      </w:r>
    </w:p>
    <w:p>
      <w:pPr>
        <w:widowControl/>
      </w:pPr>
      <w:r>
        <w:t>Dharma Pātañjala имеет открыто лицензированный оригинальноязычный XML Andrea Acri. Пустой раздел translation не принят за имеющийся английский перевод. Для английского чтения сохранён отдельный путь к печатному критическому изданию; источник с объявлением автора подтверждает библиографию, но не сегодняшнее наличие экземпляров у продавца.</w:t>
      </w:r>
      <w:r>
        <w:t xml:space="preserve">  </w:t>
      </w:r>
      <w:hyperlink r:id="rId14">
        <w:r>
          <w:rPr>
            <w:color w:val="17627A"/>
            <w:sz w:val="17"/>
          </w:rPr>
          <w:t>R016</w:t>
        </w:r>
      </w:hyperlink>
      <w:r>
        <w:t xml:space="preserve"> · </w:t>
      </w:r>
      <w:hyperlink r:id="rId82">
        <w:r>
          <w:rPr>
            <w:color w:val="17627A"/>
            <w:sz w:val="17"/>
          </w:rPr>
          <w:t>R048</w:t>
        </w:r>
      </w:hyperlink>
    </w:p>
    <w:p>
      <w:pPr>
        <w:widowControl/>
      </w:pPr>
      <w:r>
        <w:t>Bhuvanakośa доступна через один балийский лонтар в Internet Archive. Происхождение цифровой коллекции прослежено, но это не разрешение на публичное копирование каждого файла. Latin OCR для балийского письма не принят за надёжную транскрипцию. Для собственного перевода необходимы проверка чтения конкретного свидетеля и прав его цифрового изображения; полный критический текст здесь не обещан.</w:t>
      </w:r>
      <w:r>
        <w:t xml:space="preserve">  </w:t>
      </w:r>
      <w:hyperlink r:id="rId16">
        <w:r>
          <w:rPr>
            <w:color w:val="17627A"/>
            <w:sz w:val="17"/>
          </w:rPr>
          <w:t>R037</w:t>
        </w:r>
      </w:hyperlink>
    </w:p>
    <w:p>
      <w:pPr>
        <w:widowControl/>
      </w:pPr>
      <w:r>
        <w:t>Vṛhaspatitattva, Tattvajñāna, Gaṇapatitattva, Mahājñāna, Ślokāntara и Vratiśāsana можно читать в GRETIL. Доступ удобен, но большинство исследованных старояванских файлов относится к старому режиму reference-only/условий исходного поставщика. Современная лицензия другого санскритского файла GRETIL не переносится на них. Для Jñānasiddhānta найден официальный индонезийский репозиторий: сам большой PDF и права книги требуют повторной проверки.</w:t>
      </w:r>
      <w:r>
        <w:t xml:space="preserve">  </w:t>
      </w:r>
      <w:hyperlink r:id="rId37">
        <w:r>
          <w:rPr>
            <w:color w:val="17627A"/>
            <w:sz w:val="17"/>
          </w:rPr>
          <w:t>R028</w:t>
        </w:r>
      </w:hyperlink>
      <w:r>
        <w:t xml:space="preserve"> · </w:t>
      </w:r>
      <w:hyperlink r:id="rId38">
        <w:r>
          <w:rPr>
            <w:color w:val="17627A"/>
            <w:sz w:val="17"/>
          </w:rPr>
          <w:t>R029</w:t>
        </w:r>
      </w:hyperlink>
      <w:r>
        <w:t xml:space="preserve"> · </w:t>
      </w:r>
      <w:hyperlink r:id="rId39">
        <w:r>
          <w:rPr>
            <w:color w:val="17627A"/>
            <w:sz w:val="17"/>
          </w:rPr>
          <w:t>R030</w:t>
        </w:r>
      </w:hyperlink>
      <w:r>
        <w:t xml:space="preserve"> · </w:t>
      </w:r>
      <w:hyperlink r:id="rId40">
        <w:r>
          <w:rPr>
            <w:color w:val="17627A"/>
            <w:sz w:val="17"/>
          </w:rPr>
          <w:t>R031</w:t>
        </w:r>
      </w:hyperlink>
      <w:r>
        <w:t xml:space="preserve"> · </w:t>
      </w:r>
      <w:hyperlink r:id="rId41">
        <w:r>
          <w:rPr>
            <w:color w:val="17627A"/>
            <w:sz w:val="17"/>
          </w:rPr>
          <w:t>R032</w:t>
        </w:r>
      </w:hyperlink>
      <w:r>
        <w:t xml:space="preserve"> · </w:t>
      </w:r>
      <w:hyperlink r:id="rId42">
        <w:r>
          <w:rPr>
            <w:color w:val="17627A"/>
            <w:sz w:val="17"/>
          </w:rPr>
          <w:t>R033</w:t>
        </w:r>
      </w:hyperlink>
      <w:r>
        <w:t xml:space="preserve"> · </w:t>
      </w:r>
      <w:hyperlink r:id="rId44">
        <w:r>
          <w:rPr>
            <w:color w:val="17627A"/>
            <w:sz w:val="17"/>
          </w:rPr>
          <w:t>R057</w:t>
        </w:r>
      </w:hyperlink>
    </w:p>
    <w:p>
      <w:pPr>
        <w:pStyle w:val="Heading2"/>
      </w:pPr>
      <w:r>
        <w:t>Буддийские трактаты, какавин и литургия</w:t>
      </w:r>
    </w:p>
    <w:p>
      <w:pPr>
        <w:widowControl/>
      </w:pPr>
      <w:r>
        <w:t>Для Saṅ Hyaṅ Kamahāyānikan полезны три разных входа: оригинал GRETIL по Kats, каталог самого издания Kats 1910 и современное исследование/перевод Kandahjaya 2018. Последний даёт существенную часть текстового материала, но не объявлен полной свободной версией всех редакций. Mantranaya имеет отдельный оригинальноязычный XML DHARMA; статья Ishii служит не общим пересказом, а инструментом точной идентификации параллельных текстов.</w:t>
      </w:r>
      <w:r>
        <w:t xml:space="preserve">  </w:t>
      </w:r>
      <w:hyperlink r:id="rId34">
        <w:r>
          <w:rPr>
            <w:color w:val="17627A"/>
            <w:sz w:val="17"/>
          </w:rPr>
          <w:t>R017</w:t>
        </w:r>
      </w:hyperlink>
      <w:r>
        <w:t xml:space="preserve"> · </w:t>
      </w:r>
      <w:hyperlink r:id="rId36">
        <w:r>
          <w:rPr>
            <w:color w:val="17627A"/>
            <w:sz w:val="17"/>
          </w:rPr>
          <w:t>R027</w:t>
        </w:r>
      </w:hyperlink>
      <w:r>
        <w:t xml:space="preserve"> · </w:t>
      </w:r>
      <w:hyperlink r:id="rId83">
        <w:r>
          <w:rPr>
            <w:color w:val="17627A"/>
            <w:sz w:val="17"/>
          </w:rPr>
          <w:t>R036</w:t>
        </w:r>
      </w:hyperlink>
      <w:r>
        <w:t xml:space="preserve"> · </w:t>
      </w:r>
      <w:hyperlink r:id="rId84">
        <w:r>
          <w:rPr>
            <w:color w:val="17627A"/>
            <w:sz w:val="17"/>
          </w:rPr>
          <w:t>R054</w:t>
        </w:r>
      </w:hyperlink>
      <w:r>
        <w:t xml:space="preserve"> · </w:t>
      </w:r>
      <w:hyperlink r:id="rId61">
        <w:r>
          <w:rPr>
            <w:color w:val="17627A"/>
            <w:sz w:val="17"/>
          </w:rPr>
          <w:t>R059</w:t>
        </w:r>
      </w:hyperlink>
    </w:p>
    <w:p>
      <w:pPr>
        <w:widowControl/>
      </w:pPr>
      <w:r>
        <w:t>В Sārasamuccaya, Devaśāsana, Durgāṣṭakamantra, Arjunavivāha и Rāmavijaya найдены машиночитаемые собственные редакционные слои DHARMA. Tattva Brata дополнительно предлагает современный английский перевод Putu Eka Guna Yasa. Это один из наиболее практичных открытых входов для ToS, но объём ограничен изданной частью и указанными свидетелями, а не всеми одноимёнными лонтарами.</w:t>
      </w:r>
      <w:r>
        <w:t xml:space="preserve">  </w:t>
      </w:r>
      <w:hyperlink r:id="rId35">
        <w:r>
          <w:rPr>
            <w:color w:val="17627A"/>
            <w:sz w:val="17"/>
          </w:rPr>
          <w:t>R018</w:t>
        </w:r>
      </w:hyperlink>
      <w:r>
        <w:t xml:space="preserve"> · </w:t>
      </w:r>
      <w:hyperlink r:id="rId48">
        <w:r>
          <w:rPr>
            <w:color w:val="17627A"/>
            <w:sz w:val="17"/>
          </w:rPr>
          <w:t>R062</w:t>
        </w:r>
      </w:hyperlink>
      <w:r>
        <w:t xml:space="preserve"> · </w:t>
      </w:r>
      <w:hyperlink r:id="rId49">
        <w:r>
          <w:rPr>
            <w:color w:val="17627A"/>
            <w:sz w:val="17"/>
          </w:rPr>
          <w:t>R063</w:t>
        </w:r>
      </w:hyperlink>
      <w:r>
        <w:t xml:space="preserve"> · </w:t>
      </w:r>
      <w:hyperlink r:id="rId50">
        <w:r>
          <w:rPr>
            <w:color w:val="17627A"/>
            <w:sz w:val="17"/>
          </w:rPr>
          <w:t>R064</w:t>
        </w:r>
      </w:hyperlink>
      <w:r>
        <w:t xml:space="preserve"> · </w:t>
      </w:r>
      <w:hyperlink r:id="rId51">
        <w:r>
          <w:rPr>
            <w:color w:val="17627A"/>
            <w:sz w:val="17"/>
          </w:rPr>
          <w:t>R065</w:t>
        </w:r>
      </w:hyperlink>
      <w:r>
        <w:t xml:space="preserve"> · </w:t>
      </w:r>
      <w:hyperlink r:id="rId53">
        <w:r>
          <w:rPr>
            <w:color w:val="17627A"/>
            <w:sz w:val="17"/>
          </w:rPr>
          <w:t>R067</w:t>
        </w:r>
      </w:hyperlink>
    </w:p>
    <w:p>
      <w:pPr>
        <w:widowControl/>
      </w:pPr>
      <w:r>
        <w:t>Для Sutasoma и Kuñjarakarṇa сохранены OCR/TEI-маршруты, связанные с печатными изданиями Santoso 1975 и Teeuw/Robson 1981. Такие файлы полезны для чтения и сверки, однако разрешение на новый публичный перевод или зеркало не установлено. Stuti and Stava остаётся важным научным собранием гимнов с частичным Google Books-доступом. Tantu Panggĕlaran имеет современное издание ISEAS, preview и отдельный заявленный бесплатный файл оригинала, загрузка которого не была подтверждена.</w:t>
      </w:r>
      <w:r>
        <w:t xml:space="preserve">  </w:t>
      </w:r>
      <w:hyperlink r:id="rId45">
        <w:r>
          <w:rPr>
            <w:color w:val="17627A"/>
            <w:sz w:val="17"/>
          </w:rPr>
          <w:t>R019</w:t>
        </w:r>
      </w:hyperlink>
      <w:r>
        <w:t xml:space="preserve"> · </w:t>
      </w:r>
      <w:hyperlink r:id="rId46">
        <w:r>
          <w:rPr>
            <w:color w:val="17627A"/>
            <w:sz w:val="17"/>
          </w:rPr>
          <w:t>R035</w:t>
        </w:r>
      </w:hyperlink>
      <w:r>
        <w:t xml:space="preserve"> · </w:t>
      </w:r>
      <w:hyperlink r:id="rId47">
        <w:r>
          <w:rPr>
            <w:color w:val="17627A"/>
            <w:sz w:val="17"/>
          </w:rPr>
          <w:t>R056</w:t>
        </w:r>
      </w:hyperlink>
      <w:r>
        <w:t xml:space="preserve"> · </w:t>
      </w:r>
      <w:hyperlink r:id="rId67">
        <w:r>
          <w:rPr>
            <w:color w:val="17627A"/>
            <w:sz w:val="17"/>
          </w:rPr>
          <w:t>R060</w:t>
        </w:r>
      </w:hyperlink>
      <w:r>
        <w:t xml:space="preserve"> · </w:t>
      </w:r>
      <w:hyperlink r:id="rId67">
        <w:r>
          <w:rPr>
            <w:color w:val="17627A"/>
            <w:sz w:val="17"/>
          </w:rPr>
          <w:t>R061</w:t>
        </w:r>
      </w:hyperlink>
      <w:r>
        <w:t xml:space="preserve"> · </w:t>
      </w:r>
      <w:hyperlink r:id="rId52">
        <w:r>
          <w:rPr>
            <w:color w:val="17627A"/>
            <w:sz w:val="17"/>
          </w:rPr>
          <w:t>R066</w:t>
        </w:r>
      </w:hyperlink>
    </w:p>
    <w:p>
      <w:pPr>
        <w:pStyle w:val="Heading2"/>
      </w:pPr>
      <w:r>
        <w:t>Рукописные фонды и пакетная работа</w:t>
      </w:r>
    </w:p>
    <w:p>
      <w:pPr>
        <w:widowControl/>
      </w:pPr>
      <w:r>
        <w:t>ANU/HKS — сильный каталог и физический фонд транскрипций, но описание проекта оцифровки не доказывает готовность всех шести тысяч файлов онлайн. HMML/DREAMSEA подтверждает конкретную коллекцию из 54 лонтаров и пример предметной записи; исследованные страницы не раскрыли все заглавия и изображения. Из проверенных способов массового получения наиболее определённы четыре Git/XML-пакета DHARMA; рабочий IIIF/API/OAI-PMH для нужных рукописей в этом запуске не установлен.</w:t>
      </w:r>
      <w:r>
        <w:t xml:space="preserve">  </w:t>
      </w:r>
      <w:hyperlink r:id="rId72">
        <w:r>
          <w:rPr>
            <w:color w:val="17627A"/>
            <w:sz w:val="17"/>
          </w:rPr>
          <w:t>R073</w:t>
        </w:r>
      </w:hyperlink>
      <w:r>
        <w:t xml:space="preserve"> · </w:t>
      </w:r>
      <w:hyperlink r:id="rId85">
        <w:r>
          <w:rPr>
            <w:color w:val="17627A"/>
            <w:sz w:val="17"/>
          </w:rPr>
          <w:t>R074</w:t>
        </w:r>
      </w:hyperlink>
      <w:r>
        <w:t xml:space="preserve"> · </w:t>
      </w:r>
      <w:hyperlink r:id="rId86">
        <w:r>
          <w:rPr>
            <w:color w:val="17627A"/>
            <w:sz w:val="17"/>
          </w:rPr>
          <w:t>R075</w:t>
        </w:r>
      </w:hyperlink>
      <w:r>
        <w:t xml:space="preserve"> · </w:t>
      </w:r>
      <w:hyperlink r:id="rId87">
        <w:r>
          <w:rPr>
            <w:color w:val="17627A"/>
            <w:sz w:val="17"/>
          </w:rPr>
          <w:t>R076</w:t>
        </w:r>
      </w:hyperlink>
      <w:r>
        <w:t xml:space="preserve"> · </w:t>
      </w:r>
      <w:hyperlink r:id="rId25">
        <w:r>
          <w:rPr>
            <w:color w:val="17627A"/>
            <w:sz w:val="17"/>
          </w:rPr>
          <w:t>R080</w:t>
        </w:r>
      </w:hyperlink>
      <w:r>
        <w:t xml:space="preserve"> · </w:t>
      </w:r>
      <w:hyperlink r:id="rId26">
        <w:r>
          <w:rPr>
            <w:color w:val="17627A"/>
            <w:sz w:val="17"/>
          </w:rPr>
          <w:t>R081</w:t>
        </w:r>
      </w:hyperlink>
    </w:p>
    <w:p>
      <w:pPr>
        <w:pStyle w:val="Heading1"/>
      </w:pPr>
      <w:r>
        <w:t>4. Карта прав и практического использования</w:t>
      </w:r>
    </w:p>
    <w:p>
      <w:pPr>
        <w:pStyle w:val="Heading2"/>
      </w:pPr>
      <w:r>
        <w:t>Открытые текстовые слои</w:t>
      </w:r>
    </w:p>
    <w:p>
      <w:pPr>
        <w:widowControl/>
      </w:pPr>
      <w:r>
        <w:t>Потенциально пригодны для зеркалирования с условиями собственные цифровые тексты DHARMA под item-level CC BY-SA 4.0, собственные филологические редакции под CC BY 4.0, оригинальные тексты CIC под CC BY 3.0 и конкретный текст Pātañjalayogaśāstra в SARIT под CC BY-SA 3.0. Реестр не выдаёт общего разрешения на весь сайт. У каждой рекомендации зафиксированы coverage, rights_scope и адрес доказательства.</w:t>
      </w:r>
      <w:r>
        <w:t xml:space="preserve">  </w:t>
      </w:r>
      <w:hyperlink r:id="rId12">
        <w:r>
          <w:rPr>
            <w:color w:val="17627A"/>
            <w:sz w:val="17"/>
          </w:rPr>
          <w:t>R001</w:t>
        </w:r>
      </w:hyperlink>
      <w:r>
        <w:t xml:space="preserve"> · </w:t>
      </w:r>
      <w:hyperlink r:id="rId14">
        <w:r>
          <w:rPr>
            <w:color w:val="17627A"/>
            <w:sz w:val="17"/>
          </w:rPr>
          <w:t>R016</w:t>
        </w:r>
      </w:hyperlink>
      <w:r>
        <w:t xml:space="preserve"> · </w:t>
      </w:r>
      <w:hyperlink r:id="rId35">
        <w:r>
          <w:rPr>
            <w:color w:val="17627A"/>
            <w:sz w:val="17"/>
          </w:rPr>
          <w:t>R018</w:t>
        </w:r>
      </w:hyperlink>
      <w:r>
        <w:t xml:space="preserve"> · </w:t>
      </w:r>
      <w:hyperlink r:id="rId77">
        <w:r>
          <w:rPr>
            <w:color w:val="17627A"/>
            <w:sz w:val="17"/>
          </w:rPr>
          <w:t>R022</w:t>
        </w:r>
      </w:hyperlink>
      <w:r>
        <w:t xml:space="preserve"> · </w:t>
      </w:r>
      <w:hyperlink r:id="rId54">
        <w:r>
          <w:rPr>
            <w:color w:val="17627A"/>
            <w:sz w:val="17"/>
          </w:rPr>
          <w:t>R045</w:t>
        </w:r>
      </w:hyperlink>
      <w:r>
        <w:t xml:space="preserve"> · </w:t>
      </w:r>
      <w:hyperlink r:id="rId48">
        <w:r>
          <w:rPr>
            <w:color w:val="17627A"/>
            <w:sz w:val="17"/>
          </w:rPr>
          <w:t>R062</w:t>
        </w:r>
      </w:hyperlink>
      <w:r>
        <w:t xml:space="preserve"> · </w:t>
      </w:r>
      <w:hyperlink r:id="rId49">
        <w:r>
          <w:rPr>
            <w:color w:val="17627A"/>
            <w:sz w:val="17"/>
          </w:rPr>
          <w:t>R063</w:t>
        </w:r>
      </w:hyperlink>
    </w:p>
    <w:p>
      <w:pPr>
        <w:widowControl/>
      </w:pPr>
      <w:r>
        <w:t>Для атрибуции следует сохранять редакторов и переводчиков, название проекта, источники, уведомление о лицензии и сведения об изменениях. ShareAlike относится к распространению переработанного лицензированного материала; вопрос о статусе конкретного публичного индекса или набора embeddings нельзя решать простым снятием этой пометки. Положительные теги индексации и embeddings в реестре ограничены тем текстовым слоем, права на который действительно даны.</w:t>
      </w:r>
    </w:p>
    <w:p>
      <w:pPr>
        <w:pStyle w:val="Heading2"/>
      </w:pPr>
      <w:r>
        <w:t>Некоммерческое использование и неизменность</w:t>
      </w:r>
    </w:p>
    <w:p>
      <w:pPr>
        <w:widowControl/>
      </w:pPr>
      <w:r>
        <w:t>Редакция Yogasūtra Ashok Aklujkar в GRETIL имеет item-level CC BY-NC-SA 4.0. Она сохранена как полезный некоммерческий вариант: атрибуция, ограничение коммерческого использования и ShareAlike обязательны. Некоммерческий характер текущего ToS не распространяет это разрешение на другие файлы GRETIL и не освобождает от проверки будущей модели использования.</w:t>
      </w:r>
      <w:r>
        <w:t xml:space="preserve">  </w:t>
      </w:r>
      <w:hyperlink r:id="rId55">
        <w:r>
          <w:rPr>
            <w:color w:val="17627A"/>
            <w:sz w:val="17"/>
          </w:rPr>
          <w:t>R046</w:t>
        </w:r>
      </w:hyperlink>
    </w:p>
    <w:p>
      <w:pPr>
        <w:widowControl/>
      </w:pPr>
      <w:r>
        <w:t>Подтверждённых самостоятельных CC BY-ND/CC BY-NC-ND-маршрутов в этом реестре не выделено. Поэтому категория «можно распространять только неизменённым» не заполнена искусственно. У BORI запрет передачи копий строже и принципиально иной: это не разрешение раздавать неизменённый файл.</w:t>
      </w:r>
      <w:r>
        <w:t xml:space="preserve">  </w:t>
      </w:r>
      <w:hyperlink r:id="rId58">
        <w:r>
          <w:rPr>
            <w:color w:val="17627A"/>
            <w:sz w:val="17"/>
          </w:rPr>
          <w:t>R051</w:t>
        </w:r>
      </w:hyperlink>
    </w:p>
    <w:p>
      <w:pPr>
        <w:pStyle w:val="Heading2"/>
      </w:pPr>
      <w:r>
        <w:t>Бесплатное чтение без установленного зеркалирования</w:t>
      </w:r>
    </w:p>
    <w:p>
      <w:pPr>
        <w:widowControl/>
      </w:pPr>
      <w:r>
        <w:t>К этой группе относятся многие старояванские файлы GRETIL, официальные PDF с сохранённым copyright, заимствованные современные переводы внутри DHARMA, лонтар Bhuvanakośa и изображения третьих лиц в CIC. Право держать локальную исследовательскую копию отмечено только там, где источник её предлагает или лицензирует; это не право превратить копию в публичный индекс с выдачей текста или доступный пользователям файл.</w:t>
      </w:r>
      <w:r>
        <w:t xml:space="preserve">  </w:t>
      </w:r>
      <w:hyperlink r:id="rId45">
        <w:r>
          <w:rPr>
            <w:color w:val="17627A"/>
            <w:sz w:val="17"/>
          </w:rPr>
          <w:t>R019</w:t>
        </w:r>
      </w:hyperlink>
      <w:r>
        <w:t xml:space="preserve"> · </w:t>
      </w:r>
      <w:hyperlink r:id="rId37">
        <w:r>
          <w:rPr>
            <w:color w:val="17627A"/>
            <w:sz w:val="17"/>
          </w:rPr>
          <w:t>R028</w:t>
        </w:r>
      </w:hyperlink>
      <w:r>
        <w:t xml:space="preserve"> · </w:t>
      </w:r>
      <w:hyperlink r:id="rId83">
        <w:r>
          <w:rPr>
            <w:color w:val="17627A"/>
            <w:sz w:val="17"/>
          </w:rPr>
          <w:t>R036</w:t>
        </w:r>
      </w:hyperlink>
      <w:r>
        <w:t xml:space="preserve"> · </w:t>
      </w:r>
      <w:hyperlink r:id="rId16">
        <w:r>
          <w:rPr>
            <w:color w:val="17627A"/>
            <w:sz w:val="17"/>
          </w:rPr>
          <w:t>R037</w:t>
        </w:r>
      </w:hyperlink>
      <w:r>
        <w:t xml:space="preserve"> · </w:t>
      </w:r>
      <w:hyperlink r:id="rId44">
        <w:r>
          <w:rPr>
            <w:color w:val="17627A"/>
            <w:sz w:val="17"/>
          </w:rPr>
          <w:t>R057</w:t>
        </w:r>
      </w:hyperlink>
      <w:r>
        <w:t xml:space="preserve"> · </w:t>
      </w:r>
      <w:hyperlink r:id="rId60">
        <w:r>
          <w:rPr>
            <w:color w:val="17627A"/>
            <w:sz w:val="17"/>
          </w:rPr>
          <w:t>R058</w:t>
        </w:r>
      </w:hyperlink>
      <w:r>
        <w:t xml:space="preserve"> · </w:t>
      </w:r>
      <w:hyperlink r:id="rId33">
        <w:r>
          <w:rPr>
            <w:color w:val="17627A"/>
            <w:sz w:val="17"/>
          </w:rPr>
          <w:t>R068</w:t>
        </w:r>
      </w:hyperlink>
      <w:r>
        <w:t xml:space="preserve"> · </w:t>
      </w:r>
      <w:hyperlink r:id="rId11">
        <w:r>
          <w:rPr>
            <w:color w:val="17627A"/>
            <w:sz w:val="17"/>
          </w:rPr>
          <w:t>R084</w:t>
        </w:r>
      </w:hyperlink>
      <w:r>
        <w:t xml:space="preserve"> · </w:t>
      </w:r>
      <w:hyperlink r:id="rId13">
        <w:r>
          <w:rPr>
            <w:color w:val="17627A"/>
            <w:sz w:val="17"/>
          </w:rPr>
          <w:t>R088</w:t>
        </w:r>
      </w:hyperlink>
      <w:r>
        <w:t xml:space="preserve"> · </w:t>
      </w:r>
      <w:hyperlink r:id="rId13">
        <w:r>
          <w:rPr>
            <w:color w:val="17627A"/>
            <w:sz w:val="17"/>
          </w:rPr>
          <w:t>R089</w:t>
        </w:r>
      </w:hyperlink>
    </w:p>
    <w:p>
      <w:pPr>
        <w:widowControl/>
      </w:pPr>
      <w:r>
        <w:t>Современные книги Goodall, Acri, Robson/Sidomulyo, Saveros Pou и корпус Sarkar не исключены из карты из-за ограничений. Для них сохранены официальный магазин, preview, каталог либо библиотечный ориентир. Ни разу кнопка поиска книги в библиотеке не была названа уже проверенной Controlled Digital Lending-выдачей. Регистрация HMML также не объявлена разрешением распространять изображения.</w:t>
      </w:r>
      <w:r>
        <w:t xml:space="preserve">  </w:t>
      </w:r>
      <w:hyperlink r:id="rId18">
        <w:r>
          <w:rPr>
            <w:color w:val="17627A"/>
            <w:sz w:val="17"/>
          </w:rPr>
          <w:t>R020</w:t>
        </w:r>
      </w:hyperlink>
      <w:r>
        <w:t xml:space="preserve"> · </w:t>
      </w:r>
      <w:hyperlink r:id="rId82">
        <w:r>
          <w:rPr>
            <w:color w:val="17627A"/>
            <w:sz w:val="17"/>
          </w:rPr>
          <w:t>R048</w:t>
        </w:r>
      </w:hyperlink>
      <w:r>
        <w:t xml:space="preserve"> · </w:t>
      </w:r>
      <w:hyperlink r:id="rId20">
        <w:r>
          <w:rPr>
            <w:color w:val="17627A"/>
            <w:sz w:val="17"/>
          </w:rPr>
          <w:t>R055</w:t>
        </w:r>
      </w:hyperlink>
      <w:r>
        <w:t xml:space="preserve"> · </w:t>
      </w:r>
      <w:hyperlink r:id="rId67">
        <w:r>
          <w:rPr>
            <w:color w:val="17627A"/>
            <w:sz w:val="17"/>
          </w:rPr>
          <w:t>R060</w:t>
        </w:r>
      </w:hyperlink>
      <w:r>
        <w:t xml:space="preserve"> · </w:t>
      </w:r>
      <w:hyperlink r:id="rId70">
        <w:r>
          <w:rPr>
            <w:color w:val="17627A"/>
            <w:sz w:val="17"/>
          </w:rPr>
          <w:t>R071</w:t>
        </w:r>
      </w:hyperlink>
      <w:r>
        <w:t xml:space="preserve"> · </w:t>
      </w:r>
      <w:hyperlink r:id="rId26">
        <w:r>
          <w:rPr>
            <w:color w:val="17627A"/>
            <w:sz w:val="17"/>
          </w:rPr>
          <w:t>R081</w:t>
        </w:r>
      </w:hyperlink>
    </w:p>
    <w:p>
      <w:pPr>
        <w:pStyle w:val="Heading2"/>
      </w:pPr>
      <w:r>
        <w:t>Основа для собственного перевода ToS</w:t>
      </w:r>
    </w:p>
    <w:p>
      <w:pPr>
        <w:widowControl/>
      </w:pPr>
      <w:r>
        <w:t>Наиболее определённый путь — открытая оригинальноязычная транскрипция: соответствующие надписи DHARMA/CIC, Dharma Pātañjala, Mantranaya, изданная часть Sārasamuccaya и ряда поздних текстов, либо санскритский оригинал SARIT/GRETIL с конкретной лицензией. 36 маршрутов получили OWN_TRANSLATION_POSSIBLE, но это не 36 полных произведений и не 36 независимых разрешений: C.214/C.224 фрагментарны, ряд рукописных редакций неполон, повторные маршруты относятся к тем же памятникам.</w:t>
      </w:r>
    </w:p>
    <w:p>
      <w:pPr>
        <w:widowControl/>
      </w:pPr>
      <w:r>
        <w:t>Защищённый английский перевод, неочищенная современная реконструкция, нерассмотренный факсимильный слой или только каталожная запись не считаются чистой основой. Новый перевод с открытого текста необходимо снабжать корректной атрибуцией; при ShareAlike учитывать её условия. Доступ к индийскому источнику не заменяет сравнение с локальной редакцией: перевод Махабхараты не является переводом Sārasamuccaya.</w:t>
      </w:r>
      <w:r>
        <w:t xml:space="preserve">  </w:t>
      </w:r>
      <w:hyperlink r:id="rId35">
        <w:r>
          <w:rPr>
            <w:color w:val="17627A"/>
            <w:sz w:val="17"/>
          </w:rPr>
          <w:t>R018</w:t>
        </w:r>
      </w:hyperlink>
      <w:r>
        <w:t xml:space="preserve"> · </w:t>
      </w:r>
      <w:hyperlink r:id="rId54">
        <w:r>
          <w:rPr>
            <w:color w:val="17627A"/>
            <w:sz w:val="17"/>
          </w:rPr>
          <w:t>R045</w:t>
        </w:r>
      </w:hyperlink>
      <w:r>
        <w:t xml:space="preserve"> · </w:t>
      </w:r>
      <w:hyperlink r:id="rId55">
        <w:r>
          <w:rPr>
            <w:color w:val="17627A"/>
            <w:sz w:val="17"/>
          </w:rPr>
          <w:t>R046</w:t>
        </w:r>
      </w:hyperlink>
      <w:r>
        <w:t xml:space="preserve"> · </w:t>
      </w:r>
      <w:hyperlink r:id="rId58">
        <w:r>
          <w:rPr>
            <w:color w:val="17627A"/>
            <w:sz w:val="17"/>
          </w:rPr>
          <w:t>R051</w:t>
        </w:r>
      </w:hyperlink>
      <w:r>
        <w:t xml:space="preserve"> · </w:t>
      </w:r>
      <w:hyperlink r:id="rId59">
        <w:r>
          <w:rPr>
            <w:color w:val="17627A"/>
            <w:sz w:val="17"/>
          </w:rPr>
          <w:t>R052</w:t>
        </w:r>
      </w:hyperlink>
    </w:p>
    <w:p>
      <w:pPr>
        <w:widowControl/>
      </w:pPr>
      <w:r>
        <w:t>OCR_OK, FULLTEXT_INDEX_OK и EMBEDDINGS_OK — разные действия. Для уже машиночитаемого XML OCR обычно не нужен. Отсутствие OCR_OK не запрещает ручное чтение страницы, а наличие FULLTEXT_INDEX_OK не распространяется на фотографии. RIGHTS_REVIEW_REQUIRED рядом с положительным тегом блокирует использование за пределами явно описанного компонента, а не отменяет законность самой внешней ссылки.</w:t>
      </w:r>
    </w:p>
    <w:p>
      <w:pPr>
        <w:pStyle w:val="Heading1"/>
      </w:pPr>
      <w:r>
        <w:t>5. Характерные правовые и источниковедческие тонкости</w:t>
      </w:r>
    </w:p>
    <w:p>
      <w:pPr>
        <w:widowControl/>
      </w:pPr>
      <w:r>
        <w:rPr>
          <w:b/>
        </w:rPr>
        <w:t xml:space="preserve">Лицензия README и лицензия файла. </w:t>
      </w:r>
      <w:r>
        <w:t>Три эпиграфических README DHARMA говорят о CC BY 4.0, тогда как проверенные item-level TEI содержат CC BY-SA 4.0. Реестр использует более осторожное условие конкретного файла и сохраняет расхождение. Это не вывод о недействительности одной из лицензий и не основание автоматически перелицензировать данные.</w:t>
      </w:r>
      <w:r>
        <w:t xml:space="preserve">  </w:t>
      </w:r>
      <w:hyperlink r:id="rId72">
        <w:r>
          <w:rPr>
            <w:color w:val="17627A"/>
            <w:sz w:val="17"/>
          </w:rPr>
          <w:t>R073</w:t>
        </w:r>
      </w:hyperlink>
      <w:r>
        <w:t xml:space="preserve"> · </w:t>
      </w:r>
      <w:hyperlink r:id="rId85">
        <w:r>
          <w:rPr>
            <w:color w:val="17627A"/>
            <w:sz w:val="17"/>
          </w:rPr>
          <w:t>R074</w:t>
        </w:r>
      </w:hyperlink>
      <w:r>
        <w:t xml:space="preserve"> · </w:t>
      </w:r>
      <w:hyperlink r:id="rId86">
        <w:r>
          <w:rPr>
            <w:color w:val="17627A"/>
            <w:sz w:val="17"/>
          </w:rPr>
          <w:t>R075</w:t>
        </w:r>
      </w:hyperlink>
    </w:p>
    <w:p>
      <w:pPr>
        <w:widowControl/>
      </w:pPr>
      <w:r>
        <w:rPr>
          <w:b/>
        </w:rPr>
        <w:t xml:space="preserve">Заимствованный перевод внутри открытого контейнера. </w:t>
      </w:r>
      <w:r>
        <w:t>Тексты Goodall 2022, Sarkar, Bhattacharya и Sak-Humphry доступны на академических страницах, но контейнер XML не доказывает наличие права передать пользователю исходные авторские права на каждый перевод. Собственный перевод Griffiths выделен отдельно. Та же проблема возникает у OCR Santoso и Teeuw/Robson.</w:t>
      </w:r>
      <w:r>
        <w:t xml:space="preserve">  </w:t>
      </w:r>
      <w:hyperlink r:id="rId11">
        <w:r>
          <w:rPr>
            <w:color w:val="17627A"/>
            <w:sz w:val="17"/>
          </w:rPr>
          <w:t>R082</w:t>
        </w:r>
      </w:hyperlink>
      <w:r>
        <w:t xml:space="preserve"> · </w:t>
      </w:r>
      <w:hyperlink r:id="rId11">
        <w:r>
          <w:rPr>
            <w:color w:val="17627A"/>
            <w:sz w:val="17"/>
          </w:rPr>
          <w:t>R084</w:t>
        </w:r>
      </w:hyperlink>
      <w:r>
        <w:t xml:space="preserve"> · </w:t>
      </w:r>
      <w:hyperlink r:id="rId12">
        <w:r>
          <w:rPr>
            <w:color w:val="17627A"/>
            <w:sz w:val="17"/>
          </w:rPr>
          <w:t>R086</w:t>
        </w:r>
      </w:hyperlink>
      <w:r>
        <w:t xml:space="preserve"> · </w:t>
      </w:r>
      <w:hyperlink r:id="rId13">
        <w:r>
          <w:rPr>
            <w:color w:val="17627A"/>
            <w:sz w:val="17"/>
          </w:rPr>
          <w:t>R088</w:t>
        </w:r>
      </w:hyperlink>
      <w:r>
        <w:t xml:space="preserve"> · </w:t>
      </w:r>
      <w:hyperlink r:id="rId13">
        <w:r>
          <w:rPr>
            <w:color w:val="17627A"/>
            <w:sz w:val="17"/>
          </w:rPr>
          <w:t>R089</w:t>
        </w:r>
      </w:hyperlink>
      <w:r>
        <w:t xml:space="preserve"> · </w:t>
      </w:r>
      <w:hyperlink r:id="rId45">
        <w:r>
          <w:rPr>
            <w:color w:val="17627A"/>
            <w:sz w:val="17"/>
          </w:rPr>
          <w:t>R019</w:t>
        </w:r>
      </w:hyperlink>
      <w:r>
        <w:t xml:space="preserve"> · </w:t>
      </w:r>
      <w:hyperlink r:id="rId52">
        <w:r>
          <w:rPr>
            <w:color w:val="17627A"/>
            <w:sz w:val="17"/>
          </w:rPr>
          <w:t>R066</w:t>
        </w:r>
      </w:hyperlink>
    </w:p>
    <w:p>
      <w:pPr>
        <w:widowControl/>
      </w:pPr>
      <w:r>
        <w:rPr>
          <w:b/>
        </w:rPr>
        <w:t xml:space="preserve">Фотография не равна древней надписи. </w:t>
      </w:r>
      <w:r>
        <w:t>Инвентарный номер и древний текст можно описывать в карточке, но на снимок музея, эстампаж, цифровой суррогат лонтара и современную реконструкцию могут действовать самостоятельные условия. Даже свободный текст C.42 не даёт права зеркалировать фотографию MFA.</w:t>
      </w:r>
      <w:r>
        <w:t xml:space="preserve">  </w:t>
      </w:r>
      <w:hyperlink r:id="rId63">
        <w:r>
          <w:rPr>
            <w:color w:val="17627A"/>
            <w:sz w:val="17"/>
          </w:rPr>
          <w:t>R024</w:t>
        </w:r>
      </w:hyperlink>
      <w:r>
        <w:t xml:space="preserve"> · </w:t>
      </w:r>
      <w:hyperlink r:id="rId64">
        <w:r>
          <w:rPr>
            <w:color w:val="17627A"/>
            <w:sz w:val="17"/>
          </w:rPr>
          <w:t>R025</w:t>
        </w:r>
      </w:hyperlink>
      <w:r>
        <w:t xml:space="preserve"> · </w:t>
      </w:r>
      <w:hyperlink r:id="rId16">
        <w:r>
          <w:rPr>
            <w:color w:val="17627A"/>
            <w:sz w:val="17"/>
          </w:rPr>
          <w:t>R037</w:t>
        </w:r>
      </w:hyperlink>
      <w:r>
        <w:t xml:space="preserve"> · </w:t>
      </w:r>
      <w:hyperlink r:id="rId26">
        <w:r>
          <w:rPr>
            <w:color w:val="17627A"/>
            <w:sz w:val="17"/>
          </w:rPr>
          <w:t>R081</w:t>
        </w:r>
      </w:hyperlink>
    </w:p>
    <w:p>
      <w:pPr>
        <w:widowControl/>
      </w:pPr>
      <w:r>
        <w:rPr>
          <w:b/>
        </w:rPr>
        <w:t xml:space="preserve">Футер не является лицензией книги. </w:t>
      </w:r>
      <w:r>
        <w:t>У государственного репозитория Jñānasiddhānta присутствует CC BY-NC на уровне страницы, но без изучения книжного PDF нельзя распространить её на издание Djambatan. Аналогично официальная кнопка BDK Download подтверждает путь получения, а не свободное распространение перевода.</w:t>
      </w:r>
      <w:r>
        <w:t xml:space="preserve">  </w:t>
      </w:r>
      <w:hyperlink r:id="rId44">
        <w:r>
          <w:rPr>
            <w:color w:val="17627A"/>
            <w:sz w:val="17"/>
          </w:rPr>
          <w:t>R057</w:t>
        </w:r>
      </w:hyperlink>
      <w:r>
        <w:t xml:space="preserve"> · </w:t>
      </w:r>
      <w:hyperlink r:id="rId60">
        <w:r>
          <w:rPr>
            <w:color w:val="17627A"/>
            <w:sz w:val="17"/>
          </w:rPr>
          <w:t>R058</w:t>
        </w:r>
      </w:hyperlink>
    </w:p>
    <w:p>
      <w:pPr>
        <w:widowControl/>
      </w:pPr>
      <w:r>
        <w:rPr>
          <w:b/>
        </w:rPr>
        <w:t xml:space="preserve">Возраст издания и юрисдикция. </w:t>
      </w:r>
      <w:r>
        <w:t>NOT_IN_COPYRIGHT в записи старого скана и Public Domain в Project Gutenberg полезны, но не являются универсальными лицензиями. В реестре не дана безусловная рекомендация всемирного зеркалирования по одному американскому статусу. Public Domain Mark, когда встречается, следует понимать как обозначение статуса, а не лицензионный договор.</w:t>
      </w:r>
      <w:r>
        <w:t xml:space="preserve">  </w:t>
      </w:r>
      <w:hyperlink r:id="rId59">
        <w:r>
          <w:rPr>
            <w:color w:val="17627A"/>
            <w:sz w:val="17"/>
          </w:rPr>
          <w:t>R052</w:t>
        </w:r>
      </w:hyperlink>
      <w:r>
        <w:t xml:space="preserve"> · </w:t>
      </w:r>
      <w:hyperlink r:id="rId66">
        <w:r>
          <w:rPr>
            <w:color w:val="17627A"/>
            <w:sz w:val="17"/>
          </w:rPr>
          <w:t>R053</w:t>
        </w:r>
      </w:hyperlink>
    </w:p>
    <w:p>
      <w:pPr>
        <w:widowControl/>
      </w:pPr>
      <w:r>
        <w:rPr>
          <w:b/>
        </w:rPr>
        <w:t xml:space="preserve">Свидетель, произведение и дата. </w:t>
      </w:r>
      <w:r>
        <w:t>835 Śaka в Blanjong, заголовочная и текстовая даты Hampran, дата позднего лонтара и дата его оцифровки — разные сведения. K.575 не подменяет K.842. Проблемы чтения и атрибуции сохраняются в notes; современная цифровая редакция не объявлена окончательной или свободной от ошибок.</w:t>
      </w:r>
      <w:r>
        <w:t xml:space="preserve">  </w:t>
      </w:r>
      <w:hyperlink r:id="rId88">
        <w:r>
          <w:rPr>
            <w:color w:val="17627A"/>
            <w:sz w:val="17"/>
          </w:rPr>
          <w:t>R008</w:t>
        </w:r>
      </w:hyperlink>
      <w:r>
        <w:t xml:space="preserve"> · </w:t>
      </w:r>
      <w:hyperlink r:id="rId79">
        <w:r>
          <w:rPr>
            <w:color w:val="17627A"/>
            <w:sz w:val="17"/>
          </w:rPr>
          <w:t>R013</w:t>
        </w:r>
      </w:hyperlink>
      <w:r>
        <w:t xml:space="preserve"> · </w:t>
      </w:r>
      <w:hyperlink r:id="rId15">
        <w:r>
          <w:rPr>
            <w:color w:val="17627A"/>
            <w:sz w:val="17"/>
          </w:rPr>
          <w:t>R021</w:t>
        </w:r>
      </w:hyperlink>
      <w:r>
        <w:t xml:space="preserve"> · </w:t>
      </w:r>
      <w:hyperlink r:id="rId28">
        <w:r>
          <w:rPr>
            <w:color w:val="17627A"/>
            <w:sz w:val="17"/>
          </w:rPr>
          <w:t>R040</w:t>
        </w:r>
      </w:hyperlink>
      <w:r>
        <w:t xml:space="preserve"> · </w:t>
      </w:r>
      <w:hyperlink r:id="rId49">
        <w:r>
          <w:rPr>
            <w:color w:val="17627A"/>
            <w:sz w:val="17"/>
          </w:rPr>
          <w:t>R063</w:t>
        </w:r>
      </w:hyperlink>
    </w:p>
    <w:p>
      <w:pPr>
        <w:widowControl/>
      </w:pPr>
      <w:r>
        <w:rPr>
          <w:b/>
        </w:rPr>
        <w:t xml:space="preserve">Доступ без фактического полного текста. </w:t>
      </w:r>
      <w:r>
        <w:t>Карточка Sarkar, страница распроданного Cœdès, объявленный HathiTrust full view и коллекция HMML имеют практическую ценность, но различный фактический охват. verification_status объясняет, открыт ли сам текст, только метаданные или лишь кнопка выдачи. Внутри purchased coverage описывает объём продаваемой книги, а не бесплатно просмотренные страницы.</w:t>
      </w:r>
      <w:r>
        <w:t xml:space="preserve">  </w:t>
      </w:r>
      <w:hyperlink r:id="rId82">
        <w:r>
          <w:rPr>
            <w:color w:val="17627A"/>
            <w:sz w:val="17"/>
          </w:rPr>
          <w:t>R048</w:t>
        </w:r>
      </w:hyperlink>
      <w:r>
        <w:t xml:space="preserve"> · </w:t>
      </w:r>
      <w:hyperlink r:id="rId84">
        <w:r>
          <w:rPr>
            <w:color w:val="17627A"/>
            <w:sz w:val="17"/>
          </w:rPr>
          <w:t>R054</w:t>
        </w:r>
      </w:hyperlink>
      <w:r>
        <w:t xml:space="preserve"> · </w:t>
      </w:r>
      <w:hyperlink r:id="rId20">
        <w:r>
          <w:rPr>
            <w:color w:val="17627A"/>
            <w:sz w:val="17"/>
          </w:rPr>
          <w:t>R055</w:t>
        </w:r>
      </w:hyperlink>
      <w:r>
        <w:t xml:space="preserve"> · </w:t>
      </w:r>
      <w:hyperlink r:id="rId68">
        <w:r>
          <w:rPr>
            <w:color w:val="17627A"/>
            <w:sz w:val="17"/>
          </w:rPr>
          <w:t>R069</w:t>
        </w:r>
      </w:hyperlink>
      <w:r>
        <w:t xml:space="preserve"> · </w:t>
      </w:r>
      <w:hyperlink r:id="rId26">
        <w:r>
          <w:rPr>
            <w:color w:val="17627A"/>
            <w:sz w:val="17"/>
          </w:rPr>
          <w:t>R081</w:t>
        </w:r>
      </w:hyperlink>
    </w:p>
    <w:p>
      <w:pPr>
        <w:pStyle w:val="Heading1"/>
      </w:pPr>
      <w:r>
        <w:t>6. Пробелы и дальнейший поиск</w:t>
      </w:r>
    </w:p>
    <w:p>
      <w:pPr>
        <w:widowControl/>
      </w:pPr>
      <w:r>
        <w:t>На листе gaps зафиксировано 38 задач. Самые существенные: полный Bhuvanakośa и его современные переводы; полный двуязычный Blanjong; десять памятников Griffiths 2014 по отдельным номерам; факсимиле EFEO; пообъектная оцифровка ANU/HKS и HMML; полные законные экземпляры Sarkar и ряда исторических томов. Полный русский перевод основных якорей в проверенных источниках не найден; это не доказательство отсутствия русских переводов вообще.</w:t>
      </w:r>
    </w:p>
    <w:p>
      <w:pPr>
        <w:widowControl/>
      </w:pPr>
      <w:r>
        <w:t>Технически незавершённые входы включают отдельные DHARMA HTML-страницы при работающем raw XML, HathiTrust viewer, большой PDF Jñānasiddhānta, файл BDK, приложение ISEAS, некоторые HAL-страницы и издательские карточки. Отдельные издания известны лишь через библиографический/каталожный путь. Все эти ситуации различены в таблице: «не удалось открыть» не превращено в «произведение не существует».</w:t>
      </w:r>
    </w:p>
    <w:p>
      <w:pPr>
        <w:widowControl/>
      </w:pPr>
      <w:r>
        <w:t>Внепериодные кандидаты не исключены по возрасту. В gaps остались ранние источники Mantranaya и Kāśikāvṛtti, поздние редакции SHK, Tantu Panggĕlaran, параллельные śāsana и Pamutus, новые какавины и кандидаты Agastyaparva/Dharmaśūnya/Śivāgama. Для последних требуется сначала подтвердить конкретное произведение и связь, а затем искать доступ; общего тематического сходства недостаточно.</w:t>
      </w:r>
    </w:p>
    <w:p>
      <w:pPr>
        <w:pStyle w:val="Heading2"/>
      </w:pPr>
      <w:r>
        <w:t>Восемь приоритетных направлений</w:t>
      </w:r>
    </w:p>
    <w:p>
      <w:pPr>
        <w:widowControl/>
      </w:pPr>
      <w:r>
        <w:rPr>
          <w:b/>
        </w:rPr>
        <w:t xml:space="preserve">1. Два доктринальных якоря. </w:t>
      </w:r>
      <w:r>
        <w:t>Сопоставить лонтар Bhuvanakośa с академическим каталогом и критическим изданием; для Dharma Pātañjala установить доступ к английской и индонезийской версиям. Начать с G003–G005, а не с общего поиска «философия Бали».</w:t>
      </w:r>
    </w:p>
    <w:p>
      <w:pPr>
        <w:widowControl/>
      </w:pPr>
      <w:r>
        <w:rPr>
          <w:b/>
        </w:rPr>
        <w:t xml:space="preserve">2. Независимые изображения. </w:t>
      </w:r>
      <w:r>
        <w:t>По K.528, K.908, K.235 и Blanjong найти item-level факсимиле с инвентарем и правообладателем. Это даст возможность отделить чтение исторического оригинала от защищённого аппарата современной книги. Приоритет G001/G006.</w:t>
      </w:r>
    </w:p>
    <w:p>
      <w:pPr>
        <w:widowControl/>
      </w:pPr>
      <w:r>
        <w:rPr>
          <w:b/>
        </w:rPr>
        <w:t xml:space="preserve">3. Полный буддийский эпиграфический набор. </w:t>
      </w:r>
      <w:r>
        <w:t>Получить законную полную версию Griffiths 2014, извлечь десять идентификаторов, проверить каждый в DHARMA/музее и сопоставить формулы с установленными источниками. Приоритет G002.</w:t>
      </w:r>
    </w:p>
    <w:p>
      <w:pPr>
        <w:widowControl/>
      </w:pPr>
      <w:r>
        <w:rPr>
          <w:b/>
        </w:rPr>
        <w:t xml:space="preserve">4. Точные входящие тексты. </w:t>
      </w:r>
      <w:r>
        <w:t>Обработать Kāśikāvṛtti и источники SHKM из Ishii: сначала редакционная идентичность и соответствующие места, затем оригинал, перевод и права. Особенно не спутать тантрический Tattvasaṃgraha с одноимённым философским сочинением. Приоритет G019–G024.</w:t>
      </w:r>
    </w:p>
    <w:p>
      <w:pPr>
        <w:widowControl/>
      </w:pPr>
      <w:r>
        <w:rPr>
          <w:b/>
        </w:rPr>
        <w:t xml:space="preserve">5. Ближайшая рукописная семья. </w:t>
      </w:r>
      <w:r>
        <w:t>Проверить по файлам Deśavarṇana, Pamutus, Ṛṣiśāsana, Candrakiraṇa и ближайшие какавины. Отделять авторские транскрипции от OCR печатных изданий и от файлов, не относящихся к T2-41. Приоритет G027–G029.</w:t>
      </w:r>
    </w:p>
    <w:p>
      <w:pPr>
        <w:widowControl/>
      </w:pPr>
      <w:r>
        <w:rPr>
          <w:b/>
        </w:rPr>
        <w:t xml:space="preserve">6. Библиотечные полные экземпляры. </w:t>
      </w:r>
      <w:r>
        <w:t>Проверить Sarkar, Kats, Soebadio и Stuti and Stava через каталожные идентификаторы, не через подозрительные зеркала. Нужны реальная выдача/просмотр и её условия; не достаточно записи о наличии книги. Приоритет G013–G018.</w:t>
      </w:r>
    </w:p>
    <w:p>
      <w:pPr>
        <w:widowControl/>
      </w:pPr>
      <w:r>
        <w:rPr>
          <w:b/>
        </w:rPr>
        <w:t xml:space="preserve">7. HKS и DREAMSEA по предметам. </w:t>
      </w:r>
      <w:r>
        <w:t>Начинать с нужных заглавий и шифров, затем смотреть доступный слой, лицензию транскрипции и лицензию изображения отдельно. Проверить фактическую готовность оцифровки ANU вместо переноса обещаний страницы в метаданные. Приоритет G031–G032.</w:t>
      </w:r>
    </w:p>
    <w:p>
      <w:pPr>
        <w:widowControl/>
      </w:pPr>
      <w:r>
        <w:rPr>
          <w:b/>
        </w:rPr>
        <w:t xml:space="preserve">8. Правовая очистка для публичной публикации. </w:t>
      </w:r>
      <w:r>
        <w:t>Перед импортом файлов в ToS проверить чужие переводы DHARMA, фотографии CIC, старые издания по выбранной юрисдикции и источник каждого полного текста. Права для будущего запроса владельцу можно подготовить, но сам запрос этим исследованием не отправлялся. Приоритет G033–G038.</w:t>
      </w:r>
    </w:p>
    <w:p>
      <w:pPr>
        <w:widowControl/>
      </w:pPr>
      <w:r>
        <w:t>Реестр не исчерпывает региональные корпуса: поиск ещё способен дать новые предметные записи, особенно рукописные и факсимильные. Завершён проверяемый основной слой исследования, а не каталог всех санскритских памятников Юго-Восточной Азии. Непройденные направления сохранены конкретно, чтобы продолжение не начиналось заново с общих порталов.</w:t>
      </w:r>
    </w:p>
    <w:p>
      <w:pPr>
        <w:pStyle w:val="Heading1"/>
      </w:pPr>
      <w:r>
        <w:t>7. Итоговая оценка</w:t>
      </w:r>
    </w:p>
    <w:p>
      <w:pPr>
        <w:widowControl/>
      </w:pPr>
      <w:r>
        <w:t>Эпиграфическое ядро покрыто хорошо на уровне оригинального текста и научной навигации: большинство главных якорей доступно предметно, а не только через каталог проекта. Современные переводы доступны неравномерно; особенно полезны различённые переводы Kalasan, K.528 и K.235. Рукописная часть расширена существенно, но её полнота и права на изображения проверены слабее, чем права отдельных XML-транскрипций.</w:t>
      </w:r>
    </w:p>
    <w:p>
      <w:pPr>
        <w:widowControl/>
      </w:pPr>
      <w:r>
        <w:t>Самый свободный практически пригодный слой — собственные цифровые тексты и редакции с явной CC-лицензией, а не весь массив старых книг или любой файл с кнопкой Download. Главные ограничения сосредоточены в заимствованных современных переводах, OCR научных изданий, фотографиях и ещё не раскрытых рукописных фондах.</w:t>
      </w:r>
    </w:p>
    <w:p>
      <w:pPr>
        <w:widowControl/>
      </w:pPr>
      <w:r>
        <w:t>Пакет пригоден для передачи Codex как исследовательский реестр: он разделяет произведение, версию, свидетель и маршрут; сохраняет источники, область прав, степень проверки и пробелы. Он не является автоматическим разрешением на публикацию всех материалов. Первый практический импорт должен опираться одновременно на tos_use, rights_scope, coverage, verification_status и notes; по одному положительному тегу принимать решение нельзя.</w:t>
      </w:r>
    </w:p>
    <w:p>
      <w:pPr>
        <w:widowControl/>
      </w:pPr>
      <w:r>
        <w:t>Комплект: ToS_Corpus_Rights_T2-41_registry.xlsx — листы registry и gaps; ToS_Corpus_Rights_T2-41_report.docx — настоящий отчёт. Гиперссылки вида R001 ведут на источник соответствующей строки; полные URL, альтернативные загрузки и правовые доказательства сохранены в XLSX. Исходный DR не изменён, статус и исторические границы T2-41 сохранены.</w:t>
      </w:r>
    </w:p>
    <w:sectPr w:rsidR="00FC693F" w:rsidRPr="0006063C" w:rsidSect="00034616">
      <w:headerReference w:type="default" r:id="rId9"/>
      <w:footerReference w:type="default" r:id="rId10"/>
      <w:pgSz w:w="11906" w:h="16838"/>
      <w:pgMar w:top="1077" w:right="1077" w:bottom="1020" w:left="1191" w:header="454" w:footer="454"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right"/>
    </w:pPr>
    <w:r>
      <w:rPr>
        <w:sz w:val="16"/>
      </w:rPr>
      <w:t xml:space="preserve">Проверено 04.09.2026   ·   </w:t>
    </w:r>
    <w:fldSimple w:instr="PAGE"/>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r>
      <w:rPr>
        <w:color w:val="45616B"/>
        <w:sz w:val="16"/>
      </w:rPr>
      <w:t>ToS / Древо Софии                                         CORPUS &amp; RIGHTS · T2-41</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69" w:lineRule="auto" w:after="120"/>
    </w:pPr>
    <w:rPr>
      <w:rFonts w:ascii="DejaVu Sans" w:hAnsi="DejaVu Sans"/>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260" w:after="120"/>
      <w:outlineLvl w:val="0"/>
    </w:pPr>
    <w:rPr>
      <w:rFonts w:asciiTheme="majorHAnsi" w:eastAsiaTheme="majorEastAsia" w:hAnsiTheme="majorHAnsi" w:cstheme="majorBidi" w:ascii="DejaVu Sans" w:hAnsi="DejaVu Sans"/>
      <w:b/>
      <w:bCs/>
      <w:color w:val="164655"/>
      <w:sz w:val="32"/>
      <w:szCs w:val="28"/>
    </w:rPr>
  </w:style>
  <w:style w:type="paragraph" w:styleId="Heading2">
    <w:name w:val="heading 2"/>
    <w:basedOn w:val="Normal"/>
    <w:next w:val="Normal"/>
    <w:link w:val="Heading2Char"/>
    <w:uiPriority w:val="9"/>
    <w:unhideWhenUsed/>
    <w:qFormat/>
    <w:rsid w:val="00FC693F"/>
    <w:pPr>
      <w:keepNext/>
      <w:keepLines/>
      <w:spacing w:before="260" w:after="120"/>
      <w:outlineLvl w:val="1"/>
    </w:pPr>
    <w:rPr>
      <w:rFonts w:asciiTheme="majorHAnsi" w:eastAsiaTheme="majorEastAsia" w:hAnsiTheme="majorHAnsi" w:cstheme="majorBidi" w:ascii="DejaVu Sans" w:hAnsi="DejaVu Sans"/>
      <w:b/>
      <w:bCs/>
      <w:color w:val="164655"/>
      <w:sz w:val="24"/>
      <w:szCs w:val="26"/>
    </w:rPr>
  </w:style>
  <w:style w:type="paragraph" w:styleId="Heading3">
    <w:name w:val="heading 3"/>
    <w:basedOn w:val="Normal"/>
    <w:next w:val="Normal"/>
    <w:link w:val="Heading3Char"/>
    <w:uiPriority w:val="9"/>
    <w:unhideWhenUsed/>
    <w:qFormat/>
    <w:rsid w:val="00FC693F"/>
    <w:pPr>
      <w:keepNext/>
      <w:keepLines/>
      <w:spacing w:before="260" w:after="120"/>
      <w:outlineLvl w:val="2"/>
    </w:pPr>
    <w:rPr>
      <w:rFonts w:asciiTheme="majorHAnsi" w:eastAsiaTheme="majorEastAsia" w:hAnsiTheme="majorHAnsi" w:cstheme="majorBidi" w:ascii="DejaVu Sans" w:hAnsi="DejaVu Sans"/>
      <w:b/>
      <w:bCs/>
      <w:color w:val="164655"/>
      <w:sz w:val="2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120" w:line="240" w:lineRule="auto" w:before="0"/>
      <w:contextualSpacing/>
    </w:pPr>
    <w:rPr>
      <w:rFonts w:asciiTheme="majorHAnsi" w:eastAsiaTheme="majorEastAsia" w:hAnsiTheme="majorHAnsi" w:cstheme="majorBidi" w:ascii="DejaVu Sans" w:hAnsi="DejaVu Sans"/>
      <w:color w:val="164655"/>
      <w:spacing w:val="5"/>
      <w:kern w:val="28"/>
      <w:sz w:val="46"/>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spacing w:before="0" w:after="120"/>
    </w:pPr>
    <w:rPr>
      <w:rFonts w:asciiTheme="majorHAnsi" w:eastAsiaTheme="majorEastAsia" w:hAnsiTheme="majorHAnsi" w:cstheme="majorBidi" w:ascii="DejaVu Sans" w:hAnsi="DejaVu Sans"/>
      <w:i/>
      <w:iCs/>
      <w:color w:val="45616B"/>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 Id="rId11" Type="http://schemas.openxmlformats.org/officeDocument/2006/relationships/hyperlink" Target="https://dharmalekha.info/texts/INSIDENKKalasan" TargetMode="External"/><Relationship Id="rId12" Type="http://schemas.openxmlformats.org/officeDocument/2006/relationships/hyperlink" Target="https://raw.githubusercontent.com/erc-dharma/tfc-khmer-epigraphy/master/texts/xml/DHARMA_INSCIK00528.xml" TargetMode="External"/><Relationship Id="rId13" Type="http://schemas.openxmlformats.org/officeDocument/2006/relationships/hyperlink" Target="https://dharmalekha.info/texts/INSCIK00235" TargetMode="External"/><Relationship Id="rId14" Type="http://schemas.openxmlformats.org/officeDocument/2006/relationships/hyperlink" Target="https://raw.githubusercontent.com/erc-dharma/tfd-nusantara-philology/master/editions/DHARMA_CritEdDharmaPatanjala.xml" TargetMode="External"/><Relationship Id="rId15" Type="http://schemas.openxmlformats.org/officeDocument/2006/relationships/hyperlink" Target="https://www.pariwisata.denpasarkota.go.id/artikel/prasasti-blanjong" TargetMode="External"/><Relationship Id="rId16" Type="http://schemas.openxmlformats.org/officeDocument/2006/relationships/hyperlink" Target="https://archive.org/details/bhuwana-kosa" TargetMode="External"/><Relationship Id="rId17" Type="http://schemas.openxmlformats.org/officeDocument/2006/relationships/hyperlink" Target="https://www.cambridge.org/core/journals/bulletin-of-the-school-of-oriental-and-african-studies/article/abs/written-traces-of-the-buddhist-past-mantras-and-dharanis-in-indonesian-inscriptions/EE8B40FD07C8ADEF58DB6F78CA813A02" TargetMode="External"/><Relationship Id="rId18" Type="http://schemas.openxmlformats.org/officeDocument/2006/relationships/hyperlink" Target="https://publications.efeo.fr/en/livres/975_the-east-mebon-stele-inscription-from-angkor-k-528" TargetMode="External"/><Relationship Id="rId19" Type="http://schemas.openxmlformats.org/officeDocument/2006/relationships/hyperlink" Target="https://publications.efeo.fr/fr/livres/170_etudes-d-epigraphie-indonesienne" TargetMode="External"/><Relationship Id="rId20" Type="http://schemas.openxmlformats.org/officeDocument/2006/relationships/hyperlink" Target="https://openlibrary.org/works/OL4946806W/Corpus_of_the_inscriptions_of_Java_(Corpus_inscriptionum_Javanicarum)_up_to_928_A.D?edition=key:/books/OL5401583M" TargetMode="External"/><Relationship Id="rId21" Type="http://schemas.openxmlformats.org/officeDocument/2006/relationships/hyperlink" Target="https://dharmalekha.info/about" TargetMode="External"/><Relationship Id="rId22" Type="http://schemas.openxmlformats.org/officeDocument/2006/relationships/hyperlink" Target="https://cik.efeo.fr/" TargetMode="External"/><Relationship Id="rId23" Type="http://schemas.openxmlformats.org/officeDocument/2006/relationships/hyperlink" Target="https://isaw.nyu.edu/publications/inscriptions/campa/about.html" TargetMode="External"/><Relationship Id="rId24" Type="http://schemas.openxmlformats.org/officeDocument/2006/relationships/hyperlink" Target="https://siddham.network/sample-page/" TargetMode="External"/><Relationship Id="rId25" Type="http://schemas.openxmlformats.org/officeDocument/2006/relationships/hyperlink" Target="https://anulib.anu.edu.au/balinese-manuscripts" TargetMode="External"/><Relationship Id="rId26" Type="http://schemas.openxmlformats.org/officeDocument/2006/relationships/hyperlink" Target="https://hmml.org/collections/repositories/indonesia/private-collection-of-i-made-kajeng-waras-himawan-suweca/" TargetMode="External"/><Relationship Id="rId27" Type="http://schemas.openxmlformats.org/officeDocument/2006/relationships/hyperlink" Target="https://dharmalekha.info/texts/INSCIK00273" TargetMode="External"/><Relationship Id="rId28" Type="http://schemas.openxmlformats.org/officeDocument/2006/relationships/hyperlink" Target="https://dharmalekha.info/texts/INSCIK00842" TargetMode="External"/><Relationship Id="rId29" Type="http://schemas.openxmlformats.org/officeDocument/2006/relationships/hyperlink" Target="https://dharmalekha.info/texts/INSCIK00713" TargetMode="External"/><Relationship Id="rId30" Type="http://schemas.openxmlformats.org/officeDocument/2006/relationships/hyperlink" Target="https://dharmalekha.info/texts/INSCIK00447" TargetMode="External"/><Relationship Id="rId31" Type="http://schemas.openxmlformats.org/officeDocument/2006/relationships/hyperlink" Target="https://dharmalekha.info/texts/INSCIK00012" TargetMode="External"/><Relationship Id="rId32" Type="http://schemas.openxmlformats.org/officeDocument/2006/relationships/hyperlink" Target="https://dharmalekha.info/texts/INSCIK00574" TargetMode="External"/><Relationship Id="rId33" Type="http://schemas.openxmlformats.org/officeDocument/2006/relationships/hyperlink" Target="https://medievalworlds.net/?arp=0x003c9ce4" TargetMode="External"/><Relationship Id="rId34" Type="http://schemas.openxmlformats.org/officeDocument/2006/relationships/hyperlink" Target="https://raw.githubusercontent.com/erc-dharma/tfd-nusantara-philology/master/editions/DHARMA_CritEdKamahayananMantranaya.xml" TargetMode="External"/><Relationship Id="rId35" Type="http://schemas.openxmlformats.org/officeDocument/2006/relationships/hyperlink" Target="https://raw.githubusercontent.com/erc-dharma/tfd-nusantara-philology/master/editions/DHARMA_CritEdSarasamuccayaVararuci.xml" TargetMode="External"/><Relationship Id="rId36" Type="http://schemas.openxmlformats.org/officeDocument/2006/relationships/hyperlink" Target="https://gretil.sub.uni-goettingen.de/gretil/5_var/oldjav/sanghy_u.htm" TargetMode="External"/><Relationship Id="rId37" Type="http://schemas.openxmlformats.org/officeDocument/2006/relationships/hyperlink" Target="https://gretil.sub.uni-goettingen.de/gretil/5_var/oldjav/vrhasp_u.htm" TargetMode="External"/><Relationship Id="rId38" Type="http://schemas.openxmlformats.org/officeDocument/2006/relationships/hyperlink" Target="https://gretil.sub.uni-goettingen.de/gretil/5_var/oldjav/tatjna_u.htm" TargetMode="External"/><Relationship Id="rId39" Type="http://schemas.openxmlformats.org/officeDocument/2006/relationships/hyperlink" Target="https://gretil.sub.uni-goettingen.de/gretil/5_var/oldjav/ganapatu.htm" TargetMode="External"/><Relationship Id="rId40" Type="http://schemas.openxmlformats.org/officeDocument/2006/relationships/hyperlink" Target="https://gretil.sub.uni-goettingen.de/gretil/5_var/oldjav/mahjna_u.htm" TargetMode="External"/><Relationship Id="rId41" Type="http://schemas.openxmlformats.org/officeDocument/2006/relationships/hyperlink" Target="https://gretil.sub.uni-goettingen.de/gretil/5_var/oldjav/slokant_u.htm" TargetMode="External"/><Relationship Id="rId42" Type="http://schemas.openxmlformats.org/officeDocument/2006/relationships/hyperlink" Target="https://gretil.sub.uni-goettingen.de/gretil/5_var/oldjav/vratisasana_u.htm" TargetMode="External"/><Relationship Id="rId43" Type="http://schemas.openxmlformats.org/officeDocument/2006/relationships/hyperlink" Target="https://gretil.sub.uni-goettingen.de/gretil/5_var/oldjav/kalpbudu.htm" TargetMode="External"/><Relationship Id="rId44" Type="http://schemas.openxmlformats.org/officeDocument/2006/relationships/hyperlink" Target="https://repositori.kemendikdasmen.go.id/1942/" TargetMode="External"/><Relationship Id="rId45" Type="http://schemas.openxmlformats.org/officeDocument/2006/relationships/hyperlink" Target="https://raw.githubusercontent.com/erc-dharma/tfd-nusantara-philology/master/editions/DHARMA_CritEdKakavinSutasoma.xml" TargetMode="External"/><Relationship Id="rId46" Type="http://schemas.openxmlformats.org/officeDocument/2006/relationships/hyperlink" Target="https://gretil.sub.uni-goettingen.de/gretil/5_var/oldjav/kunjarakarna_u.htm" TargetMode="External"/><Relationship Id="rId47" Type="http://schemas.openxmlformats.org/officeDocument/2006/relationships/hyperlink" Target="https://books.google.com/books/about/Stuti_and_Stava_Bauddha_%C5%9Aaiva_and_Vaisn.html?id=r8wlAQAAIAAJ" TargetMode="External"/><Relationship Id="rId48" Type="http://schemas.openxmlformats.org/officeDocument/2006/relationships/hyperlink" Target="https://raw.githubusercontent.com/erc-dharma/tfd-nusantara-philology/master/editions/DHARMA_CritEdDevasasana.xml" TargetMode="External"/><Relationship Id="rId49" Type="http://schemas.openxmlformats.org/officeDocument/2006/relationships/hyperlink" Target="https://raw.githubusercontent.com/erc-dharma/tfd-nusantara-philology/master/editions/DHARMA_CritEdTattvaBrataBali.xml" TargetMode="External"/><Relationship Id="rId50" Type="http://schemas.openxmlformats.org/officeDocument/2006/relationships/hyperlink" Target="https://raw.githubusercontent.com/erc-dharma/tfd-nusantara-philology/master/editions/DHARMA_CritEdDurgastaka.xml" TargetMode="External"/><Relationship Id="rId51" Type="http://schemas.openxmlformats.org/officeDocument/2006/relationships/hyperlink" Target="https://raw.githubusercontent.com/erc-dharma/tfd-nusantara-philology/master/editions/DHARMA_CritEdKakavinArjunavivaha.xml" TargetMode="External"/><Relationship Id="rId52" Type="http://schemas.openxmlformats.org/officeDocument/2006/relationships/hyperlink" Target="https://raw.githubusercontent.com/erc-dharma/tfd-nusantara-philology/master/editions/DHARMA_CritEdKakavinKunjarakarnaDharmakathana.xml" TargetMode="External"/><Relationship Id="rId53" Type="http://schemas.openxmlformats.org/officeDocument/2006/relationships/hyperlink" Target="https://raw.githubusercontent.com/erc-dharma/tfd-nusantara-philology/master/editions/DHARMA_CritEdKakavinRamavijayaTaningrat.xml" TargetMode="External"/><Relationship Id="rId54" Type="http://schemas.openxmlformats.org/officeDocument/2006/relationships/hyperlink" Target="https://github.com/sarit/SARIT-corpus/blob/master/patanjalayogasastra.xml" TargetMode="External"/><Relationship Id="rId55" Type="http://schemas.openxmlformats.org/officeDocument/2006/relationships/hyperlink" Target="https://gretil.sub.uni-goettingen.de/gretil/corpustei/transformations/html/sa_pataJjali-yogasUtra-alt.htm" TargetMode="External"/><Relationship Id="rId56" Type="http://schemas.openxmlformats.org/officeDocument/2006/relationships/hyperlink" Target="https://nalandauniv.edu.in/news/sbs-special-lecture-dharma-patanjala-a-saiva-scripture-from-ancient-java/" TargetMode="External"/><Relationship Id="rId57" Type="http://schemas.openxmlformats.org/officeDocument/2006/relationships/hyperlink" Target="https://baotanglichsu.vn/VI/Articles/3101/14876/bia-vo-canh-tam-bia-champa-co-nhat.html" TargetMode="External"/><Relationship Id="rId58" Type="http://schemas.openxmlformats.org/officeDocument/2006/relationships/hyperlink" Target="https://bombay.indology.info/mahabharata/welcome.html" TargetMode="External"/><Relationship Id="rId59" Type="http://schemas.openxmlformats.org/officeDocument/2006/relationships/hyperlink" Target="https://www.gutenberg.org/ebooks/15477" TargetMode="External"/><Relationship Id="rId60" Type="http://schemas.openxmlformats.org/officeDocument/2006/relationships/hyperlink" Target="https://www.bdkamerica.org/product/the-vairocanabhisambodhi-sutra/" TargetMode="External"/><Relationship Id="rId61" Type="http://schemas.openxmlformats.org/officeDocument/2006/relationships/hyperlink" Target="https://www.jstage.jst.go.jp/article/tak/27/1/27_KJ00000131497/_article/-char/en" TargetMode="External"/><Relationship Id="rId62" Type="http://schemas.openxmlformats.org/officeDocument/2006/relationships/hyperlink" Target="https://isaw.nyu.edu/publications/inscriptions/campa/inscriptions/C0001.html" TargetMode="External"/><Relationship Id="rId63" Type="http://schemas.openxmlformats.org/officeDocument/2006/relationships/hyperlink" Target="https://isaw.nyu.edu/publications/inscriptions/campa/inscriptions/C0042.html" TargetMode="External"/><Relationship Id="rId64" Type="http://schemas.openxmlformats.org/officeDocument/2006/relationships/hyperlink" Target="https://isaw.nyu.edu/publications/inscriptions/campa/inscriptions/C0214.html" TargetMode="External"/><Relationship Id="rId65" Type="http://schemas.openxmlformats.org/officeDocument/2006/relationships/hyperlink" Target="https://isaw.nyu.edu/publications/inscriptions/campa/inscriptions/C0224.html" TargetMode="External"/><Relationship Id="rId66" Type="http://schemas.openxmlformats.org/officeDocument/2006/relationships/hyperlink" Target="https://archive.org/details/inscriptionssans00bartuoft" TargetMode="External"/><Relationship Id="rId67" Type="http://schemas.openxmlformats.org/officeDocument/2006/relationships/hyperlink" Target="https://bookshop.iseas.edu.sg/publication/2483" TargetMode="External"/><Relationship Id="rId68" Type="http://schemas.openxmlformats.org/officeDocument/2006/relationships/hyperlink" Target="https://publications.efeo.fr/fr/livres/752_inscriptions-du-cambodge-volume-1" TargetMode="External"/><Relationship Id="rId69" Type="http://schemas.openxmlformats.org/officeDocument/2006/relationships/hyperlink" Target="https://publications.efeo.fr/fr/livres/180_inscriptions-du-cambodge-volume-8" TargetMode="External"/><Relationship Id="rId70" Type="http://schemas.openxmlformats.org/officeDocument/2006/relationships/hyperlink" Target="https://publications.efeo.fr/fr/livres/323_nouvelles-inscriptions-du-cambodge-ii-iii" TargetMode="External"/><Relationship Id="rId71" Type="http://schemas.openxmlformats.org/officeDocument/2006/relationships/hyperlink" Target="https://dharmalekha.info/texts/INSCIK00908" TargetMode="External"/><Relationship Id="rId72" Type="http://schemas.openxmlformats.org/officeDocument/2006/relationships/hyperlink" Target="https://github.com/erc-dharma/tfc-khmer-epigraphy" TargetMode="External"/><Relationship Id="rId73" Type="http://schemas.openxmlformats.org/officeDocument/2006/relationships/hyperlink" Target="https://dharmalekha.info/texts/INSCIC00041" TargetMode="External"/><Relationship Id="rId74" Type="http://schemas.openxmlformats.org/officeDocument/2006/relationships/hyperlink" Target="https://dharmalekha.info/texts/INSCIC00066" TargetMode="External"/><Relationship Id="rId75" Type="http://schemas.openxmlformats.org/officeDocument/2006/relationships/hyperlink" Target="https://dharmalekha.info/texts/INSCIC00080" TargetMode="External"/><Relationship Id="rId76" Type="http://schemas.openxmlformats.org/officeDocument/2006/relationships/hyperlink" Target="https://dharmalekha.info/texts/INSCIC00020" TargetMode="External"/><Relationship Id="rId77" Type="http://schemas.openxmlformats.org/officeDocument/2006/relationships/hyperlink" Target="https://isaw.nyu.edu/publications/inscriptions/campa/inscriptions/C0080.html" TargetMode="External"/><Relationship Id="rId78" Type="http://schemas.openxmlformats.org/officeDocument/2006/relationships/hyperlink" Target="https://dharmalekha.info/texts/INSIDENKCanggal" TargetMode="External"/><Relationship Id="rId79" Type="http://schemas.openxmlformats.org/officeDocument/2006/relationships/hyperlink" Target="https://dharmalekha.info/texts/INSIDENKHampran" TargetMode="External"/><Relationship Id="rId80" Type="http://schemas.openxmlformats.org/officeDocument/2006/relationships/hyperlink" Target="https://dharmalekha.info/texts/INSIDENKManjusrigerha" TargetMode="External"/><Relationship Id="rId81" Type="http://schemas.openxmlformats.org/officeDocument/2006/relationships/hyperlink" Target="https://dharmalekha.info/texts/INSIDENKWukiran" TargetMode="External"/><Relationship Id="rId82" Type="http://schemas.openxmlformats.org/officeDocument/2006/relationships/hyperlink" Target="https://www.adityaprakashan.com/index.php?p=sr&amp;Field=isbn&amp;Exactly=yes&amp;Format=detail&amp;String=9788177421675" TargetMode="External"/><Relationship Id="rId83" Type="http://schemas.openxmlformats.org/officeDocument/2006/relationships/hyperlink" Target="https://www.shin-ibs.edu/documents/pwj3-20/2.7_KandahjayaFinal.pdf" TargetMode="External"/><Relationship Id="rId84" Type="http://schemas.openxmlformats.org/officeDocument/2006/relationships/hyperlink" Target="https://catalog.hathitrust.org/Record/100175440" TargetMode="External"/><Relationship Id="rId85" Type="http://schemas.openxmlformats.org/officeDocument/2006/relationships/hyperlink" Target="https://github.com/erc-dharma/tfc-campa-epigraphy" TargetMode="External"/><Relationship Id="rId86" Type="http://schemas.openxmlformats.org/officeDocument/2006/relationships/hyperlink" Target="https://github.com/erc-dharma/tfc-nusantara-epigraphy" TargetMode="External"/><Relationship Id="rId87" Type="http://schemas.openxmlformats.org/officeDocument/2006/relationships/hyperlink" Target="https://github.com/erc-dharma/tfd-nusantara-philology" TargetMode="External"/><Relationship Id="rId88" Type="http://schemas.openxmlformats.org/officeDocument/2006/relationships/hyperlink" Target="https://dharmalekha.info/texts/INSCIK00575"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ToS Corpus &amp; Rights Registry — T2-41</dc:title>
  <dc:subject>Санскритская космопольная книжность Юго-Восточной Азии: корпус, доступ, права</dc:subject>
  <dc:creator>ToS / Древо Софии</dc:creator>
  <cp:keywords>T2-41; corpus; rights; Sanskrit; Khmer; Campa; Old Javanese; Balinese</cp:keywords>
  <dc:description>generated by python-docx</dc:description>
  <cp:lastModifiedBy/>
  <cp:revision>1</cp:revision>
  <dcterms:created xsi:type="dcterms:W3CDTF">2013-12-23T23:15:00Z</dcterms:created>
  <dcterms:modified xsi:type="dcterms:W3CDTF">2013-12-23T23:15:00Z</dcterms:modified>
  <cp:category/>
</cp:coreProperties>
</file>