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Noto Sans" w:hAnsi="Noto Sans"/>
          <w:b/>
          <w:color w:val="1C6675"/>
          <w:sz w:val="22"/>
        </w:rPr>
        <w:t>TREE OF SOPHIA</w:t>
      </w:r>
    </w:p>
    <w:p>
      <w:pPr>
        <w:pStyle w:val="Title"/>
        <w:jc w:val="center"/>
      </w:pPr>
      <w:r>
        <w:t>ToS Corpus &amp; Rights Registry</w:t>
      </w:r>
    </w:p>
    <w:p>
      <w:pPr>
        <w:pStyle w:val="Subtitle"/>
        <w:jc w:val="center"/>
      </w:pPr>
      <w:r>
        <w:t>A20 — Южная Азия</w:t>
        <w:br/>
        <w:t>Классическая индийская буддийская шастра</w:t>
      </w:r>
    </w:p>
    <w:p>
      <w:pPr>
        <w:spacing w:before="160" w:after="320"/>
        <w:jc w:val="center"/>
      </w:pPr>
      <w:r>
        <w:rPr>
          <w:rFonts w:ascii="Noto Sans" w:hAnsi="Noto Sans"/>
          <w:color w:val="536470"/>
          <w:sz w:val="19"/>
        </w:rPr>
        <w:t xml:space="preserve">Статус A  ·  проверка 3 сентября 2026  ·  </w:t>
      </w:r>
      <w:hyperlink r:id="rId11">
        <w:r>
          <w:rPr>
            <w:color w:val="1C6675"/>
            <w:u w:val="single"/>
            <w:rFonts w:ascii="Noto Sans" w:hAnsi="Noto Sans"/>
          </w:rPr>
          <w:t>XLSX-реестр поставляется отдельно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592"/>
            <w:shd w:fill="E7F1F3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17324D"/>
                <w:sz w:val="44"/>
              </w:rPr>
              <w:t>131</w:t>
            </w:r>
          </w:p>
          <w:p>
            <w:pPr>
              <w:pStyle w:val="ReportSmall"/>
              <w:jc w:val="center"/>
            </w:pPr>
            <w:r>
              <w:t>практически отличимых путей доступа</w:t>
            </w:r>
          </w:p>
        </w:tc>
        <w:tc>
          <w:tcPr>
            <w:tcW w:type="dxa" w:w="4592"/>
            <w:shd w:fill="E9F0FA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17324D"/>
                <w:sz w:val="44"/>
              </w:rPr>
              <w:t>79</w:t>
            </w:r>
          </w:p>
          <w:p>
            <w:pPr>
              <w:pStyle w:val="ReportSmall"/>
              <w:jc w:val="center"/>
            </w:pPr>
            <w:r>
              <w:t>схлопнутых названий произведений/корпусов</w:t>
            </w:r>
          </w:p>
        </w:tc>
      </w:tr>
      <w:tr>
        <w:trPr>
          <w:cantSplit/>
        </w:trPr>
        <w:tc>
          <w:tcPr>
            <w:tcW w:type="dxa" w:w="4592"/>
            <w:shd w:fill="E9F0FA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17324D"/>
                <w:sz w:val="44"/>
              </w:rPr>
              <w:t>20</w:t>
            </w:r>
          </w:p>
          <w:p>
            <w:pPr>
              <w:pStyle w:val="ReportSmall"/>
              <w:jc w:val="center"/>
            </w:pPr>
            <w:r>
              <w:t>уникальных core-заголовков</w:t>
            </w:r>
          </w:p>
        </w:tc>
        <w:tc>
          <w:tcPr>
            <w:tcW w:type="dxa" w:w="4592"/>
            <w:shd w:fill="E7F1F3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17324D"/>
                <w:sz w:val="44"/>
              </w:rPr>
              <w:t>20</w:t>
            </w:r>
          </w:p>
          <w:p>
            <w:pPr>
              <w:pStyle w:val="ReportSmall"/>
              <w:jc w:val="center"/>
            </w:pPr>
            <w:r>
              <w:t>целевых пробелов и направлений поиска</w:t>
            </w:r>
          </w:p>
        </w:tc>
      </w:tr>
    </w:tbl>
    <w:p>
      <w:pPr>
        <w:pStyle w:val="ReportLead"/>
        <w:spacing w:before="320"/>
        <w:jc w:val="center"/>
      </w:pPr>
      <w:r>
        <w:t>Карта законных путей к Sarvāstivāda Abhidharma, Madhyamaka, Yogācāra, их ранним предпосылкам, поздним комментариям, переводам и цифровым слоям.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" w:hAnsi="Noto Sans"/>
                <w:b/>
                <w:color w:val="17324D"/>
              </w:rPr>
              <w:t>Принцип чтения реестра</w:t>
            </w:r>
          </w:p>
          <w:p>
            <w:pPr>
              <w:spacing w:after="0"/>
            </w:pPr>
            <w:r>
              <w:t>Каждая строка XLSX — отдельный способ доступа, а не отдельное произведение. Положительный тег применим только к указанным rights_scope и coverage. Древность текста не переносит общественное достояние на современный перевод, критическую реконструкцию, фотографию, OCR или TEI.</w:t>
            </w:r>
          </w:p>
        </w:tc>
      </w:tr>
    </w:tbl>
    <w:p>
      <w:pPr>
        <w:pStyle w:val="ReportSmall"/>
        <w:spacing w:before="280"/>
        <w:jc w:val="center"/>
      </w:pPr>
      <w:r>
        <w:t>Исходная карта области: ToS Deep Research_ A20 — Южная Азия — Классическая индийская буддийская шастра.docx</w:t>
      </w:r>
    </w:p>
    <w:p>
      <w:r>
        <w:br w:type="page"/>
      </w:r>
    </w:p>
    <w:p>
      <w:pPr>
        <w:pStyle w:val="Heading1"/>
      </w:pPr>
      <w:r>
        <w:t>1. Паспорт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917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ID строки</w:t>
            </w:r>
          </w:p>
        </w:tc>
        <w:tc>
          <w:tcPr>
            <w:tcW w:type="dxa" w:w="691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A20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Название</w:t>
            </w:r>
          </w:p>
        </w:tc>
        <w:tc>
          <w:tcPr>
            <w:tcW w:type="dxa" w:w="6917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Южная Азия — Классическая индийская буддийская шастра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Исходный статус</w:t>
            </w:r>
          </w:p>
        </w:tc>
        <w:tc>
          <w:tcPr>
            <w:tcW w:type="dxa" w:w="691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Исторический фокус</w:t>
            </w:r>
          </w:p>
        </w:tc>
        <w:tc>
          <w:tcPr>
            <w:tcW w:type="dxa" w:w="6917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историческое ядро: приблизительно 150–500 гг. н. э.; открытый корпусный ореол до и после периода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Исходный DR</w:t>
            </w:r>
          </w:p>
        </w:tc>
        <w:tc>
          <w:tcPr>
            <w:tcW w:type="dxa" w:w="691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ToS Deep Research_ A20 — Южная Азия — Классическая индийская буддийская шастра.docx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Дата проверки</w:t>
            </w:r>
          </w:p>
        </w:tc>
        <w:tc>
          <w:tcPr>
            <w:tcW w:type="dxa" w:w="6917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3 сентября 2026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Языки поиска</w:t>
            </w:r>
          </w:p>
        </w:tc>
        <w:tc>
          <w:tcPr>
            <w:tcW w:type="dxa" w:w="691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русский, английский, немецкий, французский; санскритские, китайские, тибетские и гандхарские названия/транслитерации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Идентификаторы</w:t>
            </w:r>
          </w:p>
        </w:tc>
        <w:tc>
          <w:tcPr>
            <w:tcW w:type="dxa" w:w="6917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Taishō T-numbers, Toh, BDRC Work IDs, ARK, Internet Archive IDs, ISBN, project item IDs</w:t>
            </w:r>
          </w:p>
        </w:tc>
      </w:tr>
    </w:tbl>
    <w:p>
      <w:pPr>
        <w:spacing w:after="0"/>
      </w:pPr>
    </w:p>
    <w:p>
      <w:r>
        <w:rPr>
          <w:b/>
        </w:rPr>
        <w:t xml:space="preserve">Ядро корпуса. </w:t>
      </w:r>
      <w:r>
        <w:t>Исследование исходило из трёх взаимосвязанных зон: (1) Sarvāstivāda–Vaibhāṣika Abhidharma и Abhidharmakośa; (2) ранняя Madhyamaka Nāgārjuna–Āryadeva; (3) классическая Yogācāra/Yogācārabhūmi, Asaṅga и Vasubandhu. Хронологический контур был открыт в обе стороны: к Gandhāran manuscript culture и Prajñāpāramitā/Saṃdhinirmocana, а вперёд — к Buddhapālita, Bhāviveka, Candrakīrti, Yaśomitra, Sthiramati, Asvabhāva, китайским школам и современным изданиям.</w:t>
      </w:r>
    </w:p>
    <w:p>
      <w:r>
        <w:rPr>
          <w:b/>
        </w:rPr>
        <w:t xml:space="preserve">Типы объектов. </w:t>
      </w:r>
      <w:r>
        <w:t>Отдельные произведения и корпусы; китайские и тибетские переводы; санскритские e-texts; рукописные/печатные свидетели; критические и переводные издания; факсимиле; каталоги; API, TEI/XML и downloadable datasets; библиотечные, preview и purchase routes.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7F1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" w:hAnsi="Noto Sans"/>
                <w:b/>
                <w:color w:val="17324D"/>
              </w:rPr>
              <w:t>Метод</w:t>
            </w:r>
          </w:p>
          <w:p>
            <w:pPr>
              <w:spacing w:after="0"/>
            </w:pPr>
            <w:r>
              <w:t>Сначала инвентаризированы названия из DR, затем выполнены проходы по оригинальным названиям, вариантам транслитерации, авторам, переводчикам, критическим изданиям и каталожным идентификаторам. Приоритет отдавался официальным проектам, библиотекам, университетам, музеям и издателям. Пиратские и неавторизованные зеркала исключены.</w:t>
            </w:r>
          </w:p>
        </w:tc>
      </w:tr>
    </w:tbl>
    <w:p>
      <w:pPr>
        <w:pStyle w:val="Heading1"/>
      </w:pPr>
      <w:r>
        <w:t>2. Охват корпуса</w:t>
      </w:r>
    </w:p>
    <w:p>
      <w:pPr>
        <w:pStyle w:val="Heading2"/>
      </w:pPr>
      <w:r>
        <w:t>2.1. Что образует центральное ядро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Sarvāstivāda Abhidharma. </w:t>
      </w:r>
      <w:r>
        <w:t>Семь канонических śāstra, Jñānaprasthāna, Mahāvibhāṣā и их систематизация в Abhidharmakośabhāṣya.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Madhyamaka. </w:t>
      </w:r>
      <w:r>
        <w:t>Mūlamadhyamakakārikā, Vigrahavyāvartanī, Yuktiṣaṣṭikā, Śūnyatāsaptati, Catuḥśataka и ближайшие индийские комментарии.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Yogācāra. </w:t>
      </w:r>
      <w:r>
        <w:t>Yogācārabhūmi и её bhūmi-разделы, Bodhisattvabhūmi, Abhidharmasamuccaya, Mahāyānasaṃgraha, Viṃśatikā, Triṃśikā и связанные śāstra.</w:t>
      </w:r>
    </w:p>
    <w:p>
      <w:pPr>
        <w:pStyle w:val="Heading2"/>
      </w:pPr>
      <w:r>
        <w:t>2.2. Существенное расширение по веб-поиску</w:t>
      </w:r>
    </w:p>
    <w:p>
      <w:r>
        <w:t>К исходной карте были добавлены item-level китайские версии полного диапазона T1536–T1614 и ключевые китайские комментарии T1824/T1830; отдельные санскритские тексты GRETIL; multilingual MMK в Polyglotta; Tibetan witnesses BDRC; современные полные 84000-переводы Mahāyānasaṃgraha и двух комментариев; исторические издания La Vallée Poussin, Walleser и Lévi; BDK PDFs и защищённые современные научные издания.</w:t>
      </w:r>
    </w:p>
    <w:p>
      <w:pPr>
        <w:pStyle w:val="Heading2"/>
      </w:pPr>
      <w:r>
        <w:t>2.3. Открытый хронологический контур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351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Примеры</w:t>
            </w:r>
          </w:p>
        </w:tc>
        <w:tc>
          <w:tcPr>
            <w:tcW w:type="dxa" w:w="408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Конкретная связь с A20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antecedent</w:t>
            </w:r>
          </w:p>
        </w:tc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British Library, Bajaur и Islamabad Gandhāran manuscript clusters; Aṣṭasāhasrikā/Pañcaviṃśatisāhasrikā Prajñāpāramitā; Saṃdhinirmocanasūtra</w:t>
            </w:r>
          </w:p>
        </w:tc>
        <w:tc>
          <w:tcPr>
            <w:tcW w:type="dxa" w:w="408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Ранняя письменная среда, доктринальные матрицы пустотности и Yogācāra-hermeneutics.</w:t>
            </w:r>
          </w:p>
        </w:tc>
      </w:tr>
      <w:tr>
        <w:trPr>
          <w:cantSplit/>
        </w:trPr>
        <w:tc>
          <w:tcPr>
            <w:tcW w:type="dxa" w:w="170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continuation</w:t>
            </w:r>
          </w:p>
        </w:tc>
        <w:tc>
          <w:tcPr>
            <w:tcW w:type="dxa" w:w="3515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Cheng weishi lun; Madhyamakāvatāra</w:t>
            </w:r>
          </w:p>
        </w:tc>
        <w:tc>
          <w:tcPr>
            <w:tcW w:type="dxa" w:w="4082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Позднейшая систематизация индийских аргументов и переход к китайской/тибетской школам.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commentary_or_reception</w:t>
            </w:r>
          </w:p>
        </w:tc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Buddhapālita, Bhāviveka, Candrakīrti, Yaśomitra, Sthiramati, Asvabhāva, Jizang, Kuiji, Śāntarakṣita, Kamalaśīla</w:t>
            </w:r>
          </w:p>
        </w:tc>
        <w:tc>
          <w:tcPr>
            <w:tcW w:type="dxa" w:w="408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Сохранение, уточнение, полемика и институционализация core-śāstra.</w:t>
            </w:r>
          </w:p>
        </w:tc>
      </w:tr>
      <w:tr>
        <w:trPr>
          <w:cantSplit/>
        </w:trPr>
        <w:tc>
          <w:tcPr>
            <w:tcW w:type="dxa" w:w="170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transmission_or_preservation</w:t>
            </w:r>
          </w:p>
        </w:tc>
        <w:tc>
          <w:tcPr>
            <w:tcW w:type="dxa" w:w="3515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Paramārtha, Kumārajīva, Xuanzang, Yijing; Tibetan canonical witnesses; historical critical editions</w:t>
            </w:r>
          </w:p>
        </w:tc>
        <w:tc>
          <w:tcPr>
            <w:tcW w:type="dxa" w:w="4082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Реальные линии, через которые утраченные или неполные индийские оригиналы доступны сегодня.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boundary</w:t>
            </w:r>
          </w:p>
        </w:tc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Ratnagotravibhāga, Buddha-nature Treatise, Yogācāra–tathāgatagarbha interfaces</w:t>
            </w:r>
          </w:p>
        </w:tc>
        <w:tc>
          <w:tcPr>
            <w:tcW w:type="dxa" w:w="408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Пограничные объекты включены только там, где связь с core-традицией конкретна.</w:t>
            </w:r>
          </w:p>
        </w:tc>
      </w:tr>
    </w:tbl>
    <w:p>
      <w:pPr>
        <w:spacing w:after="0"/>
      </w:pPr>
    </w:p>
    <w:p>
      <w:pPr>
        <w:pStyle w:val="Heading2"/>
      </w:pPr>
      <w:r>
        <w:t>2.4. Количественный срез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65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8"/>
              </w:rPr>
              <w:t>Категория релевантности</w:t>
            </w:r>
          </w:p>
        </w:tc>
        <w:tc>
          <w:tcPr>
            <w:tcW w:type="dxa" w:w="277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8"/>
              </w:rPr>
              <w:t>Записей доступа</w:t>
            </w:r>
          </w:p>
        </w:tc>
      </w:tr>
      <w:tr>
        <w:trPr>
          <w:cantSplit/>
        </w:trPr>
        <w:tc>
          <w:tcPr>
            <w:tcW w:type="dxa" w:w="6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core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6520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same corpus/tradition</w:t>
            </w:r>
          </w:p>
        </w:tc>
        <w:tc>
          <w:tcPr>
            <w:tcW w:type="dxa" w:w="277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6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antecedent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6520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continuation</w:t>
            </w:r>
          </w:p>
        </w:tc>
        <w:tc>
          <w:tcPr>
            <w:tcW w:type="dxa" w:w="277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commentary/reception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6520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transmission/preservation</w:t>
            </w:r>
          </w:p>
        </w:tc>
        <w:tc>
          <w:tcPr>
            <w:tcW w:type="dxa" w:w="277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boundary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520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infrastructure</w:t>
            </w:r>
          </w:p>
        </w:tc>
        <w:tc>
          <w:tcPr>
            <w:tcW w:type="dxa" w:w="277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6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secondary navigation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/>
        </w:rPr>
        <w:t xml:space="preserve">Важно: </w:t>
      </w:r>
      <w:r>
        <w:t>131 строк реестра не равны 131 произведениям. После схлопывания повторных маршрутов по одинаковому заголовку остаётся не менее 79 различимых произведений/корпусов/изданий вне инфраструктурных порталов; уникальных core-заголовков — 20. Некоторые древние произведения представлены несколькими переводами и репозиториями, что намеренно сохранено как разные практические способы доступа.</w:t>
      </w:r>
    </w:p>
    <w:p>
      <w:pPr>
        <w:pStyle w:val="ReportSmall"/>
      </w:pPr>
      <w:r>
        <w:rPr>
          <w:b/>
        </w:rPr>
        <w:t xml:space="preserve">Ключевые официальные входы: </w:t>
      </w:r>
      <w:hyperlink r:id="rId12">
        <w:r>
          <w:rPr>
            <w:color w:val="1C6675"/>
            <w:u w:val="single"/>
            <w:rFonts w:ascii="Noto Sans" w:hAnsi="Noto Sans"/>
          </w:rPr>
          <w:t>CBETA</w:t>
        </w:r>
      </w:hyperlink>
      <w:r>
        <w:t xml:space="preserve"> · </w:t>
      </w:r>
      <w:hyperlink r:id="rId13">
        <w:r>
          <w:rPr>
            <w:color w:val="1C6675"/>
            <w:u w:val="single"/>
            <w:rFonts w:ascii="Noto Sans" w:hAnsi="Noto Sans"/>
          </w:rPr>
          <w:t>GRETIL</w:t>
        </w:r>
      </w:hyperlink>
      <w:r>
        <w:t xml:space="preserve"> · </w:t>
      </w:r>
      <w:hyperlink r:id="rId14">
        <w:r>
          <w:rPr>
            <w:color w:val="1C6675"/>
            <w:u w:val="single"/>
            <w:rFonts w:ascii="Noto Sans" w:hAnsi="Noto Sans"/>
          </w:rPr>
          <w:t>BDRC</w:t>
        </w:r>
      </w:hyperlink>
      <w:r>
        <w:t xml:space="preserve"> · </w:t>
      </w:r>
      <w:hyperlink r:id="rId15">
        <w:r>
          <w:rPr>
            <w:color w:val="1C6675"/>
            <w:u w:val="single"/>
            <w:rFonts w:ascii="Noto Sans" w:hAnsi="Noto Sans"/>
          </w:rPr>
          <w:t>84000</w:t>
        </w:r>
      </w:hyperlink>
      <w:r>
        <w:t xml:space="preserve"> · </w:t>
      </w:r>
      <w:hyperlink r:id="rId16">
        <w:r>
          <w:rPr>
            <w:color w:val="1C6675"/>
            <w:u w:val="single"/>
            <w:rFonts w:ascii="Noto Sans" w:hAnsi="Noto Sans"/>
          </w:rPr>
          <w:t>DSBC</w:t>
        </w:r>
      </w:hyperlink>
      <w:r>
        <w:t xml:space="preserve"> · </w:t>
      </w:r>
      <w:hyperlink r:id="rId17">
        <w:r>
          <w:rPr>
            <w:color w:val="1C6675"/>
            <w:u w:val="single"/>
            <w:rFonts w:ascii="Noto Sans" w:hAnsi="Noto Sans"/>
          </w:rPr>
          <w:t>Polyglotta</w:t>
        </w:r>
      </w:hyperlink>
    </w:p>
    <w:p>
      <w:r>
        <w:br w:type="page"/>
      </w:r>
    </w:p>
    <w:p>
      <w:pPr>
        <w:pStyle w:val="Heading1"/>
      </w:pPr>
      <w:r>
        <w:t>3. Лучшие пути доступа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Корпус</w:t>
            </w:r>
          </w:p>
        </w:tc>
        <w:tc>
          <w:tcPr>
            <w:tcW w:type="dxa" w:w="255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Лучшее бесплатное чтение</w:t>
            </w:r>
          </w:p>
        </w:tc>
        <w:tc>
          <w:tcPr>
            <w:tcW w:type="dxa" w:w="260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Оригинал / скачивание</w:t>
            </w:r>
          </w:p>
        </w:tc>
        <w:tc>
          <w:tcPr>
            <w:tcW w:type="dxa" w:w="232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Современный научный вариант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Sarvāstivāda Abhidharma / Mahāvibhāṣā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CBETA T1536–T1545; T1545 полностью по-китайски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CBETA TXT/TEI; санскритский оригинал Mahāvibhāṣā практически не сохранился</w:t>
            </w:r>
          </w:p>
        </w:tc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Современный полный английский перевод Mahāvibhāṣā не найден</w:t>
            </w:r>
          </w:p>
        </w:tc>
      </w:tr>
      <w:tr>
        <w:trPr>
          <w:cantSplit/>
        </w:trPr>
        <w:tc>
          <w:tcPr>
            <w:tcW w:type="dxa" w:w="181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Abhidharmakośa</w:t>
            </w:r>
          </w:p>
        </w:tc>
        <w:tc>
          <w:tcPr>
            <w:tcW w:type="dxa" w:w="255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GRETIL Sanskrit; CBETA T1558/T1559/T1560</w:t>
            </w:r>
          </w:p>
        </w:tc>
        <w:tc>
          <w:tcPr>
            <w:tcW w:type="dxa" w:w="260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IA/HathiTrust: La Vallée Poussin French; GRETIL root + bhāṣya</w:t>
            </w:r>
          </w:p>
        </w:tc>
        <w:tc>
          <w:tcPr>
            <w:tcW w:type="dxa" w:w="232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Lodrö Sangpo, 4 vols., purchase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Mūlamadhyamakakārikā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GRETIL; CBETA T1564; DSBC; Polyglotta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La Vallée Poussin 1903–1913 facsimile/edition; Walleser 1911</w:t>
            </w:r>
          </w:p>
        </w:tc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Siderits–Katsura; Garfield, purchase/preview</w:t>
            </w:r>
          </w:p>
        </w:tc>
      </w:tr>
      <w:tr>
        <w:trPr>
          <w:cantSplit/>
        </w:trPr>
        <w:tc>
          <w:tcPr>
            <w:tcW w:type="dxa" w:w="181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Vigrahavyāvartanī и ранний Nāgārjuna corpus</w:t>
            </w:r>
          </w:p>
        </w:tc>
        <w:tc>
          <w:tcPr>
            <w:tcW w:type="dxa" w:w="255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GRETIL root+vṛtti; отдельные Sanskrit e-texts</w:t>
            </w:r>
          </w:p>
        </w:tc>
        <w:tc>
          <w:tcPr>
            <w:tcW w:type="dxa" w:w="260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GRETIL для verse-level alignment; права legacy-layer ограничены</w:t>
            </w:r>
          </w:p>
        </w:tc>
        <w:tc>
          <w:tcPr>
            <w:tcW w:type="dxa" w:w="232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Westerhoff, The Dispeller of Disputes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Yogācārabhūmi / Bodhisattvabhūmi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CBETA T1579/T1581 — полный китайский слой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GRETIL TEI: отдельные Sanskrit sections под CC BY-NC-SA; Engle for Bodhisattvabhūmi</w:t>
            </w:r>
          </w:p>
        </w:tc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Полной единой современной English Yogācārabhūmi не найдено</w:t>
            </w:r>
          </w:p>
        </w:tc>
      </w:tr>
      <w:tr>
        <w:trPr>
          <w:cantSplit/>
        </w:trPr>
        <w:tc>
          <w:tcPr>
            <w:tcW w:type="dxa" w:w="181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Mahāyānasaṃgraha</w:t>
            </w:r>
          </w:p>
        </w:tc>
        <w:tc>
          <w:tcPr>
            <w:tcW w:type="dxa" w:w="255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CBETA T1592–T1594; 84000 Toh 4048; BDK PDF</w:t>
            </w:r>
          </w:p>
        </w:tc>
        <w:tc>
          <w:tcPr>
            <w:tcW w:type="dxa" w:w="260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CBETA TEI/TXT Chinese; 84000 Tibetan-based English</w:t>
            </w:r>
          </w:p>
        </w:tc>
        <w:tc>
          <w:tcPr>
            <w:tcW w:type="dxa" w:w="232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Brunnhölzl integrated volume, purchase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Abhidharmasamuccaya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CBETA T1605; GRETIL reconstruction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CBETA Chinese is cleanest licensed full layer; Sanskrit reconstruction needs review</w:t>
            </w:r>
          </w:p>
        </w:tc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Rahula/Boin-Webb, preview/purchase</w:t>
            </w:r>
          </w:p>
        </w:tc>
      </w:tr>
      <w:tr>
        <w:trPr>
          <w:cantSplit/>
        </w:trPr>
        <w:tc>
          <w:tcPr>
            <w:tcW w:type="dxa" w:w="181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Viṃśatikā / Triṃśikā</w:t>
            </w:r>
          </w:p>
        </w:tc>
        <w:tc>
          <w:tcPr>
            <w:tcW w:type="dxa" w:w="255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GRETIL Sanskrit; CBETA T1586/T1588–T1590</w:t>
            </w:r>
          </w:p>
        </w:tc>
        <w:tc>
          <w:tcPr>
            <w:tcW w:type="dxa" w:w="260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Gallica Lévi 1925; BDK Three Texts on Consciousness Only</w:t>
            </w:r>
          </w:p>
        </w:tc>
        <w:tc>
          <w:tcPr>
            <w:tcW w:type="dxa" w:w="232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Anacker and specialized current editions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Indian commentaries and later transmission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CBETA T1566/T1595–T1598/T1606; BDRC; GRETIL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84000 Toh 4050/4051; BDRC witnesses; GRETIL Sthiramati/Yaśomitra</w:t>
            </w:r>
          </w:p>
        </w:tc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Modern integrated studies remain protected</w:t>
            </w:r>
          </w:p>
        </w:tc>
      </w:tr>
    </w:tbl>
    <w:p>
      <w:pPr>
        <w:spacing w:after="0"/>
      </w:pPr>
    </w:p>
    <w:p>
      <w:pPr>
        <w:pStyle w:val="Heading2"/>
      </w:pPr>
      <w:r>
        <w:t>3.1. Машиночитаемый слой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CBETA Stable API / XML P5. </w:t>
      </w:r>
      <w:r>
        <w:t>Самый полный практически пригодный dataset для китайских версий: TXT, HTML, EPUB, PDF, DOCX, ODT, TEI/XML и JSON API. Category A — CC BY-NC-SA 4.0.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84000 data layer. </w:t>
      </w:r>
      <w:r>
        <w:t>Metadata, glossaries, RDF и translation-memory data заявлены как CC BY 4.0; полный английский prose-text имеет другую лицензию.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GRETIL. </w:t>
      </w:r>
      <w:r>
        <w:t>Полезен для lightweight Sanskrit search и alignment, но legacy-файлы не имеют общей открытой лицензии. Только несколько TEI items дают явный CC BY-NC-SA 4.0.</w:t>
      </w:r>
    </w:p>
    <w:p>
      <w:pPr>
        <w:pStyle w:val="Heading2"/>
      </w:pPr>
      <w:r>
        <w:t>3.2. Наиболее свободные варианты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94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232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402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Практическое значение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CBETA Category A text/data</w:t>
            </w:r>
          </w:p>
        </w:tc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CC BY-NC-SA 4.0</w:t>
            </w:r>
          </w:p>
        </w:tc>
        <w:tc>
          <w:tcPr>
            <w:tcW w:type="dxa" w:w="402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Зеркалирование некоммерчески, атрибуция, ShareAlike; scope по item/category.</w:t>
            </w:r>
          </w:p>
        </w:tc>
      </w:tr>
      <w:tr>
        <w:trPr>
          <w:cantSplit/>
        </w:trPr>
        <w:tc>
          <w:tcPr>
            <w:tcW w:type="dxa" w:w="294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GRETIL TEI: Śarīrārthagāthā / Śrāvakabhūmi items</w:t>
            </w:r>
          </w:p>
        </w:tc>
        <w:tc>
          <w:tcPr>
            <w:tcW w:type="dxa" w:w="232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CC BY-NC-SA 4.0</w:t>
            </w:r>
          </w:p>
        </w:tc>
        <w:tc>
          <w:tcPr>
            <w:tcW w:type="dxa" w:w="4025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Сильная Sanskrit basis, но только для реально представленных разделов.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84000 metadata/glossaries/RDF/TM</w:t>
            </w:r>
          </w:p>
        </w:tc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CC BY 4.0</w:t>
            </w:r>
          </w:p>
        </w:tc>
        <w:tc>
          <w:tcPr>
            <w:tcW w:type="dxa" w:w="402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Открытые данные; не переносить лицензию на переводной prose.</w:t>
            </w:r>
          </w:p>
        </w:tc>
      </w:tr>
      <w:tr>
        <w:trPr>
          <w:cantSplit/>
        </w:trPr>
        <w:tc>
          <w:tcPr>
            <w:tcW w:type="dxa" w:w="294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84000 published translations</w:t>
            </w:r>
          </w:p>
        </w:tc>
        <w:tc>
          <w:tcPr>
            <w:tcW w:type="dxa" w:w="232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CC BY-NC-ND 4.0, draft terms</w:t>
            </w:r>
          </w:p>
        </w:tc>
        <w:tc>
          <w:tcPr>
            <w:tcW w:type="dxa" w:w="4025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Только целиком и без изменений, некоммерчески, с атрибуцией; derivatives/excerpts — permission.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Historical editions</w:t>
            </w:r>
          </w:p>
        </w:tc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likely public domain, jurisdiction-dependent</w:t>
            </w:r>
          </w:p>
        </w:tc>
        <w:tc>
          <w:tcPr>
            <w:tcW w:type="dxa" w:w="402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Можно исследовать/OCR; зеркалирование только после проверки конкретного издания и scan layer.</w:t>
            </w:r>
          </w:p>
        </w:tc>
      </w:tr>
    </w:tbl>
    <w:p>
      <w:pPr>
        <w:spacing w:after="0"/>
      </w:pPr>
    </w:p>
    <w:p>
      <w:pPr>
        <w:pStyle w:val="ReportSmall"/>
      </w:pPr>
      <w:r>
        <w:rPr>
          <w:b/>
        </w:rPr>
        <w:t xml:space="preserve">Ключевые официальные входы: </w:t>
      </w:r>
      <w:hyperlink r:id="rId18">
        <w:r>
          <w:rPr>
            <w:color w:val="1C6675"/>
            <w:u w:val="single"/>
            <w:rFonts w:ascii="Noto Sans" w:hAnsi="Noto Sans"/>
          </w:rPr>
          <w:t>CBETA downloads</w:t>
        </w:r>
      </w:hyperlink>
      <w:r>
        <w:t xml:space="preserve"> · </w:t>
      </w:r>
      <w:hyperlink r:id="rId19">
        <w:r>
          <w:rPr>
            <w:color w:val="1C6675"/>
            <w:u w:val="single"/>
            <w:rFonts w:ascii="Noto Sans" w:hAnsi="Noto Sans"/>
          </w:rPr>
          <w:t>CBETA rights</w:t>
        </w:r>
      </w:hyperlink>
      <w:r>
        <w:t xml:space="preserve"> · </w:t>
      </w:r>
      <w:hyperlink r:id="rId20">
        <w:r>
          <w:rPr>
            <w:color w:val="1C6675"/>
            <w:u w:val="single"/>
            <w:rFonts w:ascii="Noto Sans" w:hAnsi="Noto Sans"/>
          </w:rPr>
          <w:t>GRETIL notice</w:t>
        </w:r>
      </w:hyperlink>
      <w:r>
        <w:t xml:space="preserve"> · </w:t>
      </w:r>
      <w:hyperlink r:id="rId21">
        <w:r>
          <w:rPr>
            <w:color w:val="1C6675"/>
            <w:u w:val="single"/>
            <w:rFonts w:ascii="Noto Sans" w:hAnsi="Noto Sans"/>
          </w:rPr>
          <w:t>84000 terms</w:t>
        </w:r>
      </w:hyperlink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4.1. Потенциально зеркалируемые слои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CBETA Category A. </w:t>
      </w:r>
      <w:r>
        <w:t>Текстовые и структурированные данные конкретных T-items можно зеркалировать для некоммерческого ToS при атрибуции и ShareAlike. Нужно сохранять release/version и notices.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Явно лицензированные GRETIL TEI items. </w:t>
      </w:r>
      <w:r>
        <w:t>Можно зеркалировать и перерабатывать некоммерчески под CC BY-NC-SA 4.0 только в пределах доступных sections.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84000 full translations. </w:t>
      </w:r>
      <w:r>
        <w:t>Draft terms допускают распространение целого неизменённого перевода некоммерчески с атрибуцией. Из-за ND нельзя адаптировать, извлекать и публиковать производный перевод без разрешения.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84000 data layer. </w:t>
      </w:r>
      <w:r>
        <w:t>CC BY 4.0 позволяет широкое повторное использование metadata/RDF/glossary/TM с атрибуцией.</w:t>
      </w:r>
    </w:p>
    <w:p>
      <w:pPr>
        <w:pStyle w:val="Heading2"/>
      </w:pPr>
      <w:r>
        <w:t>4.2. Бесплатно доступно, но не доказано право повторного размещения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GRETIL legacy. </w:t>
      </w:r>
      <w:r>
        <w:t>Читать, скачивать и использовать для локального исследования можно; публичное зеркалирование всего файла не рекомендовано без отдельной проверки source edition.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SAT, DSBC и Polyglotta. </w:t>
      </w:r>
      <w:r>
        <w:t>Сильные интерфейсы чтения и сопоставления; действуют собственные ограничения, а rights отдельных source layers смешаны.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BDK PDFs. </w:t>
      </w:r>
      <w:r>
        <w:t>Бесплатная официальная загрузка предназначена для личного некоммерческого использования; PDF нельзя автоматически считать перераспространяемым.</w:t>
      </w:r>
    </w:p>
    <w:p>
      <w:pPr>
        <w:pStyle w:val="ListBullet"/>
        <w:spacing w:after="60"/>
        <w:ind w:left="312" w:hanging="142"/>
      </w:pPr>
      <w:r>
        <w:rPr>
          <w:b/>
        </w:rPr>
        <w:t xml:space="preserve">BDRC/BUDA. </w:t>
      </w:r>
      <w:r>
        <w:t>Скачивание и IIIF зависят от item-level access flag и прав holding institution; коллекционный портал сам по себе не открывает все scans.</w:t>
      </w:r>
    </w:p>
    <w:p>
      <w:pPr>
        <w:pStyle w:val="Heading2"/>
      </w:pPr>
      <w:r>
        <w:t>4.3. Link-only, preview, borrow и purchase</w:t>
      </w:r>
    </w:p>
    <w:p>
      <w:r>
        <w:t>Современные Garfield, Siderits–Katsura, Westerhoff, Engle, Lodrö Sangpo, Brunnhölzl, Rahula/Boin-Webb и Anacker сохранены как лучшие научные маршруты, хотя ToS не получает права на OCR, полнотекстовый индекс, embeddings или публичное размещение их текста. Безопасное действие — карточка, внешняя ссылка, preview, библиотечный доступ или покупка.</w:t>
      </w:r>
    </w:p>
    <w:p>
      <w:pPr>
        <w:pStyle w:val="Heading2"/>
      </w:pPr>
      <w:r>
        <w:t>4.4. Собственный перевод 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7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Вывод</w:t>
            </w:r>
          </w:p>
        </w:tc>
        <w:tc>
          <w:tcPr>
            <w:tcW w:type="dxa" w:w="294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Основа</w:t>
            </w:r>
          </w:p>
        </w:tc>
        <w:tc>
          <w:tcPr>
            <w:tcW w:type="dxa" w:w="447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Граница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Да, с чёткой оговоркой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CBETA historical Chinese translations</w:t>
            </w:r>
          </w:p>
        </w:tc>
        <w:tc>
          <w:tcPr>
            <w:tcW w:type="dxa" w:w="44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Можно переводить доступный китайский текст; не называть результат прямым переводом с утраченного Sanskrit.</w:t>
            </w:r>
          </w:p>
        </w:tc>
      </w:tr>
      <w:tr>
        <w:trPr>
          <w:cantSplit/>
        </w:trPr>
        <w:tc>
          <w:tcPr>
            <w:tcW w:type="dxa" w:w="187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Да, частично</w:t>
            </w:r>
          </w:p>
        </w:tc>
        <w:tc>
          <w:tcPr>
            <w:tcW w:type="dxa" w:w="294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Explicit CC GRETIL TEI Sanskrit sections</w:t>
            </w:r>
          </w:p>
        </w:tc>
        <w:tc>
          <w:tcPr>
            <w:tcW w:type="dxa" w:w="4479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Только реально покрытые sections; сохранять атрибуцию и ShareAlike.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Возможно после проверки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Historical original-language Sanskrit editions/facsimiles, sometimes paired with French or German translation</w:t>
            </w:r>
          </w:p>
        </w:tc>
        <w:tc>
          <w:tcPr>
            <w:tcW w:type="dxa" w:w="44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Проверить jurisdiction, edition rights и scan layer.</w:t>
            </w:r>
          </w:p>
        </w:tc>
      </w:tr>
      <w:tr>
        <w:trPr>
          <w:cantSplit/>
        </w:trPr>
        <w:tc>
          <w:tcPr>
            <w:tcW w:type="dxa" w:w="187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Нет как автоматический вывод</w:t>
            </w:r>
          </w:p>
        </w:tc>
        <w:tc>
          <w:tcPr>
            <w:tcW w:type="dxa" w:w="294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GRETIL legacy / DSBC display / protected critical reconstruction</w:t>
            </w:r>
          </w:p>
        </w:tc>
        <w:tc>
          <w:tcPr>
            <w:tcW w:type="dxa" w:w="4479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Исследовательская доступность не равна разрешению на derivative publication.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Нет без разрешения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84000/BDK/current English translations</w:t>
            </w:r>
          </w:p>
        </w:tc>
        <w:tc>
          <w:tcPr>
            <w:tcW w:type="dxa" w:w="44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6"/>
              </w:rPr>
              <w:t>Защищённый intermediary не является чистой основой для перевода-производного.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" w:hAnsi="Noto Sans"/>
                <w:b/>
                <w:color w:val="17324D"/>
              </w:rPr>
              <w:t>Рабочая политика для Codex</w:t>
            </w:r>
          </w:p>
          <w:p>
            <w:pPr>
              <w:spacing w:after="0"/>
            </w:pPr>
            <w:r>
              <w:t>Автоматический ingest допустим только там, где registry одновременно фиксирует конкретный rights_scope, coverage и применимый tos_use. RIGHTS_REVIEW_REQUIRED должен блокировать расширение положительного тега за пределы доказанного компонента.</w:t>
            </w:r>
          </w:p>
        </w:tc>
      </w:tr>
    </w:tbl>
    <w:p>
      <w:pPr>
        <w:pStyle w:val="Heading1"/>
      </w:pPr>
      <w:r>
        <w:t>5. Характерные правовые тонкости</w:t>
      </w:r>
    </w:p>
    <w:p>
      <w:pPr>
        <w:spacing w:after="100"/>
      </w:pPr>
      <w:r>
        <w:rPr>
          <w:rFonts w:ascii="Noto Sans" w:hAnsi="Noto Sans"/>
          <w:b/>
          <w:color w:val="1C6675"/>
        </w:rPr>
        <w:t xml:space="preserve">Древний work ≠ свободная modern version. </w:t>
      </w:r>
      <w:r>
        <w:t>MMK, Kośa или Yogācārabhūmi свободны как древние произведения, но современная пунктуация, реконструкция, перевод и комментарий могут быть защищены.</w:t>
      </w:r>
    </w:p>
    <w:p>
      <w:pPr>
        <w:spacing w:after="100"/>
      </w:pPr>
      <w:r>
        <w:rPr>
          <w:rFonts w:ascii="Noto Sans" w:hAnsi="Noto Sans"/>
          <w:b/>
          <w:color w:val="1C6675"/>
        </w:rPr>
        <w:t xml:space="preserve">Исторический перевод и digital encoding разделены. </w:t>
      </w:r>
      <w:r>
        <w:t>Китайские переводы Kumārajīva, Xuanzang или Paramārtha древние; CBETA’s corrections, segmentation and XML form a licensed contemporary layer.</w:t>
      </w:r>
    </w:p>
    <w:p>
      <w:pPr>
        <w:spacing w:after="100"/>
      </w:pPr>
      <w:r>
        <w:rPr>
          <w:rFonts w:ascii="Noto Sans" w:hAnsi="Noto Sans"/>
          <w:b/>
          <w:color w:val="1C6675"/>
        </w:rPr>
        <w:t xml:space="preserve">Одна платформа — несколько режимов. </w:t>
      </w:r>
      <w:r>
        <w:t>84000 открывает metadata под CC BY, но prose translations — под NC-ND; BDRC сочетает public, registered and restricted items.</w:t>
      </w:r>
    </w:p>
    <w:p>
      <w:pPr>
        <w:spacing w:after="100"/>
      </w:pPr>
      <w:r>
        <w:rPr>
          <w:rFonts w:ascii="Noto Sans" w:hAnsi="Noto Sans"/>
          <w:b/>
          <w:color w:val="1C6675"/>
        </w:rPr>
        <w:t xml:space="preserve">NoDerivatives реально ограничивает исследовательскую публикацию. </w:t>
      </w:r>
      <w:r>
        <w:t>Неизменённый 84000 translation можно распространять в заявленных пределах, но адаптация, excerpt corpus и новый перевод через него требуют permission/review.</w:t>
      </w:r>
    </w:p>
    <w:p>
      <w:pPr>
        <w:spacing w:after="100"/>
      </w:pPr>
      <w:r>
        <w:rPr>
          <w:rFonts w:ascii="Noto Sans" w:hAnsi="Noto Sans"/>
          <w:b/>
          <w:color w:val="1C6675"/>
        </w:rPr>
        <w:t xml:space="preserve">Download ≠ mirror. </w:t>
      </w:r>
      <w:r>
        <w:t>BDK, GRETIL legacy, BDRC и historical-library downloads полезны для локального исследования, но кнопка download не доказывает право повторной публикации.</w:t>
      </w:r>
    </w:p>
    <w:p>
      <w:pPr>
        <w:spacing w:after="100"/>
      </w:pPr>
      <w:r>
        <w:rPr>
          <w:rFonts w:ascii="Noto Sans" w:hAnsi="Noto Sans"/>
          <w:b/>
          <w:color w:val="1C6675"/>
        </w:rPr>
        <w:t xml:space="preserve">Public domain зависит от юрисдикции и слоя. </w:t>
      </w:r>
      <w:r>
        <w:t>Издания 1903–1925 вероятно свободны во многих странах, но death terms, restoration, source-library scan and local law must be checked.</w:t>
      </w:r>
    </w:p>
    <w:p>
      <w:pPr>
        <w:spacing w:after="100"/>
      </w:pPr>
      <w:r>
        <w:rPr>
          <w:rFonts w:ascii="Noto Sans" w:hAnsi="Noto Sans"/>
          <w:b/>
          <w:color w:val="1C6675"/>
        </w:rPr>
        <w:t xml:space="preserve">Reconstruction can carry originality. </w:t>
      </w:r>
      <w:r>
        <w:t>Sanskrit Abhidharmasamuccaya and other recovered texts may depend on modern editorial reconstruction; ancient-work status alone не очищает реконструированный слой.</w:t>
      </w:r>
    </w:p>
    <w:p>
      <w:r>
        <w:br w:type="page"/>
      </w:r>
    </w:p>
    <w:p>
      <w:pPr>
        <w:pStyle w:val="Heading1"/>
      </w:pPr>
      <w:r>
        <w:t>6. Пробелы и дальнейший поиск</w:t>
      </w:r>
    </w:p>
    <w:p>
      <w:r>
        <w:t>Лист gaps в XLSX содержит целевые кандидаты, а не общие пожелания. Наиболее существенные пробелы сосредоточены там, где corpus survives only in translation, modern critical reconstruction, restricted manuscript photography or scattered section-level editions.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3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Кандидат</w:t>
            </w:r>
          </w:p>
        </w:tc>
        <w:tc>
          <w:tcPr>
            <w:tcW w:type="dxa" w:w="289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Почему пробел</w:t>
            </w:r>
          </w:p>
        </w:tc>
        <w:tc>
          <w:tcPr>
            <w:tcW w:type="dxa" w:w="317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Следующий ход</w:t>
            </w:r>
          </w:p>
        </w:tc>
        <w:tc>
          <w:tcPr>
            <w:tcW w:type="dxa" w:w="79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Mahāvibhāṣā — modern complete English translation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No complete current authorized English translation located; Chinese CBETA is complete.</w:t>
            </w:r>
          </w:p>
        </w:tc>
        <w:tc>
          <w:tcPr>
            <w:tcW w:type="dxa" w:w="317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Search institutional theses/partial translation projects and publisher catalogues.</w:t>
            </w:r>
          </w:p>
        </w:tc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3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Mahāvibhāṣā — original-language fragments</w:t>
            </w:r>
          </w:p>
        </w:tc>
        <w:tc>
          <w:tcPr>
            <w:tcW w:type="dxa" w:w="289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No substantial rights-clear Sanskrit/Gāndhārī original witness located.</w:t>
            </w:r>
          </w:p>
        </w:tc>
        <w:tc>
          <w:tcPr>
            <w:tcW w:type="dxa" w:w="3175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Search Sanskrit fragment databases by title variants and catalogue numbers.</w:t>
            </w:r>
          </w:p>
        </w:tc>
        <w:tc>
          <w:tcPr>
            <w:tcW w:type="dxa" w:w="79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Yogācārabhūmi — complete Sanskrit open text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Only selected explicitly licensed GRETIL TEI sections were verified; complete web texts are rights-mixed.</w:t>
            </w:r>
          </w:p>
        </w:tc>
        <w:tc>
          <w:tcPr>
            <w:tcW w:type="dxa" w:w="317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Locate complete item-level critical editions and explicit licences.</w:t>
            </w:r>
          </w:p>
        </w:tc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3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Yogācārabhūmi — modern complete English translation</w:t>
            </w:r>
          </w:p>
        </w:tc>
        <w:tc>
          <w:tcPr>
            <w:tcW w:type="dxa" w:w="289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No complete single authorized English translation of all 100-fascicle corpus located.</w:t>
            </w:r>
          </w:p>
        </w:tc>
        <w:tc>
          <w:tcPr>
            <w:tcW w:type="dxa" w:w="3175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Map section-by-section translations and their legal access routes.</w:t>
            </w:r>
          </w:p>
        </w:tc>
        <w:tc>
          <w:tcPr>
            <w:tcW w:type="dxa" w:w="79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Catuḥśataka — Sanskrit/Tibetan item-level digital witness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Chinese T1570/T1571 verified; no rights-clear complete Sanskrit item was secured.</w:t>
            </w:r>
          </w:p>
        </w:tc>
        <w:tc>
          <w:tcPr>
            <w:tcW w:type="dxa" w:w="317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Search title variants Catuḥśataka/Catuḥśatikā and Tibetan Toh IDs.</w:t>
            </w:r>
          </w:p>
        </w:tc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3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Madhyamakahṛdayakārikā</w:t>
            </w:r>
          </w:p>
        </w:tc>
        <w:tc>
          <w:tcPr>
            <w:tcW w:type="dxa" w:w="289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Direct verified item-level lawful text route not completed.</w:t>
            </w:r>
          </w:p>
        </w:tc>
        <w:tc>
          <w:tcPr>
            <w:tcW w:type="dxa" w:w="3175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Resolve Toh/BDRC identifiers and locate Sanskrit/English editions.</w:t>
            </w:r>
          </w:p>
        </w:tc>
        <w:tc>
          <w:tcPr>
            <w:tcW w:type="dxa" w:w="79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Tarkajvālā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Direct verified digital text/translation route not completed.</w:t>
            </w:r>
          </w:p>
        </w:tc>
        <w:tc>
          <w:tcPr>
            <w:tcW w:type="dxa" w:w="317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Resolve work IDs and check 84000 publication status.</w:t>
            </w:r>
          </w:p>
        </w:tc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3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Buddhapālita-mūlamadhyamakavṛtti — full modern English</w:t>
            </w:r>
          </w:p>
        </w:tc>
        <w:tc>
          <w:tcPr>
            <w:tcW w:type="dxa" w:w="289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BDRC witness located; no complete authorized English translation confirmed.</w:t>
            </w:r>
          </w:p>
        </w:tc>
        <w:tc>
          <w:tcPr>
            <w:tcW w:type="dxa" w:w="3175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Search current translation projects and institutional repositories.</w:t>
            </w:r>
          </w:p>
        </w:tc>
        <w:tc>
          <w:tcPr>
            <w:tcW w:type="dxa" w:w="79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medium-high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Prasannapadā — current full English translation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Historical Sanskrit edition located; no complete current authorized English item verified.</w:t>
            </w:r>
          </w:p>
        </w:tc>
        <w:tc>
          <w:tcPr>
            <w:tcW w:type="dxa" w:w="317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Search current editions by Candrakīrti/Prasannapadā ISBNs.</w:t>
            </w:r>
          </w:p>
        </w:tc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medium-high</w:t>
            </w:r>
          </w:p>
        </w:tc>
      </w:tr>
      <w:tr>
        <w:trPr>
          <w:cantSplit/>
        </w:trPr>
        <w:tc>
          <w:tcPr>
            <w:tcW w:type="dxa" w:w="243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Abhidharmasamuccaya — primary Sanskrit manuscript/critical edition scans</w:t>
            </w:r>
          </w:p>
        </w:tc>
        <w:tc>
          <w:tcPr>
            <w:tcW w:type="dxa" w:w="289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GRETIL reconstruction exists; clean facsimile/critical-edition rights not verified.</w:t>
            </w:r>
          </w:p>
        </w:tc>
        <w:tc>
          <w:tcPr>
            <w:tcW w:type="dxa" w:w="3175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Identify manuscript shelfmarks and open facsimiles.</w:t>
            </w:r>
          </w:p>
        </w:tc>
        <w:tc>
          <w:tcPr>
            <w:tcW w:type="dxa" w:w="79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Mahāyānasaṃgraha — Sanskrit fragments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Work largely preserved in Chinese/Tibetan; fragment inventory not completed.</w:t>
            </w:r>
          </w:p>
        </w:tc>
        <w:tc>
          <w:tcPr>
            <w:tcW w:type="dxa" w:w="317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Search fragments by title, quotations and catalogue IDs.</w:t>
            </w:r>
          </w:p>
        </w:tc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medium-high</w:t>
            </w:r>
          </w:p>
        </w:tc>
      </w:tr>
      <w:tr>
        <w:trPr>
          <w:cantSplit/>
        </w:trPr>
        <w:tc>
          <w:tcPr>
            <w:tcW w:type="dxa" w:w="2438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Asvabhāva and Sthiramati commentaries — Sanskrit witnesses</w:t>
            </w:r>
          </w:p>
        </w:tc>
        <w:tc>
          <w:tcPr>
            <w:tcW w:type="dxa" w:w="289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Chinese/Tibetan translations located; Sanskrit witness access remains incomplete.</w:t>
            </w:r>
          </w:p>
        </w:tc>
        <w:tc>
          <w:tcPr>
            <w:tcW w:type="dxa" w:w="3175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Resolve surviving fragments/manuscripts and editions.</w:t>
            </w:r>
          </w:p>
        </w:tc>
        <w:tc>
          <w:tcPr>
            <w:tcW w:type="dxa" w:w="794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5"/>
              </w:rPr>
              <w:t>medium-high</w:t>
            </w:r>
          </w:p>
        </w:tc>
      </w:tr>
    </w:tbl>
    <w:p>
      <w:pPr>
        <w:spacing w:after="0"/>
      </w:pPr>
    </w:p>
    <w:p>
      <w:pPr>
        <w:pStyle w:val="Heading2"/>
      </w:pPr>
      <w:r>
        <w:t>6.1. Практические follow-up направления</w:t>
      </w:r>
    </w:p>
    <w:p>
      <w:pPr>
        <w:pStyle w:val="ListNumber"/>
        <w:spacing w:after="60"/>
        <w:ind w:left="369" w:hanging="170"/>
      </w:pPr>
      <w:r>
        <w:t>Составить отдельную section-map Yogācārabhūmi: Sanskrit edition/transcription, Chinese fascicles, Tibetan Toh/BDRC, English translations and rights per bhūmi.</w:t>
      </w:r>
    </w:p>
    <w:p>
      <w:pPr>
        <w:pStyle w:val="ListNumber"/>
        <w:spacing w:after="60"/>
        <w:ind w:left="369" w:hanging="170"/>
      </w:pPr>
      <w:r>
        <w:t>Найти все законные partial/complete Mahāvibhāṣā translations and scholarly translation projects; отделить published portions от unpublished theses.</w:t>
      </w:r>
    </w:p>
    <w:p>
      <w:pPr>
        <w:pStyle w:val="ListNumber"/>
        <w:spacing w:after="60"/>
        <w:ind w:left="369" w:hanging="170"/>
      </w:pPr>
      <w:r>
        <w:t>Разрешить Toh/BDRC/item IDs для Madhyamakahṛdayakārikā и Tarkajvālā; проверить 84000 publication pipeline and Tengyur scans.</w:t>
      </w:r>
    </w:p>
    <w:p>
      <w:pPr>
        <w:pStyle w:val="ListNumber"/>
        <w:spacing w:after="60"/>
        <w:ind w:left="369" w:hanging="170"/>
      </w:pPr>
      <w:r>
        <w:t>Закрыть Catuḥśataka: Tibetan witness, surviving Sanskrit fragments, critical edition and current authorized translation.</w:t>
      </w:r>
    </w:p>
    <w:p>
      <w:pPr>
        <w:pStyle w:val="ListNumber"/>
        <w:spacing w:after="60"/>
        <w:ind w:left="369" w:hanging="170"/>
      </w:pPr>
      <w:r>
        <w:t>Провести отдельный русскоязычный издательско-библиотечный проход по MMK, Abhidharmakośa, Yogācāra and Vasubandhu, не используя неавторизованные PDFs.</w:t>
      </w:r>
    </w:p>
    <w:p>
      <w:pPr>
        <w:pStyle w:val="ListNumber"/>
        <w:spacing w:after="60"/>
        <w:ind w:left="369" w:hanging="170"/>
      </w:pPr>
      <w:r>
        <w:t>Сопоставить Gandhari.org fragment IDs with Abhidharma terminology and Bajaur/BL publication concordances; включать only concrete work-level links.</w:t>
      </w:r>
    </w:p>
    <w:p>
      <w:pPr>
        <w:pStyle w:val="ListNumber"/>
        <w:spacing w:after="60"/>
        <w:ind w:left="369" w:hanging="170"/>
      </w:pPr>
      <w:r>
        <w:t>Получить item-level BDRC access flags and IIIF manifests; не строить bulk ingest на collection-level предположении.</w:t>
      </w:r>
    </w:p>
    <w:p>
      <w:pPr>
        <w:pStyle w:val="ListNumber"/>
        <w:spacing w:after="60"/>
        <w:ind w:left="369" w:hanging="170"/>
      </w:pPr>
      <w:r>
        <w:t>Проверить public-domain status and scan reuse for every intended historical mirror in the jurisdictions where ToS will host content.</w:t>
      </w:r>
    </w:p>
    <w:p>
      <w:pPr>
        <w:pStyle w:val="ListNumber"/>
        <w:spacing w:after="60"/>
        <w:ind w:left="369" w:hanging="170"/>
      </w:pPr>
      <w:r>
        <w:t>Для GRETIL legacy items trace the exact source edition and determine whether the transcription can be relicensed, replaced by OCR from a public-domain facsimile, or used link-only.</w:t>
      </w:r>
    </w:p>
    <w:p>
      <w:pPr>
        <w:pStyle w:val="Heading2"/>
      </w:pPr>
      <w:r>
        <w:t>6.2. Ограничения текущей проверки</w:t>
      </w:r>
    </w:p>
    <w:p>
      <w:pPr>
        <w:pStyle w:val="ListBullet"/>
        <w:spacing w:after="60"/>
        <w:ind w:left="312" w:hanging="142"/>
      </w:pPr>
      <w:r>
        <w:t>Некоторые BDRC downloads и IIIF endpoints зависят от регистрации и item-level access flag; registry не подменяет повторную проверку перед ingest.</w:t>
      </w:r>
    </w:p>
    <w:p>
      <w:pPr>
        <w:pStyle w:val="ListBullet"/>
        <w:spacing w:after="60"/>
        <w:ind w:left="312" w:hanging="142"/>
      </w:pPr>
      <w:r>
        <w:t>HathiTrust Full View/download может меняться по геолокации, аккаунту и jurisdiction.</w:t>
      </w:r>
    </w:p>
    <w:p>
      <w:pPr>
        <w:pStyle w:val="ListBullet"/>
        <w:spacing w:after="60"/>
        <w:ind w:left="312" w:hanging="142"/>
      </w:pPr>
      <w:r>
        <w:t>84000 terms на момент проверки прямо обозначались как draft; перед публичным зеркалированием надо сверить финальную редакцию.</w:t>
      </w:r>
    </w:p>
    <w:p>
      <w:pPr>
        <w:pStyle w:val="ListBullet"/>
        <w:spacing w:after="60"/>
        <w:ind w:left="312" w:hanging="142"/>
      </w:pPr>
      <w:r>
        <w:t>У отдельных современных publisher pages товар может быть временно недоступен, но запись остаётся законной библиографической/purchase route.</w:t>
      </w:r>
    </w:p>
    <w:p>
      <w:pPr>
        <w:pStyle w:val="ListBullet"/>
        <w:spacing w:after="60"/>
        <w:ind w:left="312" w:hanging="142"/>
      </w:pPr>
      <w:r>
        <w:t>Русские современные переводы намеренно не добавлялись без устойчивой официальной издательской или библиотечной карточки.</w:t>
      </w:r>
    </w:p>
    <w:p>
      <w:pPr>
        <w:pStyle w:val="Heading1"/>
      </w:pPr>
      <w:r>
        <w:t>7. Итоговая оценка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6917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8"/>
              </w:rPr>
              <w:t>Оценка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Покрытие корпуса</w:t>
            </w:r>
          </w:p>
        </w:tc>
        <w:tc>
          <w:tcPr>
            <w:tcW w:type="dxa" w:w="691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Высокое для центральных китайских передач и коротких Sanskrit śāstra; среднее для полного manuscript-level Sanskrit/Tibetan corpus.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Оригиналы</w:t>
            </w:r>
          </w:p>
        </w:tc>
        <w:tc>
          <w:tcPr>
            <w:tcW w:type="dxa" w:w="6917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Хорошо доступны для MMK, Kośa, short Vasubandhu/Nāgārjuna works; фрагментарно/реконструированно для Mahāvibhāṣā, Mahāyānasaṃgraha и части Yogācārabhūmi.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Переводы</w:t>
            </w:r>
          </w:p>
        </w:tc>
        <w:tc>
          <w:tcPr>
            <w:tcW w:type="dxa" w:w="691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Очень сильный Chinese layer; полезный Tibetan/English layer via 84000/BDRC; modern English routes well mapped; Russian layer remains a targeted gap.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Наиболее свободный слой</w:t>
            </w:r>
          </w:p>
        </w:tc>
        <w:tc>
          <w:tcPr>
            <w:tcW w:type="dxa" w:w="6917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CBETA Category A; explicit GRETIL TEI sections; 84000 metadata/data. Historical editions are potentially valuable after jurisdictional review.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Главные ограничения</w:t>
            </w:r>
          </w:p>
        </w:tc>
        <w:tc>
          <w:tcPr>
            <w:tcW w:type="dxa" w:w="691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Modern translations/critical editions; GRETIL legacy provenance; institutional photographs/scans; mixed project rights; incomplete English coverage of giant corpora.</w:t>
            </w:r>
          </w:p>
        </w:tc>
      </w:tr>
      <w:tr>
        <w:trPr>
          <w:cantSplit/>
        </w:trPr>
        <w:tc>
          <w:tcPr>
            <w:tcW w:type="dxa" w:w="2381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Готовность к Codex</w:t>
            </w:r>
          </w:p>
        </w:tc>
        <w:tc>
          <w:tcPr>
            <w:tcW w:type="dxa" w:w="6917"/>
            <w:shd w:fill="F3F5F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/>
                <w:sz w:val="18"/>
              </w:rPr>
              <w:t>Да. Registry has stable IDs, granular rights fields, action tags, item-level URLs and a prioritized gaps sheet.</w:t>
            </w:r>
          </w:p>
        </w:tc>
      </w:tr>
    </w:tbl>
    <w:p>
      <w:pPr>
        <w:spacing w:after="0"/>
      </w:pPr>
    </w:p>
    <w:p>
      <w:pPr>
        <w:pStyle w:val="ReportLead"/>
        <w:spacing w:before="200"/>
      </w:pPr>
      <w:r>
        <w:t>A20 теперь имеет не просто список текстов, а операционную карту: где читать, скачивать, сопоставлять версии, строить локальный индекс, создавать собственный перевод и где автоматизация должна остановиться перед ручной проверкой прав.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DFF3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" w:hAnsi="Noto Sans"/>
                <w:b/>
                <w:color w:val="17324D"/>
              </w:rPr>
              <w:t>Поставка</w:t>
            </w:r>
          </w:p>
          <w:p>
            <w:pPr>
              <w:spacing w:after="0"/>
            </w:pPr>
            <w:r>
              <w:t>Реестр: ToS_Corpus_Rights_A20_registry.xlsx — 131 записей на листе registry и 20 приоритетных пробелов на листе gaps. Настоящий отчёт описывает тот же набор результатов и не дублирует все строки.</w:t>
            </w:r>
          </w:p>
        </w:tc>
      </w:tr>
    </w:tbl>
    <w:p>
      <w:pPr>
        <w:pStyle w:val="Heading2"/>
      </w:pPr>
      <w:r>
        <w:t>Ключевые страницы прав</w:t>
      </w:r>
    </w:p>
    <w:p>
      <w:pPr>
        <w:pStyle w:val="ReportSmall"/>
        <w:spacing w:after="40"/>
      </w:pPr>
      <w:hyperlink r:id="rId19">
        <w:r>
          <w:rPr>
            <w:color w:val="1C6675"/>
            <w:u w:val="single"/>
            <w:rFonts w:ascii="Noto Sans" w:hAnsi="Noto Sans"/>
          </w:rPr>
          <w:t>CBETA Copyright</w:t>
        </w:r>
      </w:hyperlink>
    </w:p>
    <w:p>
      <w:pPr>
        <w:pStyle w:val="ReportSmall"/>
        <w:spacing w:after="40"/>
      </w:pPr>
      <w:hyperlink r:id="rId22">
        <w:r>
          <w:rPr>
            <w:color w:val="1C6675"/>
            <w:u w:val="single"/>
            <w:rFonts w:ascii="Noto Sans" w:hAnsi="Noto Sans"/>
          </w:rPr>
          <w:t>SAT Terms of Use</w:t>
        </w:r>
      </w:hyperlink>
    </w:p>
    <w:p>
      <w:pPr>
        <w:pStyle w:val="ReportSmall"/>
        <w:spacing w:after="40"/>
      </w:pPr>
      <w:hyperlink r:id="rId23">
        <w:r>
          <w:rPr>
            <w:color w:val="1C6675"/>
            <w:u w:val="single"/>
            <w:rFonts w:ascii="Noto Sans" w:hAnsi="Noto Sans"/>
          </w:rPr>
          <w:t>BDRC Access Policies</w:t>
        </w:r>
      </w:hyperlink>
    </w:p>
    <w:p>
      <w:pPr>
        <w:pStyle w:val="ReportSmall"/>
        <w:spacing w:after="40"/>
      </w:pPr>
      <w:hyperlink r:id="rId21">
        <w:r>
          <w:rPr>
            <w:color w:val="1C6675"/>
            <w:u w:val="single"/>
            <w:rFonts w:ascii="Noto Sans" w:hAnsi="Noto Sans"/>
          </w:rPr>
          <w:t>84000 Terms of Use</w:t>
        </w:r>
      </w:hyperlink>
    </w:p>
    <w:p>
      <w:pPr>
        <w:pStyle w:val="ReportSmall"/>
        <w:spacing w:after="40"/>
      </w:pPr>
      <w:hyperlink r:id="rId20">
        <w:r>
          <w:rPr>
            <w:color w:val="1C6675"/>
            <w:u w:val="single"/>
            <w:rFonts w:ascii="Noto Sans" w:hAnsi="Noto Sans"/>
          </w:rPr>
          <w:t>GRETIL Usage Notice</w:t>
        </w:r>
      </w:hyperlink>
    </w:p>
    <w:p>
      <w:pPr>
        <w:pStyle w:val="ReportSmall"/>
        <w:spacing w:after="40"/>
      </w:pPr>
      <w:hyperlink r:id="rId24">
        <w:r>
          <w:rPr>
            <w:color w:val="1C6675"/>
            <w:u w:val="single"/>
            <w:rFonts w:ascii="Noto Sans" w:hAnsi="Noto Sans"/>
          </w:rPr>
          <w:t>DSBC Usage Policy</w:t>
        </w:r>
      </w:hyperlink>
    </w:p>
    <w:p>
      <w:pPr>
        <w:pStyle w:val="ReportSmall"/>
        <w:spacing w:after="40"/>
      </w:pPr>
      <w:hyperlink r:id="rId25">
        <w:r>
          <w:rPr>
            <w:color w:val="1C6675"/>
            <w:u w:val="single"/>
            <w:rFonts w:ascii="Noto Sans" w:hAnsi="Noto Sans"/>
          </w:rPr>
          <w:t>Internet Archive Terms</w:t>
        </w:r>
      </w:hyperlink>
    </w:p>
    <w:p>
      <w:pPr>
        <w:pStyle w:val="ReportSmall"/>
        <w:spacing w:after="40"/>
      </w:pPr>
      <w:hyperlink r:id="rId26">
        <w:r>
          <w:rPr>
            <w:color w:val="1C6675"/>
            <w:u w:val="single"/>
            <w:rFonts w:ascii="Noto Sans" w:hAnsi="Noto Sans"/>
          </w:rPr>
          <w:t>Gallica Reuse Conditions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Small"/>
    </w:pPr>
    <w:r>
      <w:t>Проверено 03.09.2026  ·  исследовательская карта, не юридическое заключение</w:t>
    </w:r>
  </w:p>
  <w:p>
    <w:pPr>
      <w:pStyle w:val="ReportSmall"/>
      <w:jc w:val="right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Small"/>
      <w:jc w:val="left"/>
      <w:pBdr>
        <w:bottom w:val="single" w:sz="6" w:space="5" w:color="1C6675"/>
      </w:pBdr>
    </w:pPr>
    <w:r>
      <w:t>ToS / Древо Софии  ·  Corpus &amp; Rights Registry  ·  A20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erif" w:hAnsi="Noto Serif"/>
      <w:color w:val="1B26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C66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/>
      <w:b/>
      <w:bCs/>
      <w:color w:val="1C66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Noto Sans" w:hAnsi="Noto Sans"/>
      <w:b w:val="0"/>
      <w:i/>
      <w:iCs/>
      <w:color w:val="1C66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mall">
    <w:name w:val="Report Small"/>
    <w:pPr>
      <w:spacing w:after="60"/>
    </w:pPr>
    <w:rPr>
      <w:rFonts w:ascii="Noto Sans" w:hAnsi="Noto Sans"/>
      <w:color w:val="536470"/>
      <w:sz w:val="17"/>
    </w:rPr>
  </w:style>
  <w:style w:type="paragraph" w:customStyle="1" w:styleId="ReportLead">
    <w:name w:val="Report Lead"/>
    <w:pPr>
      <w:spacing w:after="160" w:line="276" w:lineRule="auto"/>
    </w:pPr>
    <w:rPr>
      <w:rFonts w:ascii="Noto Serif" w:hAnsi="Noto Serif"/>
      <w:color w:val="1B2630"/>
      <w:sz w:val="24"/>
    </w:rPr>
  </w:style>
  <w:style w:type="paragraph" w:customStyle="1" w:styleId="ReportLabel">
    <w:name w:val="Report Label"/>
    <w:pPr>
      <w:spacing w:after="20"/>
    </w:pPr>
    <w:rPr>
      <w:rFonts w:ascii="Noto Sans" w:hAnsi="Noto Sans"/>
      <w:b/>
      <w:color w:val="1C667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ToS_Corpus_Rights_A20_registry.xlsx" TargetMode="External"/><Relationship Id="rId12" Type="http://schemas.openxmlformats.org/officeDocument/2006/relationships/hyperlink" Target="https://cbetaonline.dila.edu.tw/" TargetMode="External"/><Relationship Id="rId13" Type="http://schemas.openxmlformats.org/officeDocument/2006/relationships/hyperlink" Target="https://gretil.sub.uni-goettingen.de/" TargetMode="External"/><Relationship Id="rId14" Type="http://schemas.openxmlformats.org/officeDocument/2006/relationships/hyperlink" Target="https://library.bdrc.io/" TargetMode="External"/><Relationship Id="rId15" Type="http://schemas.openxmlformats.org/officeDocument/2006/relationships/hyperlink" Target="https://84000.co/" TargetMode="External"/><Relationship Id="rId16" Type="http://schemas.openxmlformats.org/officeDocument/2006/relationships/hyperlink" Target="https://www.dsbcproject.org/" TargetMode="External"/><Relationship Id="rId17" Type="http://schemas.openxmlformats.org/officeDocument/2006/relationships/hyperlink" Target="https://www2.hf.uio.no/polyglotta/index.php?page=library&amp;bid=2" TargetMode="External"/><Relationship Id="rId18" Type="http://schemas.openxmlformats.org/officeDocument/2006/relationships/hyperlink" Target="https://cbdata.dila.edu.tw/static_pages/download_fulltext" TargetMode="External"/><Relationship Id="rId19" Type="http://schemas.openxmlformats.org/officeDocument/2006/relationships/hyperlink" Target="https://cbeta.org/copyright" TargetMode="External"/><Relationship Id="rId20" Type="http://schemas.openxmlformats.org/officeDocument/2006/relationships/hyperlink" Target="https://gretil.sub.uni-goettingen.de/gret_utfbk.htm" TargetMode="External"/><Relationship Id="rId21" Type="http://schemas.openxmlformats.org/officeDocument/2006/relationships/hyperlink" Target="https://84000.co/documents/terms-of-use" TargetMode="External"/><Relationship Id="rId22" Type="http://schemas.openxmlformats.org/officeDocument/2006/relationships/hyperlink" Target="https://21dzk.l.u-tokyo.ac.jp/SAT/termsofuse_en.html" TargetMode="External"/><Relationship Id="rId23" Type="http://schemas.openxmlformats.org/officeDocument/2006/relationships/hyperlink" Target="https://www.bdrc.io/access-policies/" TargetMode="External"/><Relationship Id="rId24" Type="http://schemas.openxmlformats.org/officeDocument/2006/relationships/hyperlink" Target="https://www.dsbcproject.org/pages/usage-policy" TargetMode="External"/><Relationship Id="rId25" Type="http://schemas.openxmlformats.org/officeDocument/2006/relationships/hyperlink" Target="https://archive.org/about/terms.php" TargetMode="External"/><Relationship Id="rId26" Type="http://schemas.openxmlformats.org/officeDocument/2006/relationships/hyperlink" Target="https://gallica.bnf.fr/edit/und/conditions-dutilisation-des-contenus-de-galli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A20</dc:title>
  <dc:subject>Южная Азия — Классическая индийская буддийская шастра</dc:subject>
  <dc:creator>Tree of Sophia / OpenAI research workflow</dc:creator>
  <cp:keywords>ToS, Buddhist śāstra, Madhyamaka, Yogācāra, Abhidharma, rights registry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