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</w:pPr>
      <w:r>
        <w:t>ToS / Древо Софии</w:t>
      </w:r>
    </w:p>
    <w:p>
      <w:pPr>
        <w:pStyle w:val="Title"/>
      </w:pPr>
      <w:r>
        <w:t>Corpus &amp; Rights Registry</w:t>
      </w:r>
    </w:p>
    <w:p>
      <w:pPr>
        <w:pStyle w:val="Subtitle"/>
      </w:pPr>
      <w:r>
        <w:t>T2-16 — Постмонгольский персидатский</w:t>
        <w:br/>
        <w:t>схоластический коридор</w:t>
      </w:r>
    </w:p>
    <w:p>
      <w:pPr>
        <w:pStyle w:val="Small"/>
      </w:pPr>
      <w:r>
        <w:t>Карта произведений, рукописей, переводов, изданий и законных цифровых входов. Исследовательский выпуск по протоколу v4.3.1.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2098"/>
        <w:gridCol w:w="2211"/>
      </w:tblGrid>
      <w:tr>
        <w:trPr>
          <w:tblHeader/>
        </w:trPr>
        <w:tc>
          <w:tcPr>
            <w:tcW w:type="dxa" w:w="1757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Пути доступа</w:t>
            </w:r>
          </w:p>
        </w:tc>
        <w:tc>
          <w:tcPr>
            <w:tcW w:type="dxa" w:w="3458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Первичный корпус</w:t>
            </w:r>
          </w:p>
        </w:tc>
        <w:tc>
          <w:tcPr>
            <w:tcW w:type="dxa" w:w="2098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Свидетели</w:t>
            </w:r>
          </w:p>
        </w:tc>
        <w:tc>
          <w:tcPr>
            <w:tcW w:type="dxa" w:w="2211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Пробелы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73 записи</w:t>
            </w:r>
          </w:p>
        </w:tc>
        <w:tc>
          <w:tcPr>
            <w:tcW w:type="dxa" w:w="3458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Не менее 40 различимых сочинений и комментариев</w:t>
            </w:r>
          </w:p>
        </w:tc>
        <w:tc>
          <w:tcPr>
            <w:tcW w:type="dxa" w:w="2098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24 записи о физических свидетелях</w:t>
            </w:r>
          </w:p>
        </w:tc>
        <w:tc>
          <w:tcPr>
            <w:tcW w:type="dxa" w:w="2211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27 адресных задач на листе gaps</w:t>
            </w:r>
          </w:p>
        </w:tc>
      </w:tr>
    </w:tbl>
    <w:p>
      <w:pPr>
        <w:spacing w:after="0"/>
      </w:pP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tblHeader/>
        </w:trPr>
        <w:tc>
          <w:tcPr>
            <w:tcW w:type="dxa" w:w="1814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710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Мастер-строка</w:t>
            </w:r>
          </w:p>
        </w:tc>
        <w:tc>
          <w:tcPr>
            <w:tcW w:type="dxa" w:w="7710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T2-16. Постмонгольский персидатский схоластический коридор.</w:t>
            </w:r>
          </w:p>
        </w:tc>
      </w:tr>
      <w:tr>
        <w:trPr>
          <w:cantSplit/>
        </w:trPr>
        <w:tc>
          <w:tcPr>
            <w:tcW w:type="dxa" w:w="181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Статус</w:t>
            </w:r>
          </w:p>
        </w:tc>
        <w:tc>
          <w:tcPr>
            <w:tcW w:type="dxa" w:w="7710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A; исходная уверенность 4/5. Сохранены без изменения.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Хронология</w:t>
            </w:r>
          </w:p>
        </w:tc>
        <w:tc>
          <w:tcPr>
            <w:tcW w:type="dxa" w:w="7710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Формирование и фиксация: XIII–XV вв.; канонизация и комментарий: XIV–XVI вв. Более ранние источники и поздние продолжения входят в ореол, а не меняют границы строки.</w:t>
            </w:r>
          </w:p>
        </w:tc>
      </w:tr>
      <w:tr>
        <w:trPr>
          <w:cantSplit/>
        </w:trPr>
        <w:tc>
          <w:tcPr>
            <w:tcW w:type="dxa" w:w="181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Макрорегион</w:t>
            </w:r>
          </w:p>
        </w:tc>
        <w:tc>
          <w:tcPr>
            <w:tcW w:type="dxa" w:w="7710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Иран, Центральная и Южная Азия; прямые османские, сефевидские и могольские линии передачи.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Исходный DR</w:t>
            </w:r>
          </w:p>
        </w:tc>
        <w:tc>
          <w:tcPr>
            <w:tcW w:type="dxa" w:w="7710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ToS Deep Research_ T2-16 — Постмонгольский персидатский схоластический коридор(1).docx; сверка идентификатора с «Таблица II для ToS.docx».</w:t>
            </w:r>
          </w:p>
        </w:tc>
      </w:tr>
      <w:tr>
        <w:trPr>
          <w:cantSplit/>
        </w:trPr>
        <w:tc>
          <w:tcPr>
            <w:tcW w:type="dxa" w:w="181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Дата и языки поиска</w:t>
            </w:r>
          </w:p>
        </w:tc>
        <w:tc>
          <w:tcPr>
            <w:tcW w:type="dxa" w:w="7710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4 сентября 2026 г. Основные запросы: арабский, персидский, английский, русский, турецкий. Дополнительные библиотечные и торговые входы — на французском и других языках каталогов.</w:t>
            </w:r>
          </w:p>
        </w:tc>
      </w:tr>
    </w:tbl>
    <w:p>
      <w:pPr>
        <w:spacing w:after="0"/>
      </w:pPr>
    </w:p>
    <w:p>
      <w:pPr>
        <w:pStyle w:val="Small"/>
      </w:pPr>
      <w:r>
        <w:t>Основной файл данных: ToS_Corpus_Rights_T2-16_registry.xlsx. Листы registry и gaps. Ссылки [R001]–[R073] в отчёте ведут к соответствующим страницам доступа; полный record_id имеет префикс T2-16-. Все поля прав и полноты сохранены в XLSX.</w:t>
      </w:r>
    </w:p>
    <w:p>
      <w:r>
        <w:br w:type="page"/>
      </w:r>
    </w:p>
    <w:p>
      <w:pPr>
        <w:pStyle w:val="Heading2"/>
      </w:pPr>
      <w:r>
        <w:t>Метод и доказательность</w:t>
      </w:r>
    </w:p>
    <w:p>
      <w:r>
        <w:t>Ядром считалась не вся исламская философия, а конкретные учебно-комментарийные семьи: Туси, Абхари, Катиби, Урмави, Иджи, Тафтазани, Джурджани, Давани, Даштаки и Мейбоди. Из DR извлечены названия, варианты, фигуры, свидетели и цифровые проекты; затем проведены отдельные проходы по оригиналам, переводам, предшественникам и продолжениям. Графовые схемы и будущие задания внутри DR не выполнялись.</w:t>
      </w:r>
    </w:p>
    <w:p>
      <w:r>
        <w:t>Искались произведения и сборники, рукописные кодексы, старые печатные издания, современные критические редакции, переводы, OCR/текстовые файлы и каталожные XML. Эпиграфический или археологический корпус для этой строки не подменяет книжное ядро. Каталоги Princeton, HathiTrust, NYU Arabic Collections Online и Fihrist использованы для идентификации; издательские и авторские страницы — для современных версий; конкретные rights statements, Terms и лицензии — для правовой оценки.</w:t>
      </w:r>
    </w:p>
    <w:p>
      <w:r>
        <w:t>В XLSX различаются открытая карточка, предложение бесплатного reader/Download и фактически прочитанное содержимое файла. У Princeton проверены метаданные, item-права и предложения PDF/IIIF, но встроенный просмотрщик в инструменте сообщал об ошибке; у Noor без входа часто открывалась только оболочка reader. Эти маршруты сохранены, но не выданы за проверку каждого листа или успешное скачивание всего объекта. Большие файлы OpenITI и PDF также отмечены отдельно там, где загрузка не удалась.</w:t>
      </w:r>
    </w:p>
    <w:p>
      <w:r>
        <w:t>Ни один сильный вывод о повторном размещении не основан на Wikipedia или поисковом сниппете. Слабые кандидаты, включая возможный перевод Īsāghūjī Хамзы Карамали и омонимичный Asās al-iqtibās из Toronto/Fisher, вынесены в gaps. Поиск не завершён глобальным census всех рукописей: редкие свидетели, новые комментарии и неподтверждённая доставка оставлены как конкретные продолжения работы, а не объявлены отсутствующими.</w:t>
      </w:r>
    </w:p>
    <w:p>
      <w:pPr>
        <w:pStyle w:val="Heading1"/>
      </w:pPr>
      <w:r>
        <w:t>2. Охват корпуса</w:t>
      </w:r>
    </w:p>
    <w:p>
      <w:r>
        <w:t>Из исходного DR сохранены все основные семейства: Asās al-iqtibās, богословский Tajrīd и комментарий Туси к Ishārāt; Īsāghūjī и Hidāyat al-ḥikma Абхари; Shamsiyya Катиби; Maṭāliʿ Урмави и Lawāmiʿ Кутб ал-Дина; Mawāqif Иджи и комментарий Джурджани; Tahdhīb и Sharḥ al-Maqāṣid Тафтазани; Taʿrīfāt, персидская Kubrā, глоссы и риторический комментарий Джурджани; позднеширазские трактаты, Anmūdhaj al-ʿulūm и полемика о Лжеце. Полнота доступа неодинакова: наличие карточки не скрывается за словом «покрыто».</w:t>
      </w:r>
    </w:p>
    <w:p>
      <w:r>
        <w:t>Веб-поиск существенно расширил исходную карту. Добавлены Tanwīr al-Maṭāliʿ, критический al-Mufaṣṣal Катиби к Muḥaṣṣal ал-Рази, al-Muḥākamāt Кутб ал-Дина, логический Tajrīd Туси, Ḥikmat al-ʿayn Катиби, комментарии Кушджи и Кадизаде Руми, отдельный Sharḥ Hidāyat al-ḥikma Мухаммада ибн Шарифа ал-Джурджани, новые персидские переводы и современные прямые продолжения Мейбоди. Они связаны с основными текстами названием комментария или каталогом, а не только тематическим сходством.</w:t>
      </w:r>
      <w:r>
        <w:t xml:space="preserve"> </w:t>
      </w:r>
      <w:hyperlink r:id="rId11">
        <w:r>
          <w:rPr>
            <w:color w:val="245F7B"/>
            <w:u w:val="single"/>
          </w:rPr>
          <w:t>[R006]</w:t>
        </w:r>
      </w:hyperlink>
      <w:r>
        <w:t xml:space="preserve"> </w:t>
      </w:r>
      <w:hyperlink r:id="rId12">
        <w:r>
          <w:rPr>
            <w:color w:val="245F7B"/>
            <w:u w:val="single"/>
          </w:rPr>
          <w:t>[R016]</w:t>
        </w:r>
      </w:hyperlink>
      <w:r>
        <w:t xml:space="preserve"> </w:t>
      </w:r>
      <w:hyperlink r:id="rId13">
        <w:r>
          <w:rPr>
            <w:color w:val="245F7B"/>
            <w:u w:val="single"/>
          </w:rPr>
          <w:t>[R019]</w:t>
        </w:r>
      </w:hyperlink>
      <w:r>
        <w:t xml:space="preserve"> </w:t>
      </w:r>
      <w:hyperlink r:id="rId14">
        <w:r>
          <w:rPr>
            <w:color w:val="245F7B"/>
            <w:u w:val="single"/>
          </w:rPr>
          <w:t>[R020]</w:t>
        </w:r>
      </w:hyperlink>
      <w:r>
        <w:t xml:space="preserve"> </w:t>
      </w:r>
      <w:hyperlink r:id="rId15">
        <w:r>
          <w:rPr>
            <w:color w:val="245F7B"/>
            <w:u w:val="single"/>
          </w:rPr>
          <w:t>[R029]</w:t>
        </w:r>
      </w:hyperlink>
      <w:r>
        <w:t xml:space="preserve"> </w:t>
      </w:r>
      <w:hyperlink r:id="rId16">
        <w:r>
          <w:rPr>
            <w:color w:val="245F7B"/>
            <w:u w:val="single"/>
          </w:rPr>
          <w:t>[R030]</w:t>
        </w:r>
      </w:hyperlink>
      <w:r>
        <w:t xml:space="preserve"> </w:t>
      </w:r>
      <w:hyperlink r:id="rId17">
        <w:r>
          <w:rPr>
            <w:color w:val="245F7B"/>
            <w:u w:val="single"/>
          </w:rPr>
          <w:t>[R051]</w:t>
        </w:r>
      </w:hyperlink>
      <w:r>
        <w:t xml:space="preserve"> </w:t>
      </w:r>
      <w:hyperlink r:id="rId18">
        <w:r>
          <w:rPr>
            <w:color w:val="245F7B"/>
            <w:u w:val="single"/>
          </w:rPr>
          <w:t>[R056]</w:t>
        </w:r>
      </w:hyperlink>
      <w:r>
        <w:t xml:space="preserve"> </w:t>
      </w:r>
      <w:hyperlink r:id="rId19">
        <w:r>
          <w:rPr>
            <w:color w:val="245F7B"/>
            <w:u w:val="single"/>
          </w:rPr>
          <w:t>[R057]</w:t>
        </w:r>
      </w:hyperlink>
      <w:r>
        <w:t xml:space="preserve"> </w:t>
      </w:r>
      <w:hyperlink r:id="rId20">
        <w:r>
          <w:rPr>
            <w:color w:val="245F7B"/>
            <w:u w:val="single"/>
          </w:rPr>
          <w:t>[R069]</w:t>
        </w:r>
      </w:hyperlink>
    </w:p>
    <w:p>
      <w:r>
        <w:t>Ранний контур включает Ishārāt Ибн Сины, Miʿyār al-ʿilm ал-Газали и Kashf al-asrār ал-Хунаджи. Для Ибн Сины связь прямая: это исходный текст комментариев Туси и арбитража Кутб ал-Дина. Ал-Хунаджи — ближайший ранний слой той логической дискуссии, которую DR включает в ядро. Miʿyār включён как предшествующее логическое руководство в обозначенной DR линии; конкретное использование именно этого экземпляра или издания авторами T2-16 не утверждается.</w:t>
      </w:r>
      <w:r>
        <w:t xml:space="preserve"> </w:t>
      </w:r>
      <w:hyperlink r:id="rId13">
        <w:r>
          <w:rPr>
            <w:color w:val="245F7B"/>
            <w:u w:val="single"/>
          </w:rPr>
          <w:t>[R019]</w:t>
        </w:r>
      </w:hyperlink>
      <w:r>
        <w:t xml:space="preserve"> </w:t>
      </w:r>
      <w:hyperlink r:id="rId21">
        <w:r>
          <w:rPr>
            <w:color w:val="245F7B"/>
            <w:u w:val="single"/>
          </w:rPr>
          <w:t>[R026]</w:t>
        </w:r>
      </w:hyperlink>
      <w:r>
        <w:t xml:space="preserve"> </w:t>
      </w:r>
      <w:hyperlink r:id="rId22">
        <w:r>
          <w:rPr>
            <w:color w:val="245F7B"/>
            <w:u w:val="single"/>
          </w:rPr>
          <w:t>[R041]</w:t>
        </w:r>
      </w:hyperlink>
      <w:r>
        <w:t xml:space="preserve"> </w:t>
      </w:r>
      <w:hyperlink r:id="rId23">
        <w:r>
          <w:rPr>
            <w:color w:val="245F7B"/>
            <w:u w:val="single"/>
          </w:rPr>
          <w:t>[R042]</w:t>
        </w:r>
      </w:hyperlink>
      <w:r>
        <w:t xml:space="preserve"> </w:t>
      </w:r>
      <w:hyperlink r:id="rId24">
        <w:r>
          <w:rPr>
            <w:color w:val="245F7B"/>
            <w:u w:val="single"/>
          </w:rPr>
          <w:t>[R063]</w:t>
        </w:r>
      </w:hyperlink>
    </w:p>
    <w:p>
      <w:r>
        <w:t>Кроме того, ранние тексты доступны внутри более поздних носителей: Muḥaṣṣal ал-Рази — через al-Mufaṣṣal Катиби и Talkhīṣ Туси; Hayākil al-nūr Сухраварди — через Shawākil Давани и приложение к Thalāth rasāʾil; ʿAqāʾid ал-Насафи — через комментарий Тафтазани. Это линии комментирования и сохранения. Их нельзя автоматически считать самостоятельными полными цифровыми изданиями всех исходных произведений.</w:t>
      </w:r>
      <w:r>
        <w:t xml:space="preserve"> </w:t>
      </w:r>
      <w:hyperlink r:id="rId14">
        <w:r>
          <w:rPr>
            <w:color w:val="245F7B"/>
            <w:u w:val="single"/>
          </w:rPr>
          <w:t>[R020]</w:t>
        </w:r>
      </w:hyperlink>
      <w:r>
        <w:t xml:space="preserve"> </w:t>
      </w:r>
      <w:hyperlink r:id="rId25">
        <w:r>
          <w:rPr>
            <w:color w:val="245F7B"/>
            <w:u w:val="single"/>
          </w:rPr>
          <w:t>[R049]</w:t>
        </w:r>
      </w:hyperlink>
      <w:r>
        <w:t xml:space="preserve"> </w:t>
      </w:r>
      <w:hyperlink r:id="rId26">
        <w:r>
          <w:rPr>
            <w:color w:val="245F7B"/>
            <w:u w:val="single"/>
          </w:rPr>
          <w:t>[R067]</w:t>
        </w:r>
      </w:hyperlink>
      <w:r>
        <w:t xml:space="preserve"> </w:t>
      </w:r>
      <w:hyperlink r:id="rId20">
        <w:r>
          <w:rPr>
            <w:color w:val="245F7B"/>
            <w:u w:val="single"/>
          </w:rPr>
          <w:t>[R069]</w:t>
        </w:r>
      </w:hyperlink>
    </w:p>
    <w:p>
      <w:r>
        <w:t>Поздний контур не обрывается около 1500 года. Он включает глоссу Мир Абу-л-Фатха на Давани/Tahdhīb, глоссу Муллы ʿАбдаллаха Язди и её персидскую передачу, Sharḥ al-Hidāya al-Athīriyya Муллы Садры, Мир Захида Харави на Давани/Hayākil, персидский Bahjat al-ṭālibīn на Kubrā, а также современные al-Najm al-thāqib и al-Ḥāshiya al-Ṣiddīqiyya на Мейбоди. Для каждой записи связь конкретна: назван комментируемый текст. Полная философия Муллы Садры, Харави или современного автора в реестр не развёртывалась.</w:t>
      </w:r>
      <w:r>
        <w:t xml:space="preserve"> </w:t>
      </w:r>
      <w:hyperlink r:id="rId27">
        <w:r>
          <w:rPr>
            <w:color w:val="245F7B"/>
            <w:u w:val="single"/>
          </w:rPr>
          <w:t>[R018]</w:t>
        </w:r>
      </w:hyperlink>
      <w:r>
        <w:t xml:space="preserve"> </w:t>
      </w:r>
      <w:hyperlink r:id="rId28">
        <w:r>
          <w:rPr>
            <w:color w:val="245F7B"/>
            <w:u w:val="single"/>
          </w:rPr>
          <w:t>[R023]</w:t>
        </w:r>
      </w:hyperlink>
      <w:r>
        <w:t xml:space="preserve"> </w:t>
      </w:r>
      <w:hyperlink r:id="rId29">
        <w:r>
          <w:rPr>
            <w:color w:val="245F7B"/>
            <w:u w:val="single"/>
          </w:rPr>
          <w:t>[R045]</w:t>
        </w:r>
      </w:hyperlink>
      <w:r>
        <w:t xml:space="preserve"> </w:t>
      </w:r>
      <w:hyperlink r:id="rId30">
        <w:r>
          <w:rPr>
            <w:color w:val="245F7B"/>
            <w:u w:val="single"/>
          </w:rPr>
          <w:t>[R050]</w:t>
        </w:r>
      </w:hyperlink>
      <w:r>
        <w:t xml:space="preserve"> </w:t>
      </w:r>
      <w:hyperlink r:id="rId31">
        <w:r>
          <w:rPr>
            <w:color w:val="245F7B"/>
            <w:u w:val="single"/>
          </w:rPr>
          <w:t>[R052]</w:t>
        </w:r>
      </w:hyperlink>
      <w:r>
        <w:t xml:space="preserve"> </w:t>
      </w:r>
      <w:hyperlink r:id="rId18">
        <w:r>
          <w:rPr>
            <w:color w:val="245F7B"/>
            <w:u w:val="single"/>
          </w:rPr>
          <w:t>[R056]</w:t>
        </w:r>
      </w:hyperlink>
      <w:r>
        <w:t xml:space="preserve"> </w:t>
      </w:r>
      <w:hyperlink r:id="rId19">
        <w:r>
          <w:rPr>
            <w:color w:val="245F7B"/>
            <w:u w:val="single"/>
          </w:rPr>
          <w:t>[R057]</w:t>
        </w:r>
      </w:hyperlink>
    </w:p>
    <w:p>
      <w:r>
        <w:t>Могольская рецепция Kubrā документируется отдельно. Найдены академически установленные кандидаты Sharḥ-i Kubrā Абу Бакы ибн ʿАбд ал-Бакы ал-Хусайни и логический материал Jawāhir al-ʿulūm Мискини Самарканди. Однако самостоятельные цифровые входы к первичным текстам пока не найдены: это G001–G002, а не две фиктивные полнотекстовые строки.</w:t>
      </w:r>
      <w:r>
        <w:t xml:space="preserve"> </w:t>
      </w:r>
      <w:hyperlink r:id="rId32">
        <w:r>
          <w:rPr>
            <w:color w:val="245F7B"/>
            <w:u w:val="single"/>
          </w:rPr>
          <w:t>[R044]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5216"/>
      </w:tblGrid>
      <w:tr>
        <w:trPr>
          <w:tblHeader/>
        </w:trPr>
        <w:tc>
          <w:tcPr>
            <w:tcW w:type="dxa" w:w="2835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Разметка registry</w:t>
            </w:r>
          </w:p>
        </w:tc>
        <w:tc>
          <w:tcPr>
            <w:tcW w:type="dxa" w:w="1474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Число записей</w:t>
            </w:r>
          </w:p>
        </w:tc>
        <w:tc>
          <w:tcPr>
            <w:tcW w:type="dxa" w:w="5216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147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5216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Центральные произведения и их необходимые основные версии.</w:t>
            </w:r>
          </w:p>
        </w:tc>
      </w:tr>
      <w:tr>
        <w:trPr>
          <w:cantSplit/>
        </w:trPr>
        <w:tc>
          <w:tcPr>
            <w:tcW w:type="dxa" w:w="2835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same_corpus_or_tradition</w:t>
            </w:r>
          </w:p>
        </w:tc>
        <w:tc>
          <w:tcPr>
            <w:tcW w:type="dxa" w:w="147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5216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Прямые члены учебных и комментарийных семей.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antecedent</w:t>
            </w:r>
          </w:p>
        </w:tc>
        <w:tc>
          <w:tcPr>
            <w:tcW w:type="dxa" w:w="147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216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Ранние источники; дополнительные ранние тексты присутствуют внутри поздних изданий.</w:t>
            </w:r>
          </w:p>
        </w:tc>
      </w:tr>
      <w:tr>
        <w:trPr>
          <w:cantSplit/>
        </w:trPr>
        <w:tc>
          <w:tcPr>
            <w:tcW w:type="dxa" w:w="2835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continuation</w:t>
            </w:r>
          </w:p>
        </w:tc>
        <w:tc>
          <w:tcPr>
            <w:tcW w:type="dxa" w:w="147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216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Поздние самостоятельные продолжения.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commentary_or_reception</w:t>
            </w:r>
          </w:p>
        </w:tc>
        <w:tc>
          <w:tcPr>
            <w:tcW w:type="dxa" w:w="147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216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Прямая комментаторская и полемическая рецепция.</w:t>
            </w:r>
          </w:p>
        </w:tc>
      </w:tr>
      <w:tr>
        <w:trPr>
          <w:cantSplit/>
        </w:trPr>
        <w:tc>
          <w:tcPr>
            <w:tcW w:type="dxa" w:w="2835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transmission_or_preservation</w:t>
            </w:r>
          </w:p>
        </w:tc>
        <w:tc>
          <w:tcPr>
            <w:tcW w:type="dxa" w:w="147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216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Переводные или редакционные линии передачи.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infrastructure / secondary_navigation</w:t>
            </w:r>
          </w:p>
        </w:tc>
        <w:tc>
          <w:tcPr>
            <w:tcW w:type="dxa" w:w="147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2 / 2</w:t>
            </w:r>
          </w:p>
        </w:tc>
        <w:tc>
          <w:tcPr>
            <w:tcW w:type="dxa" w:w="5216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OpenITI и Fihrist; два необходимых академических навигатора.</w:t>
            </w:r>
          </w:p>
        </w:tc>
      </w:tr>
    </w:tbl>
    <w:p>
      <w:pPr>
        <w:spacing w:after="0"/>
      </w:pPr>
    </w:p>
    <w:p>
      <w:r>
        <w:t>Итого 73 практически различимых входа: 69 записей о первичном материале, изданиях и свидетелях, две инфраструктурные и две вторично-навигационные записи. Это не 73 произведения. Консервативный нижний счёт — не менее 40 различимых первичных сочинений и комментариев; перевод того же текста не создаёт нового произведения. Три компиляции — «Двенадцать трактатов», Thalāth rasāʾil и Shurūḥ al-Shamsiyya — учитываются как пакеты доступа; их внутренние тексты не раздуты в отдельные одинаковые ссылки. Отдельных supporting и boundary в основном листе нет; спорный омоним оставлен в gaps.</w:t>
      </w:r>
    </w:p>
    <w:p>
      <w:r>
        <w:t>Число 24 относится к записям о физических свидетелях, включая три пути только к каталожному XML. Оно не означает 24 полностью просмотренных факсимиле. Таблица не является новым глобальным каталогом сущностей: окончательная дедупликация авторских редакций, глосс и составных кодексов остаётся отдельной задачей.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Shamsiyya: самый удобный новый читательский вход</w:t>
      </w:r>
    </w:p>
    <w:p>
      <w:r>
        <w:t>Лучшее найденное бесплатное чтение и скачивание — издание Tony Street, NYU / Library of Arabic Literature, 2024. Официальный PDF содержит арабский текст, английский перевод и комментарий; доступен весь файл на 455 PDF-страницах. Название кнопки «Free Arabic PDF» неполно описывает его двуязычное содержание. Это сильный современный научный вход, но copyright page сохраняет права New York University: бесплатность не даёт ToS права раздавать собственную копию.</w:t>
      </w:r>
      <w:r>
        <w:t xml:space="preserve"> </w:t>
      </w:r>
      <w:hyperlink r:id="rId33">
        <w:r>
          <w:rPr>
            <w:color w:val="245F7B"/>
            <w:u w:val="single"/>
          </w:rPr>
          <w:t>[R001]</w:t>
        </w:r>
      </w:hyperlink>
    </w:p>
    <w:p>
      <w:r>
        <w:t>Старый англоязычный маршрут — Aloys Sprenger, The Logic of the Arabians, 1854, Google Books. Он полезен как исторический перевод, но не заменяет полного современного перевода: его охват ограничен. Сервис предлагал PDF/EPUB; фактический переход к PDF упёрся в CAPTCHA, которую не обходили. Историческое издание рассматривается как public domain в США по сроку, а условия цифровой копии не объявлены открытой лицензией.</w:t>
      </w:r>
      <w:r>
        <w:t xml:space="preserve"> </w:t>
      </w:r>
      <w:hyperlink r:id="rId34">
        <w:r>
          <w:rPr>
            <w:color w:val="245F7B"/>
            <w:u w:val="single"/>
          </w:rPr>
          <w:t>[R062]</w:t>
        </w:r>
      </w:hyperlink>
    </w:p>
    <w:p>
      <w:r>
        <w:t>Рукописный якорь Trinity R.13.54 удалось проверить через официальный Fihrist XML. Shamsiyya занимает ff. 1v–28v; запись об авторской руке передана именно как атрибутивная приписка. Факсимиле не найдено. Глоссы Джурджани и Давани доступны как отдельные Princeton-свидетели; компиляция Shurūḥ al-Shamsiyya даёт дополнительный официальный вход к Taḥrīr al-qawāʿid и последующим глоссам. Наиболее удобный современный текст для чтения и наиболее безопасная основа для свободного переиздания здесь не совпадают.</w:t>
      </w:r>
      <w:r>
        <w:t xml:space="preserve"> </w:t>
      </w:r>
      <w:hyperlink r:id="rId35">
        <w:r>
          <w:rPr>
            <w:color w:val="245F7B"/>
            <w:u w:val="single"/>
          </w:rPr>
          <w:t>[R012]</w:t>
        </w:r>
      </w:hyperlink>
      <w:r>
        <w:t xml:space="preserve"> </w:t>
      </w:r>
      <w:hyperlink r:id="rId36">
        <w:r>
          <w:rPr>
            <w:color w:val="245F7B"/>
            <w:u w:val="single"/>
          </w:rPr>
          <w:t>[R013]</w:t>
        </w:r>
      </w:hyperlink>
      <w:r>
        <w:t xml:space="preserve"> </w:t>
      </w:r>
      <w:hyperlink r:id="rId37">
        <w:r>
          <w:rPr>
            <w:color w:val="245F7B"/>
            <w:u w:val="single"/>
          </w:rPr>
          <w:t>[R064]</w:t>
        </w:r>
      </w:hyperlink>
      <w:r>
        <w:t xml:space="preserve"> </w:t>
      </w:r>
      <w:hyperlink r:id="rId38">
        <w:r>
          <w:rPr>
            <w:color w:val="245F7B"/>
            <w:u w:val="single"/>
          </w:rPr>
          <w:t>[R071]</w:t>
        </w:r>
      </w:hyperlink>
    </w:p>
    <w:p>
      <w:pPr>
        <w:pStyle w:val="Heading2"/>
      </w:pPr>
      <w:r>
        <w:t>3.2. Īsāghūjī и Hidāyat al-ḥikma</w:t>
      </w:r>
    </w:p>
    <w:p>
      <w:r>
        <w:t>Для Īsāghūjī установлен современный арабо-английский том Feryal Salem, Isagoge: A Classical Primer on Logic, Blue Mountain Press, 2022, ISBN 9780578331270. Товарная страница даёт путь покупки; авторский preface подтверждает издание и copyright. Открытый preface — только preview, а не бесплатная книга. Исторический альтернативный вход — Michigan Islamic MS 609 с комментарием ал-Кати и глоссами, зарегистрированный в HathiTrust как Full View; доставку просмотрщика надо перепроверить.</w:t>
      </w:r>
      <w:r>
        <w:t xml:space="preserve"> </w:t>
      </w:r>
      <w:hyperlink r:id="rId39">
        <w:r>
          <w:rPr>
            <w:color w:val="245F7B"/>
            <w:u w:val="single"/>
          </w:rPr>
          <w:t>[R004]</w:t>
        </w:r>
      </w:hyperlink>
      <w:r>
        <w:t xml:space="preserve"> </w:t>
      </w:r>
      <w:hyperlink r:id="rId40">
        <w:r>
          <w:rPr>
            <w:color w:val="245F7B"/>
            <w:u w:val="single"/>
          </w:rPr>
          <w:t>[R058]</w:t>
        </w:r>
      </w:hyperlink>
      <w:r>
        <w:t xml:space="preserve"> </w:t>
      </w:r>
      <w:hyperlink r:id="rId41">
        <w:r>
          <w:rPr>
            <w:color w:val="245F7B"/>
            <w:u w:val="single"/>
          </w:rPr>
          <w:t>[R059]</w:t>
        </w:r>
      </w:hyperlink>
    </w:p>
    <w:p>
      <w:r>
        <w:t>Для Hidāya разграничены matn Абхари, логический комментарий Кадизаде Руми, Sharḥ Мейбоди и поздний Sharḥ Муллы Садры. Карточки Noor ведут к конкретным современным изданиям, а не к общей странице философии. Princeton Garrett 126L сохраняет комментарий Мейбоди, но без логической части; составной Garrett 671Y содержит ещё анонимную глоссу. Это полезные оригинальные слои, а не полный доступ ко всем частям всей семьи.</w:t>
      </w:r>
      <w:r>
        <w:t xml:space="preserve"> </w:t>
      </w:r>
      <w:hyperlink r:id="rId42">
        <w:r>
          <w:rPr>
            <w:color w:val="245F7B"/>
            <w:u w:val="single"/>
          </w:rPr>
          <w:t>[R035]</w:t>
        </w:r>
      </w:hyperlink>
      <w:r>
        <w:t xml:space="preserve"> </w:t>
      </w:r>
      <w:hyperlink r:id="rId43">
        <w:r>
          <w:rPr>
            <w:color w:val="245F7B"/>
            <w:u w:val="single"/>
          </w:rPr>
          <w:t>[R036]</w:t>
        </w:r>
      </w:hyperlink>
      <w:r>
        <w:t xml:space="preserve"> </w:t>
      </w:r>
      <w:hyperlink r:id="rId17">
        <w:r>
          <w:rPr>
            <w:color w:val="245F7B"/>
            <w:u w:val="single"/>
          </w:rPr>
          <w:t>[R051]</w:t>
        </w:r>
      </w:hyperlink>
      <w:r>
        <w:t xml:space="preserve"> </w:t>
      </w:r>
      <w:hyperlink r:id="rId31">
        <w:r>
          <w:rPr>
            <w:color w:val="245F7B"/>
            <w:u w:val="single"/>
          </w:rPr>
          <w:t>[R052]</w:t>
        </w:r>
      </w:hyperlink>
      <w:r>
        <w:t xml:space="preserve"> </w:t>
      </w:r>
      <w:hyperlink r:id="rId44">
        <w:r>
          <w:rPr>
            <w:color w:val="245F7B"/>
            <w:u w:val="single"/>
          </w:rPr>
          <w:t>[R053]</w:t>
        </w:r>
      </w:hyperlink>
      <w:r>
        <w:t xml:space="preserve"> </w:t>
      </w:r>
      <w:hyperlink r:id="rId45">
        <w:r>
          <w:rPr>
            <w:color w:val="245F7B"/>
            <w:u w:val="single"/>
          </w:rPr>
          <w:t>[R054]</w:t>
        </w:r>
      </w:hyperlink>
      <w:r>
        <w:t xml:space="preserve"> </w:t>
      </w:r>
      <w:hyperlink r:id="rId46">
        <w:r>
          <w:rPr>
            <w:color w:val="245F7B"/>
            <w:u w:val="single"/>
          </w:rPr>
          <w:t>[R055]</w:t>
        </w:r>
      </w:hyperlink>
    </w:p>
    <w:p>
      <w:r>
        <w:t>Важное добавление — Sharḥ Hidāyat al-ḥikma Мухаммада ибн Шарифа ал-Хусайни ал-Джурджани, Columbia Or. 300, через HathiTrust. Его нельзя автоматически приписывать знаменитому ʿАли ибн Мухаммаду ал-Джурджани. Современные al-Najm al-thāqib и al-Ḥāshiya al-Ṣiddīqiyya сохранены как прямые продолжения Мейбоди; неопределённые даты или языковые ошибки карточек не были молча исправлены.</w:t>
      </w:r>
      <w:r>
        <w:t xml:space="preserve"> </w:t>
      </w:r>
      <w:hyperlink r:id="rId12">
        <w:r>
          <w:rPr>
            <w:color w:val="245F7B"/>
            <w:u w:val="single"/>
          </w:rPr>
          <w:t>[R016]</w:t>
        </w:r>
      </w:hyperlink>
      <w:r>
        <w:t xml:space="preserve"> </w:t>
      </w:r>
      <w:hyperlink r:id="rId18">
        <w:r>
          <w:rPr>
            <w:color w:val="245F7B"/>
            <w:u w:val="single"/>
          </w:rPr>
          <w:t>[R056]</w:t>
        </w:r>
      </w:hyperlink>
      <w:r>
        <w:t xml:space="preserve"> </w:t>
      </w:r>
      <w:hyperlink r:id="rId19">
        <w:r>
          <w:rPr>
            <w:color w:val="245F7B"/>
            <w:u w:val="single"/>
          </w:rPr>
          <w:t>[R057]</w:t>
        </w:r>
      </w:hyperlink>
    </w:p>
    <w:p>
      <w:pPr>
        <w:pStyle w:val="Heading2"/>
      </w:pPr>
      <w:r>
        <w:t>3.3. Tajrīd: текст, комментарий, глосса</w:t>
      </w:r>
    </w:p>
    <w:p>
      <w:r>
        <w:t>Для богословского Tajrīd найден собственный небольшой Princeton-свидетель Garrett 987H. У него Copyright Not Evaluated; это не запрет чтения, но и не основание для автоматического MIRROR_OK. Для глоссы Джурджани на комментарий ал-Исфахани найден Garrett 874Y с No Known Copyright; здесь исторический текст и собственные репродукции Princeton образуют более свободный слой. Самостоятельное полное издание комментария ал-Исфахани остаётся отдельным пробелом G027.</w:t>
      </w:r>
      <w:r>
        <w:t xml:space="preserve"> </w:t>
      </w:r>
      <w:hyperlink r:id="rId47">
        <w:r>
          <w:rPr>
            <w:color w:val="245F7B"/>
            <w:u w:val="single"/>
          </w:rPr>
          <w:t>[R007]</w:t>
        </w:r>
      </w:hyperlink>
      <w:r>
        <w:t xml:space="preserve"> </w:t>
      </w:r>
      <w:hyperlink r:id="rId48">
        <w:r>
          <w:rPr>
            <w:color w:val="245F7B"/>
            <w:u w:val="single"/>
          </w:rPr>
          <w:t>[R014]</w:t>
        </w:r>
      </w:hyperlink>
    </w:p>
    <w:p>
      <w:r>
        <w:t>Цепь Кушджи представлена поздним рукописным Sharḥ al-Tajrīd al-jadīd, старой тегеранской литографией и первой глоссой Давани. В Garrett 2500Y отсутствует первый maqsad, поэтому его coverage — substantial_part, а не всё произведение. Литография 1868–1869 гг. и рукопись — разные способы доступа; один не подменяет другой.</w:t>
      </w:r>
      <w:r>
        <w:t xml:space="preserve"> </w:t>
      </w:r>
      <w:hyperlink r:id="rId49">
        <w:r>
          <w:rPr>
            <w:color w:val="245F7B"/>
            <w:u w:val="single"/>
          </w:rPr>
          <w:t>[R010]</w:t>
        </w:r>
      </w:hyperlink>
      <w:r>
        <w:t xml:space="preserve"> </w:t>
      </w:r>
      <w:hyperlink r:id="rId50">
        <w:r>
          <w:rPr>
            <w:color w:val="245F7B"/>
            <w:u w:val="single"/>
          </w:rPr>
          <w:t>[R011]</w:t>
        </w:r>
      </w:hyperlink>
      <w:r>
        <w:t xml:space="preserve"> </w:t>
      </w:r>
      <w:hyperlink r:id="rId51">
        <w:r>
          <w:rPr>
            <w:color w:val="245F7B"/>
            <w:u w:val="single"/>
          </w:rPr>
          <w:t>[R015]</w:t>
        </w:r>
      </w:hyperlink>
    </w:p>
    <w:p>
      <w:r>
        <w:t>Kashf al-murād ал-Хилли не потерян из-за отсутствия свободной лицензии. Включены английский перевод избранного материала об имамате на Al-Islam.org, персидская передача с комментарием Шаʿрани и современное арабское издание богословского раздела под редакцией Джаʿфара Субхани. Ни отдельная статья, ни qism al-ilāhiyyāt не объявлены полным переводом всего Kashf.</w:t>
      </w:r>
      <w:r>
        <w:t xml:space="preserve"> </w:t>
      </w:r>
      <w:hyperlink r:id="rId52">
        <w:r>
          <w:rPr>
            <w:color w:val="245F7B"/>
            <w:u w:val="single"/>
          </w:rPr>
          <w:t>[R024]</w:t>
        </w:r>
      </w:hyperlink>
      <w:r>
        <w:t xml:space="preserve"> </w:t>
      </w:r>
      <w:hyperlink r:id="rId53">
        <w:r>
          <w:rPr>
            <w:color w:val="245F7B"/>
            <w:u w:val="single"/>
          </w:rPr>
          <w:t>[R065]</w:t>
        </w:r>
      </w:hyperlink>
      <w:r>
        <w:t xml:space="preserve"> </w:t>
      </w:r>
      <w:hyperlink r:id="rId54">
        <w:r>
          <w:rPr>
            <w:color w:val="245F7B"/>
            <w:u w:val="single"/>
          </w:rPr>
          <w:t>[R066]</w:t>
        </w:r>
      </w:hyperlink>
    </w:p>
    <w:p>
      <w:r>
        <w:t>Отдельно зарегистрирован Tajrīd al-manṭiq Туси в OpenITI. Это другое произведение: его нельзя слить с Tajrīd al-iʿtiqād по совпадающему первому слову. Сходным образом «глосса на Tajrīd» без имени комментатора и указания промежуточной редакции недостаточна для идентификации.</w:t>
      </w:r>
      <w:r>
        <w:t xml:space="preserve"> </w:t>
      </w:r>
      <w:hyperlink r:id="rId15">
        <w:r>
          <w:rPr>
            <w:color w:val="245F7B"/>
            <w:u w:val="single"/>
          </w:rPr>
          <w:t>[R029]</w:t>
        </w:r>
      </w:hyperlink>
    </w:p>
    <w:p>
      <w:pPr>
        <w:pStyle w:val="Heading2"/>
      </w:pPr>
      <w:r>
        <w:t>3.4. Asās, Ishārāt и Muḥaṣṣal</w:t>
      </w:r>
    </w:p>
    <w:p>
      <w:r>
        <w:t>Для персидского Asās al-iqtibās установлены две покупные версии на одной товарной странице: Firdaws и Tehran University Press, последняя связана с редакцией Mudarris Raḍavī. Они разведены по ISBN и издательской версии. Официально проверенной свободной полной персидской копии в этом выпуске нет; предполагаемые IA-сканы не объявлены законными только по названию или возрасту автора.</w:t>
      </w:r>
      <w:r>
        <w:t xml:space="preserve"> </w:t>
      </w:r>
      <w:hyperlink r:id="rId55">
        <w:r>
          <w:rPr>
            <w:color w:val="245F7B"/>
            <w:u w:val="single"/>
          </w:rPr>
          <w:t>[R060]</w:t>
        </w:r>
      </w:hyperlink>
      <w:r>
        <w:t xml:space="preserve"> </w:t>
      </w:r>
      <w:hyperlink r:id="rId55">
        <w:r>
          <w:rPr>
            <w:color w:val="245F7B"/>
            <w:u w:val="single"/>
          </w:rPr>
          <w:t>[R061]</w:t>
        </w:r>
      </w:hyperlink>
    </w:p>
    <w:p>
      <w:r>
        <w:t>Арабский перевод Муллы Хусрава сохранён через конкретную карточку Noor. Для поиска исторически более чистой основы особенно полезна открытая статья Ferruh Özpilavcı 2021 г.: она идентифицирует персидский список Ayasofya 2479 и автографы арабского перевода Topkapı III Ahmed 3428 и Carullah 1348. Статья лицензирована CC BY-NC 4.0; её лицензия не превращается в лицензию на целиком воспроизведённые рукописи.</w:t>
      </w:r>
      <w:r>
        <w:t xml:space="preserve"> </w:t>
      </w:r>
      <w:hyperlink r:id="rId56">
        <w:r>
          <w:rPr>
            <w:color w:val="245F7B"/>
            <w:u w:val="single"/>
          </w:rPr>
          <w:t>[R043]</w:t>
        </w:r>
      </w:hyperlink>
      <w:r>
        <w:t xml:space="preserve"> </w:t>
      </w:r>
      <w:hyperlink r:id="rId57">
        <w:r>
          <w:rPr>
            <w:color w:val="245F7B"/>
            <w:u w:val="single"/>
          </w:rPr>
          <w:t>[R046]</w:t>
        </w:r>
      </w:hyperlink>
    </w:p>
    <w:p>
      <w:r>
        <w:t>Для Ishārāt есть платный современный перевод Shams Inati, Physics and Metaphysics, Columbia University Press, 2014. Он покрывает физику и метафизику, а не автоматически весь многосоставный Ishārāt. Арабский комментарий Туси представлен отдельным файлом OpenITI; al-Muḥākamāt Кутб ал-Дина — Princeton-свидетелем, где описанный охват ограничен логикой и физикой.</w:t>
      </w:r>
      <w:r>
        <w:t xml:space="preserve"> </w:t>
      </w:r>
      <w:hyperlink r:id="rId13">
        <w:r>
          <w:rPr>
            <w:color w:val="245F7B"/>
            <w:u w:val="single"/>
          </w:rPr>
          <w:t>[R019]</w:t>
        </w:r>
      </w:hyperlink>
      <w:r>
        <w:t xml:space="preserve"> </w:t>
      </w:r>
      <w:hyperlink r:id="rId21">
        <w:r>
          <w:rPr>
            <w:color w:val="245F7B"/>
            <w:u w:val="single"/>
          </w:rPr>
          <w:t>[R026]</w:t>
        </w:r>
      </w:hyperlink>
      <w:r>
        <w:t xml:space="preserve"> </w:t>
      </w:r>
      <w:hyperlink r:id="rId22">
        <w:r>
          <w:rPr>
            <w:color w:val="245F7B"/>
            <w:u w:val="single"/>
          </w:rPr>
          <w:t>[R041]</w:t>
        </w:r>
      </w:hyperlink>
    </w:p>
    <w:p>
      <w:r>
        <w:t>Разианский Muḥaṣṣal получил два отличимых входа в рецепцию: рукопись al-Mufaṣṣal Катиби и издание Talkhīṣ / Naqd al-Muḥaṣṣal Туси, Dār al-Aḍwāʾ, 1985, через Noor. Эти тексты расширяют DR по содержательной цепи критического комментирования. Самостоятельный Sharḥ al-Ishārāt ал-Рази и другая редакция Talkhīṣ Нурани сохранены как задачи, а не ошибочно объявлены уже доставленными.</w:t>
      </w:r>
      <w:r>
        <w:t xml:space="preserve"> </w:t>
      </w:r>
      <w:hyperlink r:id="rId14">
        <w:r>
          <w:rPr>
            <w:color w:val="245F7B"/>
            <w:u w:val="single"/>
          </w:rPr>
          <w:t>[R020]</w:t>
        </w:r>
      </w:hyperlink>
      <w:r>
        <w:t xml:space="preserve"> </w:t>
      </w:r>
      <w:hyperlink r:id="rId20">
        <w:r>
          <w:rPr>
            <w:color w:val="245F7B"/>
            <w:u w:val="single"/>
          </w:rPr>
          <w:t>[R069]</w:t>
        </w:r>
      </w:hyperlink>
    </w:p>
    <w:p>
      <w:pPr>
        <w:pStyle w:val="Heading2"/>
      </w:pPr>
      <w:r>
        <w:t>3.5. Mawāqif, Maqāṣid и Tahdhīb</w:t>
      </w:r>
    </w:p>
    <w:p>
      <w:r>
        <w:t>Для Sharḥ al-Mawāqif лучший найденный рукописный вход с относительно свободной правовой оценкой — Princeton Garrett 1239Y, список 1798 г., 337 листов. Поздняя дата относится к экземпляру, а не к сочинению Джурджани. В HathiTrust найдено издание 1894 г. с дополнительными комментариями; Full View подтверждён только для первого тома. Матн Иджи и комментарий Джурджани дополнительно представлены отдельными цифровыми объектами OpenITI, но raw-доставка больших файлов здесь не подтверждена.</w:t>
      </w:r>
      <w:r>
        <w:t xml:space="preserve"> </w:t>
      </w:r>
      <w:hyperlink r:id="rId58">
        <w:r>
          <w:rPr>
            <w:color w:val="245F7B"/>
            <w:u w:val="single"/>
          </w:rPr>
          <w:t>[R031]</w:t>
        </w:r>
      </w:hyperlink>
      <w:r>
        <w:t xml:space="preserve"> </w:t>
      </w:r>
      <w:hyperlink r:id="rId59">
        <w:r>
          <w:rPr>
            <w:color w:val="245F7B"/>
            <w:u w:val="single"/>
          </w:rPr>
          <w:t>[R033]</w:t>
        </w:r>
      </w:hyperlink>
      <w:r>
        <w:t xml:space="preserve"> </w:t>
      </w:r>
      <w:hyperlink r:id="rId60">
        <w:r>
          <w:rPr>
            <w:color w:val="245F7B"/>
            <w:u w:val="single"/>
          </w:rPr>
          <w:t>[R034]</w:t>
        </w:r>
      </w:hyperlink>
      <w:r>
        <w:t xml:space="preserve"> </w:t>
      </w:r>
      <w:hyperlink r:id="rId61">
        <w:r>
          <w:rPr>
            <w:color w:val="245F7B"/>
            <w:u w:val="single"/>
          </w:rPr>
          <w:t>[R037]</w:t>
        </w:r>
      </w:hyperlink>
    </w:p>
    <w:p>
      <w:r>
        <w:t>Для Sharḥ al-Maqāṣid установлен бесплатный NYU ACO-вход к старому стамбульскому изданию 1887–1888 гг. Он предпочтительнее неизвестного зеркала современного издания: библиотека сообщает происхождение объекта и своё public-domain belief. Полнота текста и состава печатного тома по колляции не проверена; это специально оставлено unknown. OpenITI даёт ещё один, машиночитаемый, но также требующий проверки состава маршрут.</w:t>
      </w:r>
      <w:r>
        <w:t xml:space="preserve"> </w:t>
      </w:r>
      <w:hyperlink r:id="rId62">
        <w:r>
          <w:rPr>
            <w:color w:val="245F7B"/>
            <w:u w:val="single"/>
          </w:rPr>
          <w:t>[R002]</w:t>
        </w:r>
      </w:hyperlink>
      <w:r>
        <w:t xml:space="preserve"> </w:t>
      </w:r>
      <w:hyperlink r:id="rId63">
        <w:r>
          <w:rPr>
            <w:color w:val="245F7B"/>
            <w:u w:val="single"/>
          </w:rPr>
          <w:t>[R032]</w:t>
        </w:r>
      </w:hyperlink>
    </w:p>
    <w:p>
      <w:r>
        <w:t>Tahdhīb доступен в Princeton вместе с комментарием Давани и через прямые поздние глоссы. Главная граница: найденный Garrett 1089Y даёт логическую часть, не весь логико-богословский труд. Мир Абу-л-Фатх и персидская передача глоссы Муллы ʿАбдаллаха Язди показывают реальное продолжение семьи за пределами XV века. Теологическая часть самого Tahdhīb оставлена в G012.</w:t>
      </w:r>
      <w:r>
        <w:t xml:space="preserve"> </w:t>
      </w:r>
      <w:hyperlink r:id="rId64">
        <w:r>
          <w:rPr>
            <w:color w:val="245F7B"/>
            <w:u w:val="single"/>
          </w:rPr>
          <w:t>[R017]</w:t>
        </w:r>
      </w:hyperlink>
      <w:r>
        <w:t xml:space="preserve"> </w:t>
      </w:r>
      <w:hyperlink r:id="rId27">
        <w:r>
          <w:rPr>
            <w:color w:val="245F7B"/>
            <w:u w:val="single"/>
          </w:rPr>
          <w:t>[R018]</w:t>
        </w:r>
      </w:hyperlink>
      <w:r>
        <w:t xml:space="preserve"> </w:t>
      </w:r>
      <w:hyperlink r:id="rId30">
        <w:r>
          <w:rPr>
            <w:color w:val="245F7B"/>
            <w:u w:val="single"/>
          </w:rPr>
          <w:t>[R050]</w:t>
        </w:r>
      </w:hyperlink>
    </w:p>
    <w:p>
      <w:pPr>
        <w:pStyle w:val="Heading2"/>
      </w:pPr>
      <w:r>
        <w:t>3.6. Maṭāliʿ и Lawāmiʿ</w:t>
      </w:r>
    </w:p>
    <w:p>
      <w:r>
        <w:t>Lawāmiʿ al-asrār Кутб ал-Дина найден в Michigan/HathiTrust, Princeton Garrett 122L и OpenITI. Tanwīr al-Maṭāliʿ — отдельный комментарий в Princeton Garrett 3994Y — важное добавление веб-поиска. Для последнего каталог отмечает утраты в первой тетради и поздние заменённые листы: даже доступ ко всему цифровому объекту не гарантирует неповреждённого авторского текста.</w:t>
      </w:r>
      <w:r>
        <w:t xml:space="preserve"> </w:t>
      </w:r>
      <w:hyperlink r:id="rId65">
        <w:r>
          <w:rPr>
            <w:color w:val="245F7B"/>
            <w:u w:val="single"/>
          </w:rPr>
          <w:t>[R005]</w:t>
        </w:r>
      </w:hyperlink>
      <w:r>
        <w:t xml:space="preserve"> </w:t>
      </w:r>
      <w:hyperlink r:id="rId11">
        <w:r>
          <w:rPr>
            <w:color w:val="245F7B"/>
            <w:u w:val="single"/>
          </w:rPr>
          <w:t>[R006]</w:t>
        </w:r>
      </w:hyperlink>
      <w:r>
        <w:t xml:space="preserve"> </w:t>
      </w:r>
      <w:hyperlink r:id="rId66">
        <w:r>
          <w:rPr>
            <w:color w:val="245F7B"/>
            <w:u w:val="single"/>
          </w:rPr>
          <w:t>[R009]</w:t>
        </w:r>
      </w:hyperlink>
      <w:r>
        <w:t xml:space="preserve"> </w:t>
      </w:r>
      <w:hyperlink r:id="rId67">
        <w:r>
          <w:rPr>
            <w:color w:val="245F7B"/>
            <w:u w:val="single"/>
          </w:rPr>
          <w:t>[R028]</w:t>
        </w:r>
      </w:hyperlink>
    </w:p>
    <w:p>
      <w:r>
        <w:t>Рецепция продолжается в глоссе Моллы Лутфи Токати к глоссе Джурджани на Lawāmiʿ. Она включена как конкретная цепь, а не как весь османский корпус логики. Самостоятельная версия matn Maṭāliʿ и персидские переводы Хызыр-бея / ʿАли Туси требуют дальнейшего item-level поиска; соответствующие свидетели и задачи уже зафиксированы.</w:t>
      </w:r>
      <w:r>
        <w:t xml:space="preserve"> </w:t>
      </w:r>
      <w:hyperlink r:id="rId68">
        <w:r>
          <w:rPr>
            <w:color w:val="245F7B"/>
            <w:u w:val="single"/>
          </w:rPr>
          <w:t>[R008]</w:t>
        </w:r>
      </w:hyperlink>
      <w:r>
        <w:t xml:space="preserve"> </w:t>
      </w:r>
      <w:hyperlink r:id="rId56">
        <w:r>
          <w:rPr>
            <w:color w:val="245F7B"/>
            <w:u w:val="single"/>
          </w:rPr>
          <w:t>[R043]</w:t>
        </w:r>
      </w:hyperlink>
    </w:p>
    <w:p>
      <w:pPr>
        <w:pStyle w:val="Heading2"/>
      </w:pPr>
      <w:r>
        <w:t>3.7. Джурджани: словарь, персидская логика, риторика</w:t>
      </w:r>
    </w:p>
    <w:p>
      <w:r>
        <w:t>Для Taʿrīfāt лучший простой бесплатный вход — печать 1904 г. в NYU ACO; лучший найденный машиночитаемый вход — конкретный OpenITI-файл. Второй нельзя считать свободным критическим текстом без проверки его современной издательской основы. Перевод ToS предпочтительнее строить на историческом текстовом слое старого факсимиле, а не воспроизводить редакторский аппарат цифровой версии.</w:t>
      </w:r>
      <w:r>
        <w:t xml:space="preserve"> </w:t>
      </w:r>
      <w:hyperlink r:id="rId69">
        <w:r>
          <w:rPr>
            <w:color w:val="245F7B"/>
            <w:u w:val="single"/>
          </w:rPr>
          <w:t>[R003]</w:t>
        </w:r>
      </w:hyperlink>
      <w:r>
        <w:t xml:space="preserve"> </w:t>
      </w:r>
      <w:hyperlink r:id="rId70">
        <w:r>
          <w:rPr>
            <w:color w:val="245F7B"/>
            <w:u w:val="single"/>
          </w:rPr>
          <w:t>[R025]</w:t>
        </w:r>
      </w:hyperlink>
    </w:p>
    <w:p>
      <w:r>
        <w:t>Kubrā по-персидски пока существенно слабее: установлена карточка лакхнауского издания 1844 г. в Marashi Library и современное издание Bahjat al-ṭālibīn, прямого персидского комментария. Это реальные входы, но ни одна карточка не была превращена в обещание полного свободного текста Kubrā. Могольские Sharḥ-i Kubrā и Jawāhir al-ʿulūm остаются адресными кандидатами.</w:t>
      </w:r>
      <w:r>
        <w:t xml:space="preserve"> </w:t>
      </w:r>
      <w:hyperlink r:id="rId71">
        <w:r>
          <w:rPr>
            <w:color w:val="245F7B"/>
            <w:u w:val="single"/>
          </w:rPr>
          <w:t>[R022]</w:t>
        </w:r>
      </w:hyperlink>
      <w:r>
        <w:t xml:space="preserve"> </w:t>
      </w:r>
      <w:hyperlink r:id="rId28">
        <w:r>
          <w:rPr>
            <w:color w:val="245F7B"/>
            <w:u w:val="single"/>
          </w:rPr>
          <w:t>[R023]</w:t>
        </w:r>
      </w:hyperlink>
      <w:r>
        <w:t xml:space="preserve"> </w:t>
      </w:r>
      <w:hyperlink r:id="rId32">
        <w:r>
          <w:rPr>
            <w:color w:val="245F7B"/>
            <w:u w:val="single"/>
          </w:rPr>
          <w:t>[R044]</w:t>
        </w:r>
      </w:hyperlink>
    </w:p>
    <w:p>
      <w:r>
        <w:t>Риторический Taḥrīr al-ʿawāʾid Джурджани подтверждён официальным XML Cambridge Or. 213, списка 1478–1479 гг.; запись непосредственно называет комментируемый труд Иджи. Дополнительно сохранены Mukhtaṣar al-maʿānī Тафтазани и два свидетеля его глосс к Kashshāf. Они относятся к языково-семантической стороне исходного DR; реестр не развёрнут в общую библиографию тафсира.</w:t>
      </w:r>
      <w:r>
        <w:t xml:space="preserve"> </w:t>
      </w:r>
      <w:hyperlink r:id="rId72">
        <w:r>
          <w:rPr>
            <w:color w:val="245F7B"/>
            <w:u w:val="single"/>
          </w:rPr>
          <w:t>[R021]</w:t>
        </w:r>
      </w:hyperlink>
      <w:r>
        <w:t xml:space="preserve"> </w:t>
      </w:r>
      <w:hyperlink r:id="rId73">
        <w:r>
          <w:rPr>
            <w:color w:val="245F7B"/>
            <w:u w:val="single"/>
          </w:rPr>
          <w:t>[R027]</w:t>
        </w:r>
      </w:hyperlink>
      <w:r>
        <w:t xml:space="preserve"> </w:t>
      </w:r>
      <w:hyperlink r:id="rId74">
        <w:r>
          <w:rPr>
            <w:color w:val="245F7B"/>
            <w:u w:val="single"/>
          </w:rPr>
          <w:t>[R072]</w:t>
        </w:r>
      </w:hyperlink>
      <w:r>
        <w:t xml:space="preserve"> </w:t>
      </w:r>
      <w:hyperlink r:id="rId75">
        <w:r>
          <w:rPr>
            <w:color w:val="245F7B"/>
            <w:u w:val="single"/>
          </w:rPr>
          <w:t>[R073]</w:t>
        </w:r>
      </w:hyperlink>
    </w:p>
    <w:p>
      <w:pPr>
        <w:pStyle w:val="Heading2"/>
      </w:pPr>
      <w:r>
        <w:t>3.8. Ширазский спор о Лжеце и корпус Давани</w:t>
      </w:r>
    </w:p>
    <w:p>
      <w:r>
        <w:t>Для полемики Давани–Даштаки установлен конкретный сборник «Двенадцать трактатов о парадоксе Лжеца», под редакцией Aḥad Farāmarz Qarāmalikī и Ṭayyiba ʿĀrifniyā, 2007, ISBN 9789648036015: официальный reader-путь Noor и отдельный путь покупки. Внутри находятся ранние и поздние звенья спора, включая Гийас ал-Дина Мансура Даштаки. Пакет учитывается одним доступом на платформу, а не двенадцатью фиктивными загрузками.</w:t>
      </w:r>
      <w:r>
        <w:t xml:space="preserve"> </w:t>
      </w:r>
      <w:hyperlink r:id="rId76">
        <w:r>
          <w:rPr>
            <w:color w:val="245F7B"/>
            <w:u w:val="single"/>
          </w:rPr>
          <w:t>[R039]</w:t>
        </w:r>
      </w:hyperlink>
      <w:r>
        <w:t xml:space="preserve"> </w:t>
      </w:r>
      <w:hyperlink r:id="rId77">
        <w:r>
          <w:rPr>
            <w:color w:val="245F7B"/>
            <w:u w:val="single"/>
          </w:rPr>
          <w:t>[R040]</w:t>
        </w:r>
      </w:hyperlink>
    </w:p>
    <w:p>
      <w:r>
        <w:t>Наиболее удобный найденный современный английский путь к Nihāyat al-kalām Давани — The Final Word, перевод и исследование Ahmed Alwishah и David Sanson, Oxford University Press, 2026. Полный перевод защищён и доступен через покупку или институциональный доступ; открытые аннотации не приравнены к бесплатной книге. Это важное новое издание, которого нельзя исключать из реестра из-за платности.</w:t>
      </w:r>
      <w:r>
        <w:t xml:space="preserve"> </w:t>
      </w:r>
      <w:hyperlink r:id="rId78">
        <w:r>
          <w:rPr>
            <w:color w:val="245F7B"/>
            <w:u w:val="single"/>
          </w:rPr>
          <w:t>[R038]</w:t>
        </w:r>
      </w:hyperlink>
    </w:p>
    <w:p>
      <w:r>
        <w:t>Shawākil al-ḥūr на Hayākil al-nūr найден в двух конкретных редакционно-издательских версиях Noor. Thalāth rasāʾil даёт ещё один составной носитель, включающий Anmūdhaj al-ʿulūm и Hayākil в приложении; состав сверяется по академической библиографии CDSIA. Главу Nariman Aavani 2026 г. с переводом избранного места Давани и глоссы Мир Захида Харави следует использовать только в пределах выбранного раздела о произвольных действиях.</w:t>
      </w:r>
      <w:r>
        <w:t xml:space="preserve"> </w:t>
      </w:r>
      <w:hyperlink r:id="rId29">
        <w:r>
          <w:rPr>
            <w:color w:val="245F7B"/>
            <w:u w:val="single"/>
          </w:rPr>
          <w:t>[R045]</w:t>
        </w:r>
      </w:hyperlink>
      <w:r>
        <w:t xml:space="preserve"> </w:t>
      </w:r>
      <w:hyperlink r:id="rId79">
        <w:r>
          <w:rPr>
            <w:color w:val="245F7B"/>
            <w:u w:val="single"/>
          </w:rPr>
          <w:t>[R047]</w:t>
        </w:r>
      </w:hyperlink>
      <w:r>
        <w:t xml:space="preserve"> </w:t>
      </w:r>
      <w:hyperlink r:id="rId80">
        <w:r>
          <w:rPr>
            <w:color w:val="245F7B"/>
            <w:u w:val="single"/>
          </w:rPr>
          <w:t>[R048]</w:t>
        </w:r>
      </w:hyperlink>
      <w:r>
        <w:t xml:space="preserve"> </w:t>
      </w:r>
      <w:hyperlink r:id="rId25">
        <w:r>
          <w:rPr>
            <w:color w:val="245F7B"/>
            <w:u w:val="single"/>
          </w:rPr>
          <w:t>[R049]</w:t>
        </w:r>
      </w:hyperlink>
    </w:p>
    <w:p>
      <w:pPr>
        <w:pStyle w:val="Heading2"/>
      </w:pPr>
      <w:r>
        <w:t>3.9. Машиночитаемые входы</w:t>
      </w:r>
    </w:p>
    <w:p>
      <w:r>
        <w:t>OpenITI представлен девятью конкретными текстовыми путями R025–R033 и одним целостным release 2025.1.9 на Zenodo. Это не заявление, что выпуск самый новый: его состав и версия фиксируются самостоятельно. GitHub-файлы и ZIP не были механически объявлены идентичными; отсутствие сверки членства в release отмечено. Для поиска и будущего текста ToS предпочтительны проверяемые URI, исходная библиография, фиксация версии и оценка качества OCR.</w:t>
      </w:r>
      <w:r>
        <w:t xml:space="preserve"> </w:t>
      </w:r>
      <w:hyperlink r:id="rId70">
        <w:r>
          <w:rPr>
            <w:color w:val="245F7B"/>
            <w:u w:val="single"/>
          </w:rPr>
          <w:t>[R025]</w:t>
        </w:r>
      </w:hyperlink>
      <w:r>
        <w:t xml:space="preserve"> </w:t>
      </w:r>
      <w:hyperlink r:id="rId21">
        <w:r>
          <w:rPr>
            <w:color w:val="245F7B"/>
            <w:u w:val="single"/>
          </w:rPr>
          <w:t>[R026]</w:t>
        </w:r>
      </w:hyperlink>
      <w:r>
        <w:t xml:space="preserve"> </w:t>
      </w:r>
      <w:hyperlink r:id="rId73">
        <w:r>
          <w:rPr>
            <w:color w:val="245F7B"/>
            <w:u w:val="single"/>
          </w:rPr>
          <w:t>[R027]</w:t>
        </w:r>
      </w:hyperlink>
      <w:r>
        <w:t xml:space="preserve"> </w:t>
      </w:r>
      <w:hyperlink r:id="rId67">
        <w:r>
          <w:rPr>
            <w:color w:val="245F7B"/>
            <w:u w:val="single"/>
          </w:rPr>
          <w:t>[R028]</w:t>
        </w:r>
      </w:hyperlink>
      <w:r>
        <w:t xml:space="preserve"> </w:t>
      </w:r>
      <w:hyperlink r:id="rId15">
        <w:r>
          <w:rPr>
            <w:color w:val="245F7B"/>
            <w:u w:val="single"/>
          </w:rPr>
          <w:t>[R029]</w:t>
        </w:r>
      </w:hyperlink>
      <w:r>
        <w:t xml:space="preserve"> </w:t>
      </w:r>
      <w:hyperlink r:id="rId16">
        <w:r>
          <w:rPr>
            <w:color w:val="245F7B"/>
            <w:u w:val="single"/>
          </w:rPr>
          <w:t>[R030]</w:t>
        </w:r>
      </w:hyperlink>
      <w:r>
        <w:t xml:space="preserve"> </w:t>
      </w:r>
      <w:hyperlink r:id="rId58">
        <w:r>
          <w:rPr>
            <w:color w:val="245F7B"/>
            <w:u w:val="single"/>
          </w:rPr>
          <w:t>[R031]</w:t>
        </w:r>
      </w:hyperlink>
      <w:r>
        <w:t xml:space="preserve"> </w:t>
      </w:r>
      <w:hyperlink r:id="rId63">
        <w:r>
          <w:rPr>
            <w:color w:val="245F7B"/>
            <w:u w:val="single"/>
          </w:rPr>
          <w:t>[R032]</w:t>
        </w:r>
      </w:hyperlink>
      <w:r>
        <w:t xml:space="preserve"> </w:t>
      </w:r>
      <w:hyperlink r:id="rId59">
        <w:r>
          <w:rPr>
            <w:color w:val="245F7B"/>
            <w:u w:val="single"/>
          </w:rPr>
          <w:t>[R033]</w:t>
        </w:r>
      </w:hyperlink>
      <w:r>
        <w:t xml:space="preserve"> </w:t>
      </w:r>
      <w:hyperlink r:id="rId81">
        <w:r>
          <w:rPr>
            <w:color w:val="245F7B"/>
            <w:u w:val="single"/>
          </w:rPr>
          <w:t>[R068]</w:t>
        </w:r>
      </w:hyperlink>
    </w:p>
    <w:p>
      <w:r>
        <w:t>Fihrist предлагает иной машиночитаемый слой: каталог TEI P5, не корпус полных текстов. Его официальный репозиторий позволил восстановить три недоступные через web-портал карточки. В Or. 213 тело текста оставлено для будущей транскрипции; в MS. Arab. d. 216 относительные имена картинок не подтверждают доставку изображений. Это сильная инфраструктура идентификации, но не готовая основа для перевода или embeddings первичного текста.</w:t>
      </w:r>
      <w:r>
        <w:t xml:space="preserve"> </w:t>
      </w:r>
      <w:hyperlink r:id="rId82">
        <w:r>
          <w:rPr>
            <w:color w:val="245F7B"/>
            <w:u w:val="single"/>
          </w:rPr>
          <w:t>[R070]</w:t>
        </w:r>
      </w:hyperlink>
      <w:r>
        <w:t xml:space="preserve"> </w:t>
      </w:r>
      <w:hyperlink r:id="rId38">
        <w:r>
          <w:rPr>
            <w:color w:val="245F7B"/>
            <w:u w:val="single"/>
          </w:rPr>
          <w:t>[R071]</w:t>
        </w:r>
      </w:hyperlink>
      <w:r>
        <w:t xml:space="preserve"> </w:t>
      </w:r>
      <w:hyperlink r:id="rId74">
        <w:r>
          <w:rPr>
            <w:color w:val="245F7B"/>
            <w:u w:val="single"/>
          </w:rPr>
          <w:t>[R072]</w:t>
        </w:r>
      </w:hyperlink>
      <w:r>
        <w:t xml:space="preserve"> </w:t>
      </w:r>
      <w:hyperlink r:id="rId75">
        <w:r>
          <w:rPr>
            <w:color w:val="245F7B"/>
            <w:u w:val="single"/>
          </w:rPr>
          <w:t>[R073]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r>
        <w:t>Ниже — практическая классификация найденных слоёв, а не универсальное юридическое заключение. Для международного публичного проекта вопрос юрисдикции остаётся отдельным. Права исходного произведения, критического издания, изображения и сайта разделены в XLSX. Теги действуют только вместе с rights_scope, coverage и verification_status.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628"/>
        <w:gridCol w:w="3572"/>
      </w:tblGrid>
      <w:tr>
        <w:trPr>
          <w:tblHeader/>
        </w:trPr>
        <w:tc>
          <w:tcPr>
            <w:tcW w:type="dxa" w:w="2324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628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Что позволяет найденное основание</w:t>
            </w:r>
          </w:p>
        </w:tc>
        <w:tc>
          <w:tcPr>
            <w:tcW w:type="dxa" w:w="3572"/>
            <w:shd w:fill="153B4B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Что не разрешено автоматически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Princeton: No Known Copyright</w:t>
            </w:r>
          </w:p>
        </w:tc>
        <w:tc>
          <w:tcPr>
            <w:tcW w:type="dxa" w:w="3628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Потенциальное повторное использование собственного факсимиле PUL и исторического текста в США; сохранение идентификации и проверка самого объекта.</w:t>
            </w:r>
          </w:p>
        </w:tc>
        <w:tc>
          <w:tcPr>
            <w:tcW w:type="dxa" w:w="3572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Права современного каталожного описания, сторонних изображений, других стран или всего корпуса.</w:t>
            </w:r>
          </w:p>
        </w:tc>
      </w:tr>
      <w:tr>
        <w:trPr>
          <w:cantSplit/>
        </w:trPr>
        <w:tc>
          <w:tcPr>
            <w:tcW w:type="dxa" w:w="232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Princeton: Copyright Not Evaluated</w:t>
            </w:r>
          </w:p>
        </w:tc>
        <w:tc>
          <w:tcPr>
            <w:tcW w:type="dxa" w:w="3628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Ссылка, заявленный просмотр/скачивание, исследовательское получение в рамках интерфейса.</w:t>
            </w:r>
          </w:p>
        </w:tc>
        <w:tc>
          <w:tcPr>
            <w:tcW w:type="dxa" w:w="3572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Зеркалирование и открытая производная публикация по одному возрасту рукописи.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NYU Arabic Collections Online</w:t>
            </w:r>
          </w:p>
        </w:tc>
        <w:tc>
          <w:tcPr>
            <w:tcW w:type="dxa" w:w="3628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Исторические издания с item-level public-domain belief; условная основа для OCR, поиска и собственного перевода исторического слоя.</w:t>
            </w:r>
          </w:p>
        </w:tc>
        <w:tc>
          <w:tcPr>
            <w:tcW w:type="dxa" w:w="3572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Безусловное международное зеркалирование, bulk-доступ или перенос оценки на весь портал.</w:t>
            </w:r>
          </w:p>
        </w:tc>
      </w:tr>
      <w:tr>
        <w:trPr>
          <w:cantSplit/>
        </w:trPr>
        <w:tc>
          <w:tcPr>
            <w:tcW w:type="dxa" w:w="232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OpenITI: CC BY-NC-SA 4.0</w:t>
            </w:r>
          </w:p>
        </w:tc>
        <w:tc>
          <w:tcPr>
            <w:tcW w:type="dxa" w:w="3628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Некоммерческое повторное использование лицензируемого вклада; атрибуция, уведомление, ShareAlike для распространяемых адаптаций.</w:t>
            </w:r>
          </w:p>
        </w:tc>
        <w:tc>
          <w:tcPr>
            <w:tcW w:type="dxa" w:w="3572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Правовая очистка чужого критического аппарата; свободная лицензия на любые печатные основы.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Статья Özpilavcı: CC BY-NC 4.0</w:t>
            </w:r>
          </w:p>
        </w:tc>
        <w:tc>
          <w:tcPr>
            <w:tcW w:type="dxa" w:w="3628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Повторное некоммерческое использование собственного текста статьи с атрибуцией.</w:t>
            </w:r>
          </w:p>
        </w:tc>
        <w:tc>
          <w:tcPr>
            <w:tcW w:type="dxa" w:w="3572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Все рукописные изображения и полный текст Asās по лицензии статьи.</w:t>
            </w:r>
          </w:p>
        </w:tc>
      </w:tr>
      <w:tr>
        <w:trPr>
          <w:cantSplit/>
        </w:trPr>
        <w:tc>
          <w:tcPr>
            <w:tcW w:type="dxa" w:w="2324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LAL / OUP / CUP / Feryal Salem / Noor</w:t>
            </w:r>
          </w:p>
        </w:tc>
        <w:tc>
          <w:tcPr>
            <w:tcW w:type="dxa" w:w="3628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Ссылка, конкретно предложенное чтение, preview, скачивание, покупка или институциональный доступ.</w:t>
            </w:r>
          </w:p>
        </w:tc>
        <w:tc>
          <w:tcPr>
            <w:tcW w:type="dxa" w:w="3572"/>
            <w:shd w:fill="F1F5F7"/>
            <w:vAlign w:val="top"/>
          </w:tcPr>
          <w:p>
            <w:pPr>
              <w:spacing w:after="80" w:before="40" w:line="252" w:lineRule="auto"/>
            </w:pPr>
            <w:r>
              <w:rPr>
                <w:rFonts w:ascii="Arial" w:hAnsi="Arial"/>
                <w:sz w:val="18"/>
              </w:rPr>
              <w:t>Общее право зеркалировать, публично индексировать или переводить защищённую версию.</w:t>
            </w:r>
          </w:p>
        </w:tc>
      </w:tr>
    </w:tbl>
    <w:p>
      <w:pPr>
        <w:spacing w:after="0"/>
      </w:pPr>
    </w:p>
    <w:p>
      <w:r>
        <w:t>Princeton официально не заявляет copyright на собственные цифровые репродукции. В реестре это сопоставлено с конкретным No Known Copyright, а не перенесено на все объекты университета. Для девяти таких записей MIRROR_OK ограничен историческим текстом и собственным воспроизведением PUL в США; RIGHTS_REVIEW_REQUIRED сохраняется для других компонентов и юрисдикций. No Known Copyright — не лицензия и не гарантия отсутствия любого права.</w:t>
      </w:r>
      <w:r>
        <w:t xml:space="preserve"> </w:t>
      </w:r>
      <w:hyperlink r:id="rId83">
        <w:r>
          <w:rPr>
            <w:color w:val="245F7B"/>
            <w:u w:val="single"/>
          </w:rPr>
          <w:t>Политика Princeton</w:t>
        </w:r>
      </w:hyperlink>
      <w:r>
        <w:t xml:space="preserve"> </w:t>
      </w:r>
      <w:hyperlink r:id="rId11">
        <w:r>
          <w:rPr>
            <w:color w:val="245F7B"/>
            <w:u w:val="single"/>
          </w:rPr>
          <w:t>[R006]</w:t>
        </w:r>
      </w:hyperlink>
      <w:r>
        <w:t xml:space="preserve"> </w:t>
      </w:r>
      <w:hyperlink r:id="rId47">
        <w:r>
          <w:rPr>
            <w:color w:val="245F7B"/>
            <w:u w:val="single"/>
          </w:rPr>
          <w:t>[R007]</w:t>
        </w:r>
      </w:hyperlink>
      <w:r>
        <w:t xml:space="preserve"> </w:t>
      </w:r>
      <w:hyperlink r:id="rId49">
        <w:r>
          <w:rPr>
            <w:color w:val="245F7B"/>
            <w:u w:val="single"/>
          </w:rPr>
          <w:t>[R010]</w:t>
        </w:r>
      </w:hyperlink>
      <w:r>
        <w:t xml:space="preserve"> </w:t>
      </w:r>
      <w:hyperlink r:id="rId50">
        <w:r>
          <w:rPr>
            <w:color w:val="245F7B"/>
            <w:u w:val="single"/>
          </w:rPr>
          <w:t>[R011]</w:t>
        </w:r>
      </w:hyperlink>
      <w:r>
        <w:t xml:space="preserve"> </w:t>
      </w:r>
      <w:hyperlink r:id="rId64">
        <w:r>
          <w:rPr>
            <w:color w:val="245F7B"/>
            <w:u w:val="single"/>
          </w:rPr>
          <w:t>[R017]</w:t>
        </w:r>
      </w:hyperlink>
      <w:r>
        <w:t xml:space="preserve"> </w:t>
      </w:r>
      <w:hyperlink r:id="rId27">
        <w:r>
          <w:rPr>
            <w:color w:val="245F7B"/>
            <w:u w:val="single"/>
          </w:rPr>
          <w:t>[R018]</w:t>
        </w:r>
      </w:hyperlink>
      <w:r>
        <w:t xml:space="preserve"> </w:t>
      </w:r>
      <w:hyperlink r:id="rId14">
        <w:r>
          <w:rPr>
            <w:color w:val="245F7B"/>
            <w:u w:val="single"/>
          </w:rPr>
          <w:t>[R020]</w:t>
        </w:r>
      </w:hyperlink>
      <w:r>
        <w:t xml:space="preserve"> </w:t>
      </w:r>
      <w:hyperlink r:id="rId72">
        <w:r>
          <w:rPr>
            <w:color w:val="245F7B"/>
            <w:u w:val="single"/>
          </w:rPr>
          <w:t>[R021]</w:t>
        </w:r>
      </w:hyperlink>
      <w:r>
        <w:t xml:space="preserve"> </w:t>
      </w:r>
      <w:hyperlink r:id="rId60">
        <w:r>
          <w:rPr>
            <w:color w:val="245F7B"/>
            <w:u w:val="single"/>
          </w:rPr>
          <w:t>[R034]</w:t>
        </w:r>
      </w:hyperlink>
    </w:p>
    <w:p>
      <w:r>
        <w:t>Три старых ACO-издания получили ограниченные положительные оценки OCR, полнотекстовой индексации и собственной переводческой основы. Формулировка NYU выражает оценку общественного достояния, а не выданную всемирную лицензию; поэтому автоматический MIRROR_OK не назначен. Для Sprenger 1854 публичнодоменный вывод по сроку в США отделён от условий Google Books и не превращён в безусловное разрешение раздавать файл сервиса.</w:t>
      </w:r>
      <w:r>
        <w:t xml:space="preserve"> </w:t>
      </w:r>
      <w:hyperlink r:id="rId62">
        <w:r>
          <w:rPr>
            <w:color w:val="245F7B"/>
            <w:u w:val="single"/>
          </w:rPr>
          <w:t>[R002]</w:t>
        </w:r>
      </w:hyperlink>
      <w:r>
        <w:t xml:space="preserve"> </w:t>
      </w:r>
      <w:hyperlink r:id="rId69">
        <w:r>
          <w:rPr>
            <w:color w:val="245F7B"/>
            <w:u w:val="single"/>
          </w:rPr>
          <w:t>[R003]</w:t>
        </w:r>
      </w:hyperlink>
      <w:r>
        <w:t xml:space="preserve"> </w:t>
      </w:r>
      <w:hyperlink r:id="rId34">
        <w:r>
          <w:rPr>
            <w:color w:val="245F7B"/>
            <w:u w:val="single"/>
          </w:rPr>
          <w:t>[R062]</w:t>
        </w:r>
      </w:hyperlink>
      <w:r>
        <w:t xml:space="preserve"> </w:t>
      </w:r>
      <w:hyperlink r:id="rId24">
        <w:r>
          <w:rPr>
            <w:color w:val="245F7B"/>
            <w:u w:val="single"/>
          </w:rPr>
          <w:t>[R063]</w:t>
        </w:r>
      </w:hyperlink>
      <w:r>
        <w:t xml:space="preserve"> </w:t>
      </w:r>
      <w:hyperlink r:id="rId84">
        <w:r>
          <w:rPr>
            <w:color w:val="245F7B"/>
            <w:u w:val="single"/>
          </w:rPr>
          <w:t>Сроки охраны в США</w:t>
        </w:r>
      </w:hyperlink>
    </w:p>
    <w:p>
      <w:r>
        <w:t>У OpenITI некоммерческий характер ToS полезен, но не снимает NC/SA. Публичное размещение допустимо только для лицензируемого слоя с надлежащей атрибуцией; защищённые введения, примечания и редакторские реконструкции третьих лиц требуют отдельного решения. Теги FULLTEXT_INDEX_OK и EMBEDDINGS_OK оценены раздельно: для разрешённого некоммерческого слоя возможны поиск и внутреннее преобразование, но публикация восстанавливающей текст модели или защищённых фрагментов автоматически не разрешена.</w:t>
      </w:r>
      <w:r>
        <w:t xml:space="preserve"> </w:t>
      </w:r>
      <w:hyperlink r:id="rId85">
        <w:r>
          <w:rPr>
            <w:color w:val="245F7B"/>
            <w:u w:val="single"/>
          </w:rPr>
          <w:t>Лицензия и документация OpenITI</w:t>
        </w:r>
      </w:hyperlink>
      <w:r>
        <w:t xml:space="preserve"> </w:t>
      </w:r>
      <w:hyperlink r:id="rId70">
        <w:r>
          <w:rPr>
            <w:color w:val="245F7B"/>
            <w:u w:val="single"/>
          </w:rPr>
          <w:t>[R025]</w:t>
        </w:r>
      </w:hyperlink>
      <w:r>
        <w:t xml:space="preserve"> </w:t>
      </w:r>
      <w:hyperlink r:id="rId81">
        <w:r>
          <w:rPr>
            <w:color w:val="245F7B"/>
            <w:u w:val="single"/>
          </w:rPr>
          <w:t>[R068]</w:t>
        </w:r>
      </w:hyperlink>
    </w:p>
    <w:p>
      <w:r>
        <w:t>Noor использует собственные Terms, а не свободную CC-лицензию. Проверенные условия описывают личное научное некоммерческое использование и ограничения на редактирование, перевод, публикацию и объём загрузки. Высокая rights_confidence в этих записях означает уверенность в ограничительном режиме, а не высокую свободу материала. Бесплатная регистрация и заявленное free read не гарантируют полный Download; покупки и регистрация от имени пользователя не выполнялись.</w:t>
      </w:r>
      <w:r>
        <w:t xml:space="preserve"> </w:t>
      </w:r>
      <w:hyperlink r:id="rId86">
        <w:r>
          <w:rPr>
            <w:color w:val="245F7B"/>
            <w:u w:val="single"/>
          </w:rPr>
          <w:t>Условия Noor</w:t>
        </w:r>
      </w:hyperlink>
      <w:r>
        <w:t xml:space="preserve"> </w:t>
      </w:r>
      <w:hyperlink r:id="rId28">
        <w:r>
          <w:rPr>
            <w:color w:val="245F7B"/>
            <w:u w:val="single"/>
          </w:rPr>
          <w:t>[R023]</w:t>
        </w:r>
      </w:hyperlink>
      <w:r>
        <w:t xml:space="preserve"> </w:t>
      </w:r>
      <w:hyperlink r:id="rId57">
        <w:r>
          <w:rPr>
            <w:color w:val="245F7B"/>
            <w:u w:val="single"/>
          </w:rPr>
          <w:t>[R046]</w:t>
        </w:r>
      </w:hyperlink>
      <w:r>
        <w:t xml:space="preserve"> </w:t>
      </w:r>
      <w:hyperlink r:id="rId20">
        <w:r>
          <w:rPr>
            <w:color w:val="245F7B"/>
            <w:u w:val="single"/>
          </w:rPr>
          <w:t>[R069]</w:t>
        </w:r>
      </w:hyperlink>
    </w:p>
    <w:p>
      <w:r>
        <w:t>Для собственного перевода ToS отмечено 12 условно пригодных исторических основ: девять Princeton-свидетелей с соответствующим item-статусом и три старых ACO-издания. Переводить можно только реально полученный и проверенный объём: например, неполный Кушджи или часть Kashshāf не дают права обещать перевод всего корпуса. Метаданные Fihrist, защищённый английский посредник и современная критическая реконструкция не получили безусловного OWN_TRANSLATION_POSSIBLE.</w:t>
      </w:r>
    </w:p>
    <w:p>
      <w:r>
        <w:t>Отдельной уверенно проверенной группы CC BY-ND / CC BY-NC-ND в этом выпуске нет; тег UNCHANGED_ONLY не назначен искусственно. Авторский PDF с All rights reserved не становится «разрешённым к распространению неизменённым» лишь потому, что его можно скачать. Так же не подтверждён рабочий удалённый borrow/CDL-путь: институциональный доступ OUP/Cambridge и очное чтение рукописи по билету — другие режимы.</w:t>
      </w:r>
    </w:p>
    <w:p>
      <w:pPr>
        <w:pStyle w:val="Heading1"/>
      </w:pPr>
      <w:r>
        <w:t>5. Характерные правовые и библиографические тонкости</w:t>
      </w:r>
    </w:p>
    <w:p>
      <w:r>
        <w:t>Старая мысль и новая редакция. В Shamsiyya 2024, Isagoge 2022 и The Final Word 2026 присутствует исторический оригинал или его перевод, но современный критический и переводческий труд защищён. ToS может ссылаться на эти версии и пользоваться тем режимом чтения, который действительно предоставлен; новое русское переложение защищённого английского перевода не становится независимым переводом с арабского.</w:t>
      </w:r>
      <w:r>
        <w:t xml:space="preserve"> </w:t>
      </w:r>
      <w:hyperlink r:id="rId33">
        <w:r>
          <w:rPr>
            <w:color w:val="245F7B"/>
            <w:u w:val="single"/>
          </w:rPr>
          <w:t>[R001]</w:t>
        </w:r>
      </w:hyperlink>
      <w:r>
        <w:t xml:space="preserve"> </w:t>
      </w:r>
      <w:hyperlink r:id="rId78">
        <w:r>
          <w:rPr>
            <w:color w:val="245F7B"/>
            <w:u w:val="single"/>
          </w:rPr>
          <w:t>[R038]</w:t>
        </w:r>
      </w:hyperlink>
      <w:r>
        <w:t xml:space="preserve"> </w:t>
      </w:r>
      <w:hyperlink r:id="rId40">
        <w:r>
          <w:rPr>
            <w:color w:val="245F7B"/>
            <w:u w:val="single"/>
          </w:rPr>
          <w:t>[R058]</w:t>
        </w:r>
      </w:hyperlink>
    </w:p>
    <w:p>
      <w:r>
        <w:t>Срок текста не равен сроку фотографии. Для рукописей правовой вывод строится по конкретному цифровому объекту и политике учреждения. Даже внутри Princeton встречаются разные rights statements. Для LOC статус нельзя наследовать от Princeton: страницы LOC в этом запуске не удалось проверить, поэтому они оставлены в gaps, а не снабжены чужими разрешениями.</w:t>
      </w:r>
    </w:p>
    <w:p>
      <w:r>
        <w:t>Дата автора, дата копии и дата издания. Список Sharḥ al-Mawāqif 1798 г., лакхнауская Kubrā 1844 г., литография Кушджи 1868–1869 гг. и сегодняшняя цифровая копия относятся к разным слоям. Старый год в карточке сам по себе не удостоверяет современный аппарат. Разночтения каталогов о дате смерти Давани, Тафтазани или дате конкретного списка сохранены в notes, а не незаметно согласованы.</w:t>
      </w:r>
      <w:r>
        <w:t xml:space="preserve"> </w:t>
      </w:r>
      <w:hyperlink r:id="rId49">
        <w:r>
          <w:rPr>
            <w:color w:val="245F7B"/>
            <w:u w:val="single"/>
          </w:rPr>
          <w:t>[R010]</w:t>
        </w:r>
      </w:hyperlink>
      <w:r>
        <w:t xml:space="preserve"> </w:t>
      </w:r>
      <w:hyperlink r:id="rId51">
        <w:r>
          <w:rPr>
            <w:color w:val="245F7B"/>
            <w:u w:val="single"/>
          </w:rPr>
          <w:t>[R015]</w:t>
        </w:r>
      </w:hyperlink>
      <w:r>
        <w:t xml:space="preserve"> </w:t>
      </w:r>
      <w:hyperlink r:id="rId64">
        <w:r>
          <w:rPr>
            <w:color w:val="245F7B"/>
            <w:u w:val="single"/>
          </w:rPr>
          <w:t>[R017]</w:t>
        </w:r>
      </w:hyperlink>
      <w:r>
        <w:t xml:space="preserve"> </w:t>
      </w:r>
      <w:hyperlink r:id="rId71">
        <w:r>
          <w:rPr>
            <w:color w:val="245F7B"/>
            <w:u w:val="single"/>
          </w:rPr>
          <w:t>[R022]</w:t>
        </w:r>
      </w:hyperlink>
      <w:r>
        <w:t xml:space="preserve"> </w:t>
      </w:r>
      <w:hyperlink r:id="rId60">
        <w:r>
          <w:rPr>
            <w:color w:val="245F7B"/>
            <w:u w:val="single"/>
          </w:rPr>
          <w:t>[R034]</w:t>
        </w:r>
      </w:hyperlink>
      <w:r>
        <w:t xml:space="preserve"> </w:t>
      </w:r>
      <w:hyperlink r:id="rId75">
        <w:r>
          <w:rPr>
            <w:color w:val="245F7B"/>
            <w:u w:val="single"/>
          </w:rPr>
          <w:t>[R073]</w:t>
        </w:r>
      </w:hyperlink>
    </w:p>
    <w:p>
      <w:r>
        <w:t>Два Джурджани и несколько Мейбоди. Columbia Or. 300 относится к Мухаммаду ибн Шарифу ал-Хусайни ал-Джурджани, а не автоматически к ал-Саййиду ал-Шарифу. Поиск Мейбоди возвращает также автора тафсира другого века. Глосса без удостоверенного имени в Garrett 671Y не приписана ал-Лари по сходству школьной традиции.</w:t>
      </w:r>
      <w:r>
        <w:t xml:space="preserve"> </w:t>
      </w:r>
      <w:hyperlink r:id="rId12">
        <w:r>
          <w:rPr>
            <w:color w:val="245F7B"/>
            <w:u w:val="single"/>
          </w:rPr>
          <w:t>[R016]</w:t>
        </w:r>
      </w:hyperlink>
      <w:r>
        <w:t xml:space="preserve"> </w:t>
      </w:r>
      <w:hyperlink r:id="rId43">
        <w:r>
          <w:rPr>
            <w:color w:val="245F7B"/>
            <w:u w:val="single"/>
          </w:rPr>
          <w:t>[R036]</w:t>
        </w:r>
      </w:hyperlink>
    </w:p>
    <w:p>
      <w:r>
        <w:t>Комплектность и языковые поля. Один доступный том Sharḥ al-Mawāqif не равен трёхтомнику; логическая часть Tahdhīb не равна логике плюс kalām; предисловие Feryal Salem не равно Īsāghūjī целиком. В отдельных Noor-карточках язык расходится с языком исторического сочинения: такие метаданные помечены для проверки, а не использованы для выдумывания неизвестного переводчика.</w:t>
      </w:r>
      <w:r>
        <w:t xml:space="preserve"> </w:t>
      </w:r>
      <w:hyperlink r:id="rId64">
        <w:r>
          <w:rPr>
            <w:color w:val="245F7B"/>
            <w:u w:val="single"/>
          </w:rPr>
          <w:t>[R017]</w:t>
        </w:r>
      </w:hyperlink>
      <w:r>
        <w:t xml:space="preserve"> </w:t>
      </w:r>
      <w:hyperlink r:id="rId61">
        <w:r>
          <w:rPr>
            <w:color w:val="245F7B"/>
            <w:u w:val="single"/>
          </w:rPr>
          <w:t>[R037]</w:t>
        </w:r>
      </w:hyperlink>
      <w:r>
        <w:t xml:space="preserve"> </w:t>
      </w:r>
      <w:hyperlink r:id="rId45">
        <w:r>
          <w:rPr>
            <w:color w:val="245F7B"/>
            <w:u w:val="single"/>
          </w:rPr>
          <w:t>[R054]</w:t>
        </w:r>
      </w:hyperlink>
      <w:r>
        <w:t xml:space="preserve"> </w:t>
      </w:r>
      <w:hyperlink r:id="rId46">
        <w:r>
          <w:rPr>
            <w:color w:val="245F7B"/>
            <w:u w:val="single"/>
          </w:rPr>
          <w:t>[R055]</w:t>
        </w:r>
      </w:hyperlink>
      <w:r>
        <w:t xml:space="preserve"> </w:t>
      </w:r>
      <w:hyperlink r:id="rId41">
        <w:r>
          <w:rPr>
            <w:color w:val="245F7B"/>
            <w:u w:val="single"/>
          </w:rPr>
          <w:t>[R059]</w:t>
        </w:r>
      </w:hyperlink>
    </w:p>
    <w:p>
      <w:r>
        <w:t>Одно имя файла не всегда одно произведение. BK2 у Туси/Ishārāt и OCR-версия Ḥikmat al-ʿayn требуют проверки внутренних границ. Наоборот, несколько форматов одного NYU PDF или архив OpenITI не являются самостоятельными произведениями. Фактическая библиотечная provenance полезна, но даже IA-загрузка с названием библиотеки не доказывает право свободно распространять современное издание.</w:t>
      </w:r>
      <w:r>
        <w:t xml:space="preserve"> </w:t>
      </w:r>
      <w:hyperlink r:id="rId33">
        <w:r>
          <w:rPr>
            <w:color w:val="245F7B"/>
            <w:u w:val="single"/>
          </w:rPr>
          <w:t>[R001]</w:t>
        </w:r>
      </w:hyperlink>
      <w:r>
        <w:t xml:space="preserve"> </w:t>
      </w:r>
      <w:hyperlink r:id="rId21">
        <w:r>
          <w:rPr>
            <w:color w:val="245F7B"/>
            <w:u w:val="single"/>
          </w:rPr>
          <w:t>[R026]</w:t>
        </w:r>
      </w:hyperlink>
      <w:r>
        <w:t xml:space="preserve"> </w:t>
      </w:r>
      <w:hyperlink r:id="rId16">
        <w:r>
          <w:rPr>
            <w:color w:val="245F7B"/>
            <w:u w:val="single"/>
          </w:rPr>
          <w:t>[R030]</w:t>
        </w:r>
      </w:hyperlink>
      <w:r>
        <w:t xml:space="preserve"> </w:t>
      </w:r>
      <w:hyperlink r:id="rId81">
        <w:r>
          <w:rPr>
            <w:color w:val="245F7B"/>
            <w:u w:val="single"/>
          </w:rPr>
          <w:t>[R068]</w:t>
        </w:r>
      </w:hyperlink>
    </w:p>
    <w:p>
      <w:pPr>
        <w:pStyle w:val="Heading1"/>
      </w:pPr>
      <w:r>
        <w:t>6. Пробелы и дальнейший поиск</w:t>
      </w:r>
    </w:p>
    <w:p>
      <w:r>
        <w:t>Все 27 задач сохранены в том же XLSX на листе gaps с типом пробела, конкретной связью, адресом и требуемой проверкой. Это разные случаи: установленное произведение без найденного текста; рабочая карточка без изображения; неоткрывшийся адрес; вариант издания; слабый кандидат с неустановленной идентичностью. Отсутствие проверенной загрузки нигде не истолковано как отсутствие произведения.</w:t>
      </w:r>
    </w:p>
    <w:p>
      <w:pPr>
        <w:pStyle w:val="Heading2"/>
      </w:pPr>
      <w:r>
        <w:t>6.1. Что остаётся недоступным или недостаточно определённым</w:t>
      </w:r>
    </w:p>
    <w:p>
      <w:r>
        <w:t>Главные первичные пробелы — могольские Sharḥ-i Kubrā и Jawāhir al-ʿulūm (G001–G002), свободная полная персидская основа Asās и его турецкие рукописные якоря (G003), персидский комментарий Мусаннифака к Shamsiyya (G004), персидские Maṭāliʿ/Lawāmiʿ (G005), комментарий Мир Хусайна Мейбоди на Shamsiyya (G011), богословская часть Tahdhīb (G012), самостоятельный Sharḥ al-Ishārāt ал-Рази (G013), отдельный Maṭāliʿ (G014) и самостоятельный комментарий ал-Исфахани к Tajrīd (G027).</w:t>
      </w:r>
    </w:p>
    <w:p>
      <w:r>
        <w:t>Технические пробелы не смешаны с библиографическими. G006–G009 сохраняют четыре конкретных LOC item-адреса. G010 просит факсимиле трёх рукописей, метаданные которых уже восстановлены в R071–R073. G024–G026 относятся к raw/release OpenITI, доставке Princeton и фактическому reader-доступу Noor. Для ACO большие PDF превышали возможности инструмента, а Google Books потребовал CAPTCHA; эти ошибки записаны в строках соответствующих объектов.</w:t>
      </w:r>
    </w:p>
    <w:p>
      <w:r>
        <w:t>Платные и ограниченные, но полезные варианты не потеряны: английские Street / Salem / Alwishah–Sanson / Inati, современные арабские критические издания, персидские переводы, сборник двенадцати трактатов и Cambridge-глава о Давани–Харави. При этом старый перевод Elder, турецкий Mawāqif Ömer Türker и переводческие кандидаты на русском или таджикском требуют дополнительной проверки (G015–G018). Русское описание книги или кириллица не доказывают русский язык самого перевода.</w:t>
      </w:r>
    </w:p>
    <w:p>
      <w:r>
        <w:t>Поздние работы, обнаруженные, но не доведённые до полноценной проверки доступа: al-Zawrāʾ и Sharḥ al-ʿAqāʾid al-ʿAḍudiyya Давани, сборник Sabʿ rasāʾil, новые прямые комментарии к Tajrīd современных авторов (G022–G023). Они не исключены по дате; для них пока недостаточно item-level проверки. Вариант Talkhīṣ под редакцией Нурани (G021) также не следует сливать с проверенным R069.</w:t>
      </w:r>
    </w:p>
    <w:p>
      <w:r>
        <w:t>Unverified candidates обозначены прямо. G018 — дополнительный английский Īsāghūjī, обнаруженный через слабую выдачу и пользовательские загрузки; G020 — возможный омоним Asās, не удостоверенный как труд Туси. G019 — потенциальный DLI-скан, для которого важнее проверить титульные листы и права версии, чем поспешно добавить «бесплатный оригинал». Они не служат источниками сильных утверждений или правовых тегов.</w:t>
      </w:r>
    </w:p>
    <w:p>
      <w:pPr>
        <w:pStyle w:val="Heading2"/>
      </w:pPr>
      <w:r>
        <w:t>6.2. Восемь адресных направлений следующей проверки</w:t>
      </w:r>
    </w:p>
    <w:p>
      <w:r>
        <w:rPr>
          <w:b/>
        </w:rPr>
        <w:t xml:space="preserve">1. Кубра и ранняя Могольская Индия. </w:t>
      </w:r>
      <w:r>
        <w:t>По именам Абу Бакы ал-Хусайни и Мискини Самарканди установить shelfmarks, начало/конец текста и современные издания. Приоритет — получить первичный текст, а не ещё одну общую статью о медресе.</w:t>
      </w:r>
    </w:p>
    <w:p>
      <w:r>
        <w:rPr>
          <w:b/>
        </w:rPr>
        <w:t xml:space="preserve">2. Персидский Asās и арабские автографы. </w:t>
      </w:r>
      <w:r>
        <w:t>Проверить Ayasofya 2479, III Ahmed 3428, Carullah 1348; установить современные цифровые идентификаторы и права конкретных фотографий. Отдельно удостоверить IA/DLI-кандидат по титулу.</w:t>
      </w:r>
    </w:p>
    <w:p>
      <w:r>
        <w:rPr>
          <w:b/>
        </w:rPr>
        <w:t xml:space="preserve">3. Персидская учебная рецепция. </w:t>
      </w:r>
      <w:r>
        <w:t>Довести до item-level Ayasofya 2557, 2488 и 2486–2487; отделить перевод Maṭāliʿ, перевод Lawāmiʿ и комментарий на Shamsiyya. Не объединять их под словом «персидский перевод логики».</w:t>
      </w:r>
    </w:p>
    <w:p>
      <w:r>
        <w:rPr>
          <w:b/>
        </w:rPr>
        <w:t xml:space="preserve">4. Недостающие исходные и промежуточные тексты. </w:t>
      </w:r>
      <w:r>
        <w:t>Приоритетны kalām-часть Tahdhīb, самостоятельный Maṭāliʿ, комментарий ал-Исфахани и Sharḥ al-Ishārāt ал-Рази. Проверить также точное название Shamsiyya-комментария Мейбоди.</w:t>
      </w:r>
    </w:p>
    <w:p>
      <w:r>
        <w:rPr>
          <w:b/>
        </w:rPr>
        <w:t xml:space="preserve">5. Факсимиле вместо каталожного описания. </w:t>
      </w:r>
      <w:r>
        <w:t>Для LOC и трёх Fihrist-якорей найти реальный image service / IIIF и item-level права. Для Princeton проверить бинарную доставку и collation выбранных наиболее свободных кодексов.</w:t>
      </w:r>
    </w:p>
    <w:p>
      <w:r>
        <w:rPr>
          <w:b/>
        </w:rPr>
        <w:t xml:space="preserve">6. Переводы для читателя. </w:t>
      </w:r>
      <w:r>
        <w:t>Восстановить официальный турецкий Mawāqif; найти законный библиотечный/покупной Elder; проверить русские и таджикские кандидаты по национальным каталогам, не по языку поискового сниппета.</w:t>
      </w:r>
    </w:p>
    <w:p>
      <w:r>
        <w:rPr>
          <w:b/>
        </w:rPr>
        <w:t xml:space="preserve">7. OpenITI и чистота слоя. </w:t>
      </w:r>
      <w:r>
        <w:t>Сопоставить девять URI с release, получить три неоткрывшихся raw-файла, отделить критический аппарат и OCR от исторического текста. Проверить полноту до индексации и любых переводческих выводов.</w:t>
      </w:r>
    </w:p>
    <w:p>
      <w:r>
        <w:rPr>
          <w:b/>
        </w:rPr>
        <w:t xml:space="preserve">8. Современные продолжения и режимы доступа. </w:t>
      </w:r>
      <w:r>
        <w:t>Проверить G022–G023, а также фактические квоты и полноту Noor. При необходимости разрешения фиксировать адрес правообладателя для будущей работы, но не отправлять запросы и не приобретать доступ автоматически.</w:t>
      </w:r>
    </w:p>
    <w:p>
      <w:pPr>
        <w:pStyle w:val="Heading1"/>
      </w:pPr>
      <w:r>
        <w:t>7. Итоговая оценка</w:t>
      </w:r>
    </w:p>
    <w:p>
      <w:r>
        <w:t>Корпус покрыт как рабочая карта доступа, а не как окончательный мировой census. Центральные семьи имеют проверенные предметные входы или явные адресные пробелы. Сильнее всего представлены арабская учебная логика, философский kalām, комментарии и поздние рукописные свидетели. Слабее — свободный персидский оригинал Asās, полный текст Kubrā, отдельные промежуточные комментарии и некоторые раннемогольские первичные сочинения.</w:t>
      </w:r>
    </w:p>
    <w:p>
      <w:r>
        <w:t>Оригиналы чаще доступны как исторические свидетели, старые печатные копии или неполностью проверенные машиночитаемые версии. Переводы распределены неравномерно: Shamsiyya имеет полноценный официальный бесплатный современный двуязычный PDF; для Īsāghūjī, Nihāyat al-kalām и части Ishārāt важны защищённые издания. Надёжно подтверждённого полного русского переводного слоя ядра этот выпуск не установил.</w:t>
      </w:r>
    </w:p>
    <w:p>
      <w:r>
        <w:t>Наиболее свободный найденный первичный слой — собственные Princeton-репродукции определённых исторических свидетелей с No Known Copyright, в обозначенной юрисдикционной рамке. Старые ACO-издания дают ещё одну перспективную основу. OpenITI полезен для некоммерческой машинной работы, но требует проверки печатного источника и компонентных прав. Главные ограничения сосредоточены в современных переводах/редакциях, неясных изображениях, reader-оболочках и непроверенной полноте.</w:t>
      </w:r>
    </w:p>
    <w:p>
      <w:r>
        <w:t>Пакет пригоден для передачи Codex как исследовательский ввод: точные пути, версии, свидетели, доказательства и ограничения уже разделены. Он не является автоматическим белым списком для скачивания или публикации. До OCR, индексации, embeddings, собственного перевода или зеркала необходимо прочитать scope и coverage каждой строки и разрешить конкретный блокер из verification_status / gaps. Исходный DR, ID T2-16 и статус A не изменены.</w:t>
      </w:r>
    </w:p>
    <w:p>
      <w:pPr>
        <w:pStyle w:val="Small"/>
      </w:pPr>
      <w:r>
        <w:t>Поставка: один DOCX-отчёт и один XLSX-реестр. Исходные тексты, архивы корпусов и защищённые файлы в пакет не вложены.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2616B"/>
        <w:sz w:val="16"/>
      </w:rPr>
      <w:t xml:space="preserve">Проверка источников: 04.09.2026          ToS / исследовательский пакет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2616B"/>
        <w:sz w:val="16"/>
      </w:rPr>
      <w:t>TREE OF SOPHIA  •  T2-16  •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3B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45F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45F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153B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80" w:after="120"/>
    </w:pPr>
    <w:rPr>
      <w:rFonts w:asciiTheme="majorHAnsi" w:eastAsiaTheme="majorEastAsia" w:hAnsiTheme="majorHAnsi" w:cstheme="majorBidi" w:ascii="Arial" w:hAnsi="Arial"/>
      <w:i/>
      <w:iCs/>
      <w:color w:val="27645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rial" w:hAnsi="Arial"/>
      <w:color w:val="52616B"/>
      <w:sz w:val="18"/>
    </w:rPr>
  </w:style>
  <w:style w:type="paragraph" w:customStyle="1" w:styleId="Source">
    <w:name w:val="Source"/>
    <w:pPr>
      <w:spacing w:after="80"/>
    </w:pPr>
    <w:rPr>
      <w:rFonts w:ascii="Arial" w:hAnsi="Arial"/>
      <w:color w:val="5261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igital-collections.princeton.edu/i/&#1578;&#1606;&#1608;&#1610;&#1585;-&#1575;&#1604;&#1605;&#1591;&#1575;&#1604;&#1593;/item/703acd4f-1bfe-481a-a2e0-13373e46f774" TargetMode="External"/><Relationship Id="rId12" Type="http://schemas.openxmlformats.org/officeDocument/2006/relationships/hyperlink" Target="https://catalog.hathitrust.org/Record/102811683" TargetMode="External"/><Relationship Id="rId13" Type="http://schemas.openxmlformats.org/officeDocument/2006/relationships/hyperlink" Target="https://digital-collections.princeton.edu/i/&#1575;&#1604;&#1605;&#1581;&#1575;&#1603;&#1605;&#1575;&#1578;/item/43f5e169-b9bc-4932-9ed5-b36e7f1ef7b8" TargetMode="External"/><Relationship Id="rId14" Type="http://schemas.openxmlformats.org/officeDocument/2006/relationships/hyperlink" Target="https://digital-collections.princeton.edu/i/&#1575;&#1604;&#1605;&#1601;&#1589;&#1604;-&#1601;&#1610;-&#1588;&#1585;&#1581;-&#1575;&#1604;&#1605;&#1581;&#1589;&#1604;/item/7fda334a-3676-47fc-94ad-2243a1081cc4" TargetMode="External"/><Relationship Id="rId15" Type="http://schemas.openxmlformats.org/officeDocument/2006/relationships/hyperlink" Target="https://github.com/OpenITI/0675AH/blob/master/data/0672NasirDinTusi/0672NasirDinTusi.TajridMantiq/0672NasirDinTusi.TajridMantiq.JK010709-ara1" TargetMode="External"/><Relationship Id="rId16" Type="http://schemas.openxmlformats.org/officeDocument/2006/relationships/hyperlink" Target="https://github.com/OpenITI/0675AH/blob/master/data/0675NajmDinKatibiQazwini/0675NajmDinKatibiQazwini.HikmatCayn/0675NajmDinKatibiQazwini.HikmatCayn.Kraken22021616363600-ara1" TargetMode="External"/><Relationship Id="rId17" Type="http://schemas.openxmlformats.org/officeDocument/2006/relationships/hyperlink" Target="https://noorlib.ir/book/info/119370/&#1588;&#1585;&#1581;-&#1605;&#1606;&#1591;&#1602;-&#1575;&#1604;&#1607;&#1583;&#1575;&#1610;&#1577;-(&#1575;&#1604;&#1602;&#1587;&#1605;-&#1575;&#1604;&#1571;&#1608;&#1604;-&#1605;&#1606;-&#1607;&#1583;&#1575;&#1740;&#1577;-&#1575;&#1604;&#1581;&#1705;&#1605;&#1577;)" TargetMode="External"/><Relationship Id="rId18" Type="http://schemas.openxmlformats.org/officeDocument/2006/relationships/hyperlink" Target="https://noorlib.ir/book/info/139503/&#1575;&#1604;&#1606;&#1580;&#1605;-&#1575;&#1604;&#1579;&#1575;&#1602;&#1576;:-&#1588;&#1585;&#1581;-&#1575;&#1604;&#1605;&#1740;&#1576;&#1584;&#1740;" TargetMode="External"/><Relationship Id="rId19" Type="http://schemas.openxmlformats.org/officeDocument/2006/relationships/hyperlink" Target="https://noorlib.ir/book/info/139497/&#1581;&#1575;&#1588;&#1740;&#1577;-&#1575;&#1604;&#1589;&#1583;&#1740;&#1602;&#1740;&#1577;-&#1593;&#1604;&#1740;-&#1575;&#1604;&#1605;&#1740;&#1576;&#1583;&#1740;-&#1605;&#1606;-&#1588;&#1585;&#1581;-&#1607;&#1583;&#1575;&#1740;&#1577;-&#1575;&#1604;&#1581;&#1705;&#1605;&#1577;" TargetMode="External"/><Relationship Id="rId20" Type="http://schemas.openxmlformats.org/officeDocument/2006/relationships/hyperlink" Target="https://noorlib.ir/book/info/1880/&#1578;&#1604;&#1582;&#1740;&#1589;-&#1575;&#1604;&#1605;&#1581;&#1589;&#1604;:-&#1606;&#1602;&#1583;-&#1575;&#1604;&#1605;&#1581;&#1589;&#1604;" TargetMode="External"/><Relationship Id="rId21" Type="http://schemas.openxmlformats.org/officeDocument/2006/relationships/hyperlink" Target="https://github.com/OpenITI/0675AH/blob/master/data/0672NasirDinTusi/0672NasirDinTusi.TafsirIsharat/0672NasirDinTusi.TafsirIsharat.Shamela0006534BK2-ara1.mARkdown" TargetMode="External"/><Relationship Id="rId22" Type="http://schemas.openxmlformats.org/officeDocument/2006/relationships/hyperlink" Target="https://cup.columbia.edu/book/ibn-sinas-remarks-and-admonitions-physics-and-metaphysics/9780231166164/" TargetMode="External"/><Relationship Id="rId23" Type="http://schemas.openxmlformats.org/officeDocument/2006/relationships/hyperlink" Target="https://khaledelrouayheb.scholars.harvard.edu/publications/kashf-al-asrar-ghawamid-al-afkar-afdal-al-din-al-khunaji-d1248" TargetMode="External"/><Relationship Id="rId24" Type="http://schemas.openxmlformats.org/officeDocument/2006/relationships/hyperlink" Target="https://sites.dlib.nyu.edu/viewer/books/auc_aco000078/1" TargetMode="External"/><Relationship Id="rId25" Type="http://schemas.openxmlformats.org/officeDocument/2006/relationships/hyperlink" Target="https://noorlib.ir/book/info/1801/&#1579;&#1604;&#1575;&#1579;-&#1585;&#1587;&#1575;&#1574;&#1604;" TargetMode="External"/><Relationship Id="rId26" Type="http://schemas.openxmlformats.org/officeDocument/2006/relationships/hyperlink" Target="https://bolgar.academy/manuscript/sharh-al-akaid-an-nasafija-%D8%B4%D8%B1%D8%AD-%D8%A7%D9%84%D8%B9%D9%82%D8%A7%D8%A6%D8%AF-%D8%A7%D9%84%D9%86%D8%B3%D9%81%D9%8A%D8%A9/" TargetMode="External"/><Relationship Id="rId27" Type="http://schemas.openxmlformats.org/officeDocument/2006/relationships/hyperlink" Target="https://digital-collections.princeton.edu/i/mi%CC%84r-h%CC%A3a%CC%84shiyat-aljala%CC%84l-etc/item/05301396-9bcf-4fce-b1ec-e311c52945dc" TargetMode="External"/><Relationship Id="rId28" Type="http://schemas.openxmlformats.org/officeDocument/2006/relationships/hyperlink" Target="https://noorlib.ir/book/info/10901/&#1585;&#1587;&#1575;&#1604;&#1607;-&#1576;&#1607;&#1580;&#1577;-&#1575;&#1604;&#1591;&#1575;&#1604;&#1576;&#1740;&#1606;:-&#1588;&#1585;&#1581;-&#1705;&#1576;&#1585;&#1740;-&#1605;&#1606;&#1591;&#1602;" TargetMode="External"/><Relationship Id="rId29" Type="http://schemas.openxmlformats.org/officeDocument/2006/relationships/hyperlink" Target="https://www.cambridge.org/core/books/abs/islamic-intellectual-history-in-the-mughal-era/voluntary-actions-a-translation-and-analysis-of-jalal-aldin-dawanis-sharh-hayakil-alnur-with-the-gloss-of-mir-zahid-harawi-d-1689/F5743DD591F4DE0571B80D77B623C87D" TargetMode="External"/><Relationship Id="rId30" Type="http://schemas.openxmlformats.org/officeDocument/2006/relationships/hyperlink" Target="https://noorlib.ir/book/info/38733/&#1578;&#1585;&#1580;&#1605;&#1607;-&#1581;&#1575;&#1588;&#1740;&#1607;-&#1578;&#1607;&#1584;&#1740;&#1576;-&#1575;&#1604;&#1605;&#1606;&#1591;&#1602;" TargetMode="External"/><Relationship Id="rId31" Type="http://schemas.openxmlformats.org/officeDocument/2006/relationships/hyperlink" Target="https://noorlib.ir/book/info/1868/&#1588;&#1585;&#1581;-&#1575;&#1604;&#1607;&#1583;&#1575;&#1740;&#1577;-&#1575;&#1604;&#1571;&#1579;&#1740;&#1585;&#1740;&#1577;" TargetMode="External"/><Relationship Id="rId32" Type="http://schemas.openxmlformats.org/officeDocument/2006/relationships/hyperlink" Target="https://www.cambridge.org/core/books/abs/islamic-intellectual-history-in-the-mughal-era/logic-at-the-court-of-humayun/6C369813B599E35FDFEB073CBAF4D2C4" TargetMode="External"/><Relationship Id="rId33" Type="http://schemas.openxmlformats.org/officeDocument/2006/relationships/hyperlink" Target="https://www.libraryofarabicliterature.org/books/9781479827527/najm-al-din-al-katibis-al-risalah-al-shamsiyyah/" TargetMode="External"/><Relationship Id="rId34" Type="http://schemas.openxmlformats.org/officeDocument/2006/relationships/hyperlink" Target="https://books.google.com/books?id=jvA9AAAAcAAJ" TargetMode="External"/><Relationship Id="rId35" Type="http://schemas.openxmlformats.org/officeDocument/2006/relationships/hyperlink" Target="https://digital-collections.princeton.edu/i/&#1581;&#1575;&#1588;&#1610;&#1577;-&#1575;&#1604;&#1587;&#1610;&#1583;-&#1575;&#1604;&#1588;&#1585;&#1610;&#1601;-&#1575;&#1604;&#1580;&#1585;&#1580;&#1575;&#1606;&#1610;-&#1593;&#1604;&#1609;/item/32b75bdf-68d1-434e-9943-54408b73cb00" TargetMode="External"/><Relationship Id="rId36" Type="http://schemas.openxmlformats.org/officeDocument/2006/relationships/hyperlink" Target="https://digital-collections.princeton.edu/i/&#1581;&#1575;&#1588;&#1610;&#1577;-&#1580;&#1604;&#1575;&#1604;-&#1604;&#1588;&#1585;&#1581;-&#1575;&#1604;&#1602;&#1591;&#1576;-&#1604;&#1604;&#1588;&#1605;&#1587;&#1610;&#1577;/item/b78769bd-02b4-4bd1-88da-14620ecb1183" TargetMode="External"/><Relationship Id="rId37" Type="http://schemas.openxmlformats.org/officeDocument/2006/relationships/hyperlink" Target="https://noorlib.ir/book/info/30666/&#1588;&#1585;&#1608;&#1581;-&#1575;&#1604;&#1588;&#1605;&#1587;&#1740;&#1577;" TargetMode="External"/><Relationship Id="rId38" Type="http://schemas.openxmlformats.org/officeDocument/2006/relationships/hyperlink" Target="https://raw.githubusercontent.com/fihristorg/fihrist-mss/master/collections/trinity%20college%20cambridge/R.13.54.xml" TargetMode="External"/><Relationship Id="rId39" Type="http://schemas.openxmlformats.org/officeDocument/2006/relationships/hyperlink" Target="https://catalog.hathitrust.org/Record/006805633" TargetMode="External"/><Relationship Id="rId40" Type="http://schemas.openxmlformats.org/officeDocument/2006/relationships/hyperlink" Target="https://bookshop.sg/products/isagoge-a-classical-primer-on-logic" TargetMode="External"/><Relationship Id="rId41" Type="http://schemas.openxmlformats.org/officeDocument/2006/relationships/hyperlink" Target="https://www.academia.edu/72536263/Isagoge_A_Classical_Primer_on_Logic_PREFACE" TargetMode="External"/><Relationship Id="rId42" Type="http://schemas.openxmlformats.org/officeDocument/2006/relationships/hyperlink" Target="https://digital-collections.princeton.edu/i/&#1588;&#1585;&#1581;-&#1575;&#1604;&#1607;&#1583;&#1575;&#1610;&#1577;/item/33265260-b083-42ce-997f-696a090c7dbb" TargetMode="External"/><Relationship Id="rId43" Type="http://schemas.openxmlformats.org/officeDocument/2006/relationships/hyperlink" Target="https://digital-collections.princeton.edu/i/&#1581;&#1575;&#1588;&#1610;&#1577;-&#1588;&#1585;&#1581;-&#1575;&#1604;&#1605;&#1610;&#1576;&#1583;&#1610;-&#1575;&#1604;&#1582;/item/5d91ad31-08f5-4b12-850b-7de9f9748fe0" TargetMode="External"/><Relationship Id="rId44" Type="http://schemas.openxmlformats.org/officeDocument/2006/relationships/hyperlink" Target="https://noorlib.ir/book/info/139939/&#1588;&#1585;&#1581;-&#1607;&#1583;&#1575;&#1740;&#1577;-&#1575;&#1604;&#1581;&#1705;&#1605;&#1577;" TargetMode="External"/><Relationship Id="rId45" Type="http://schemas.openxmlformats.org/officeDocument/2006/relationships/hyperlink" Target="https://noorlib.ir/book/info/73971/&#1588;&#1585;&#1581;-&#1607;&#1583;&#1575;&#1740;&#1577;-&#1575;&#1604;&#1581;&#1705;&#1605;&#1577;" TargetMode="External"/><Relationship Id="rId46" Type="http://schemas.openxmlformats.org/officeDocument/2006/relationships/hyperlink" Target="https://noorlib.ir/book/info/112058/&#1607;&#1583;&#1575;&#1610;&#1577;-&#1575;&#1604;&#1581;&#1603;&#1605;&#1577;" TargetMode="External"/><Relationship Id="rId47" Type="http://schemas.openxmlformats.org/officeDocument/2006/relationships/hyperlink" Target="https://digital-collections.princeton.edu/i/&#1581;&#1575;&#1588;&#1610;&#1577;-&#1575;&#1604;&#1578;&#1580;&#1585;&#1610;&#1583;-&#1604;&#1604;&#1601;&#1575;&#1590;&#1604;-&#1575;&#1604;&#1588;&#1585;&#1610;&#1601;/item/24d7a84a-a444-470b-901e-99ac2a3afd2b" TargetMode="External"/><Relationship Id="rId48" Type="http://schemas.openxmlformats.org/officeDocument/2006/relationships/hyperlink" Target="https://digital-collections.princeton.edu/i/&#1578;&#1580;&#1585;&#1610;&#1583;-&#1575;&#1604;&#1593;&#1602;&#1575;&#1574;&#1583;/item/975f4947-76ef-4007-8c53-c14dfa740f78" TargetMode="External"/><Relationship Id="rId49" Type="http://schemas.openxmlformats.org/officeDocument/2006/relationships/hyperlink" Target="https://digital-collections.princeton.edu/i/&#1581;&#1575;&#1588;&#1610;&#1607;-&#1580;&#1604;&#1575;&#1604;-&#1583;&#1608;&#1575;&#1606;&#1610;-&#1593;&#1604;&#1609;-&#1588;&#1585;&#1581;/item/5f9a74f5-5292-495b-be95-3049a3cde041" TargetMode="External"/><Relationship Id="rId50" Type="http://schemas.openxmlformats.org/officeDocument/2006/relationships/hyperlink" Target="https://digital-collections.princeton.edu/i/&#1588;&#1585;&#1581;-&#1575;&#1604;&#1578;&#1580;&#1585;&#1610;&#1583;-&#1604;&#1593;&#1604;&#1610;-&#1575;&#1604;&#1602;&#1608;&#1588;&#1580;&#1610;/item/8e990885-b958-4809-a500-904b5a6cd30b" TargetMode="External"/><Relationship Id="rId51" Type="http://schemas.openxmlformats.org/officeDocument/2006/relationships/hyperlink" Target="https://catalog.hathitrust.org/Record/102869677" TargetMode="External"/><Relationship Id="rId52" Type="http://schemas.openxmlformats.org/officeDocument/2006/relationships/hyperlink" Target="https://al-islam.org/message-thaqalayn/vol-15-no-4-winter-2014/allamah-al-hilli-imamate-his-kashf-al-murad-1" TargetMode="External"/><Relationship Id="rId53" Type="http://schemas.openxmlformats.org/officeDocument/2006/relationships/hyperlink" Target="https://noorlib.ir/book/info/1236/&#1705;&#1588;&#1601;-&#1575;&#1604;&#1605;&#1585;&#1575;&#1583;:-&#1588;&#1585;&#1581;-&#1578;&#1580;&#1585;&#1740;&#1583;-&#1575;&#1604;&#1573;&#1593;&#1578;&#1602;&#1575;&#1583;" TargetMode="External"/><Relationship Id="rId54" Type="http://schemas.openxmlformats.org/officeDocument/2006/relationships/hyperlink" Target="https://noorlib.ir/book/info/3781/&#1705;&#1588;&#1601;-&#1575;&#1604;&#1605;&#1585;&#1575;&#1583;-&#1601;&#1610;-&#1588;&#1585;&#1581;-&#1578;&#1580;&#1585;&#1740;&#1583;-&#1575;&#1604;&#1573;&#1593;&#1578;&#1602;&#1575;&#1583;-(&#1602;&#1587;&#1605;-&#1575;&#1604;&#1573;&#1604;&#1607;&#1740;&#1575;&#1578;)" TargetMode="External"/><Relationship Id="rId55" Type="http://schemas.openxmlformats.org/officeDocument/2006/relationships/hyperlink" Target="https://www.iranketab.ir/book/65119-asas-aleqtibas" TargetMode="External"/><Relationship Id="rId56" Type="http://schemas.openxmlformats.org/officeDocument/2006/relationships/hyperlink" Target="https://dergipark.org.tr/tr/pub/yaduitmed/article/935819" TargetMode="External"/><Relationship Id="rId57" Type="http://schemas.openxmlformats.org/officeDocument/2006/relationships/hyperlink" Target="https://noorlib.ir/book/info/80765/&#1571;&#1587;&#1575;&#1587;-&#1575;&#1604;&#1573;&#1602;&#1578;&#1576;&#1575;&#1587;-&#1601;&#1610;-&#1575;&#1604;&#1605;&#1606;&#1591;&#1602;" TargetMode="External"/><Relationship Id="rId58" Type="http://schemas.openxmlformats.org/officeDocument/2006/relationships/hyperlink" Target="https://github.com/OpenITI/0775AH/blob/master/data/0756CadudDinIji/0756CadudDinIji.Mawaqif/0756CadudDinIji.Mawaqif.JK001335-ara1" TargetMode="External"/><Relationship Id="rId59" Type="http://schemas.openxmlformats.org/officeDocument/2006/relationships/hyperlink" Target="https://github.com/OpenITI/0825AH/blob/master/data/0816IbnMuhammadSharifJurjani/0816IbnMuhammadSharifJurjani.SharhMawaqif/0816IbnMuhammadSharifJurjani.SharhMawaqif.Kraken22021606123102Vols-ara1" TargetMode="External"/><Relationship Id="rId60" Type="http://schemas.openxmlformats.org/officeDocument/2006/relationships/hyperlink" Target="https://digital-collections.princeton.edu/i/&#1588;&#1585;&#1581;-&#1575;&#1604;&#1605;&#1608;&#1575;&#1602;&#1601;/item/016b1438-9ab9-4782-bc7c-234045244a84" TargetMode="External"/><Relationship Id="rId61" Type="http://schemas.openxmlformats.org/officeDocument/2006/relationships/hyperlink" Target="https://catalog.hathitrust.org/Record/009035742" TargetMode="External"/><Relationship Id="rId62" Type="http://schemas.openxmlformats.org/officeDocument/2006/relationships/hyperlink" Target="https://sites.dlib.nyu.edu/viewer/books/columbia_aco000419/1" TargetMode="External"/><Relationship Id="rId63" Type="http://schemas.openxmlformats.org/officeDocument/2006/relationships/hyperlink" Target="https://github.com/OpenITI/0800AH/blob/master/data/0792IbnCumarTaftazani/0792IbnCumarTaftazani.SharhMaqasid/0792IbnCumarTaftazani.SharhMaqasid.JK001157-ara1" TargetMode="External"/><Relationship Id="rId64" Type="http://schemas.openxmlformats.org/officeDocument/2006/relationships/hyperlink" Target="https://digital-collections.princeton.edu/i/tahdhi%CC%84b-almant%CC%A3iq-waalkala%CC%84m-etc/item/1afa2805-9fb6-4080-9744-1e7a3ae81385" TargetMode="External"/><Relationship Id="rId65" Type="http://schemas.openxmlformats.org/officeDocument/2006/relationships/hyperlink" Target="https://catalog.hathitrust.org/Record/002641716" TargetMode="External"/><Relationship Id="rId66" Type="http://schemas.openxmlformats.org/officeDocument/2006/relationships/hyperlink" Target="https://digital-collections.princeton.edu/i/&#1604;&#1608;&#1575;&#1605;&#1593;-&#1575;&#1604;&#1575;&#1587;&#1585;&#1575;&#1585;-&#1601;&#1610;-&#1588;&#1585;&#1581;-&#1605;&#1591;&#1575;&#1604;&#1593;/item/ff4a4603-382a-4a99-ae3a-35e71824ac60" TargetMode="External"/><Relationship Id="rId67" Type="http://schemas.openxmlformats.org/officeDocument/2006/relationships/hyperlink" Target="https://github.com/OpenITI/0775AH/blob/master/data/0766QutbDinRazi/0766QutbDinRazi.LawamicAsrar/0766QutbDinRazi.LawamicAsrar.ShamAY0034795-ara1" TargetMode="External"/><Relationship Id="rId68" Type="http://schemas.openxmlformats.org/officeDocument/2006/relationships/hyperlink" Target="https://digital-collections.princeton.edu/i/&#1581;&#1575;&#1588;&#1610;&#1577;-&#1593;&#1604;&#1609;-&#1575;&#1604;&#1581;&#1575;&#1588;&#1610;&#1577;-&#1575;&#1604;&#1588;&#1585;&#1610;&#1601;&#1610;&#1577;-&#1593;&#1604;&#1609;/item/2b65de5b-92ed-4883-989e-0993d1831b87" TargetMode="External"/><Relationship Id="rId69" Type="http://schemas.openxmlformats.org/officeDocument/2006/relationships/hyperlink" Target="https://sites.dlib.nyu.edu/viewer/books/auc_aco000194/1" TargetMode="External"/><Relationship Id="rId70" Type="http://schemas.openxmlformats.org/officeDocument/2006/relationships/hyperlink" Target="https://github.com/OpenITI/0825AH/blob/master/data/0816IbnMuhammadSharifJurjani/0816IbnMuhammadSharifJurjani.Tacrifat/0816IbnMuhammadSharifJurjani.Tacrifat.JK000768-ara1" TargetMode="External"/><Relationship Id="rId71" Type="http://schemas.openxmlformats.org/officeDocument/2006/relationships/hyperlink" Target="https://marashilibrary.com/manuscript/&#1585;&#1587;&#1575;&#1604;&#1607;-&#1705;&#1576;&#1585;&#1740;/" TargetMode="External"/><Relationship Id="rId72" Type="http://schemas.openxmlformats.org/officeDocument/2006/relationships/hyperlink" Target="https://digital-collections.princeton.edu/i/&#1581;&#1608;&#1575;&#1588;-&#1593;&#1604;&#1609;-&#1575;&#1604;&#1603;&#1588;&#1575;&#1601;-&#1604;&#1587;&#1593;&#1583;-&#1575;&#1604;&#1583;&#1610;&#1606;/item/2dc0b7f2-db9e-4d76-84bf-8fb2314561a1" TargetMode="External"/><Relationship Id="rId73" Type="http://schemas.openxmlformats.org/officeDocument/2006/relationships/hyperlink" Target="https://github.com/OpenITI/0800AH/blob/master/data/0792IbnCumarTaftazani/0792IbnCumarTaftazani.MukhtasarMacani/0792IbnCumarTaftazani.MukhtasarMacani.ShamAY0033799-ara1" TargetMode="External"/><Relationship Id="rId74" Type="http://schemas.openxmlformats.org/officeDocument/2006/relationships/hyperlink" Target="https://raw.githubusercontent.com/fihristorg/fihrist-mss/master/collections/cambridge%20university/Or_213.xml" TargetMode="External"/><Relationship Id="rId75" Type="http://schemas.openxmlformats.org/officeDocument/2006/relationships/hyperlink" Target="https://raw.githubusercontent.com/fihristorg/fihrist-mss/master/collections/oxford%20university/MS_Arab_d_216.xml" TargetMode="External"/><Relationship Id="rId76" Type="http://schemas.openxmlformats.org/officeDocument/2006/relationships/hyperlink" Target="https://noorlib.ir/book/info/13850/&#1583;&#1608;&#1575;&#1586;&#1583;&#1607;-&#1585;&#1587;&#1575;&#1604;&#1607;-&#1583;&#1585;-&#1662;&#1575;&#1585;&#1575;&#1583;&#1608;&#1705;&#1587;-&#1583;&#1585;&#1608;&#1594;&#1711;&#1608;" TargetMode="External"/><Relationship Id="rId77" Type="http://schemas.openxmlformats.org/officeDocument/2006/relationships/hyperlink" Target="https://mondearabe.fr/fr/drasat-flsfyp/2860-dwazdh-rsalh-dr-aradwks-drwgw-9789648036015.html" TargetMode="External"/><Relationship Id="rId78" Type="http://schemas.openxmlformats.org/officeDocument/2006/relationships/hyperlink" Target="https://academic.oup.com/book/62253" TargetMode="External"/><Relationship Id="rId79" Type="http://schemas.openxmlformats.org/officeDocument/2006/relationships/hyperlink" Target="https://noorlib.ir/book/info/139209/&#1588;&#1608;&#1575;&#1705;&#1604;-&#1575;&#1604;&#1581;&#1608;&#1585;-&#1601;&#1740;-&#1588;&#1585;&#1581;-&#1607;&#1740;&#1575;&#1705;&#1604;-&#1575;&#1604;&#1606;&#1608;&#1585;" TargetMode="External"/><Relationship Id="rId80" Type="http://schemas.openxmlformats.org/officeDocument/2006/relationships/hyperlink" Target="https://noorlib.ir/book/info/99043/&#1588;&#1608;&#1575;&#1603;&#1604;-&#1575;&#1604;&#1581;&#1608;&#1585;-&#1601;&#1610;-&#1588;&#1585;&#1581;-&#1607;&#1610;&#1575;&#1603;&#1604;-&#1575;&#1604;&#1606;&#1608;&#1585;-&#1604;&#1604;&#1587;&#1607;&#1585;&#1608;&#1585;&#1583;&#1610;" TargetMode="External"/><Relationship Id="rId81" Type="http://schemas.openxmlformats.org/officeDocument/2006/relationships/hyperlink" Target="https://zenodo.org/records/17767721" TargetMode="External"/><Relationship Id="rId82" Type="http://schemas.openxmlformats.org/officeDocument/2006/relationships/hyperlink" Target="https://github.com/fihristorg/fihrist-mss" TargetMode="External"/><Relationship Id="rId83" Type="http://schemas.openxmlformats.org/officeDocument/2006/relationships/hyperlink" Target="https://library.princeton.edu/about/policies/copyright-and-permissions-policies" TargetMode="External"/><Relationship Id="rId84" Type="http://schemas.openxmlformats.org/officeDocument/2006/relationships/hyperlink" Target="https://www.copyright.gov/title17/92chap3.html#304" TargetMode="External"/><Relationship Id="rId85" Type="http://schemas.openxmlformats.org/officeDocument/2006/relationships/hyperlink" Target="https://openiti.org/documentation/" TargetMode="External"/><Relationship Id="rId86" Type="http://schemas.openxmlformats.org/officeDocument/2006/relationships/hyperlink" Target="https://noorlib.ir/view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T2-16</dc:title>
  <dc:subject>Постмонгольский персидатский схоластический коридор</dc:subject>
  <dc:creator>Tree of Sophia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