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rFonts w:ascii="Arial" w:hAnsi="Arial" w:eastAsia="Arial"/>
          <w:b/>
          <w:color w:val="123C4A"/>
          <w:sz w:val="56"/>
        </w:rPr>
        <w:t>ToS Corpus &amp; Rights Registry</w:t>
      </w:r>
    </w:p>
    <w:p>
      <w:pPr>
        <w:spacing w:before="200"/>
        <w:jc w:val="center"/>
      </w:pPr>
      <w:r>
        <w:rPr>
          <w:rFonts w:ascii="Arial" w:hAnsi="Arial" w:eastAsia="Arial"/>
          <w:b/>
          <w:color w:val="2F5967"/>
          <w:sz w:val="36"/>
        </w:rPr>
        <w:t>A24 — Европа: ранняя греческая философия</w:t>
        <w:br/>
        <w:t>VI–V вв. до н.э.</w:t>
      </w:r>
    </w:p>
    <w:p>
      <w:pPr>
        <w:spacing w:before="240"/>
        <w:jc w:val="center"/>
      </w:pPr>
      <w:r>
        <w:rPr>
          <w:rFonts w:ascii="Arial" w:hAnsi="Arial" w:eastAsia="Arial"/>
          <w:i/>
          <w:color w:val="4B6670"/>
          <w:sz w:val="22"/>
        </w:rPr>
        <w:t>Исследовательский пакет: корпус, законные пути доступа, права и практическое использование в 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6912"/>
            <w:shd w:fill="2D7C89"/>
          </w:tcPr>
          <w:p>
            <w:pPr>
              <w:spacing w:after="0"/>
            </w:pPr>
          </w:p>
        </w:tc>
      </w:tr>
    </w:tbl>
    <w:p>
      <w:pPr>
        <w:spacing w:before="440"/>
        <w:jc w:val="center"/>
      </w:pPr>
      <w:r>
        <w:rPr>
          <w:rFonts w:ascii="Arial" w:hAnsi="Arial" w:eastAsia="Arial"/>
          <w:b/>
          <w:color w:val="123C4A"/>
          <w:sz w:val="20"/>
        </w:rPr>
        <w:t>ID A24  |  статус A  |  исходная уверенность 5</w:t>
      </w:r>
    </w:p>
    <w:p>
      <w:pPr>
        <w:jc w:val="center"/>
      </w:pPr>
      <w:r>
        <w:rPr>
          <w:rFonts w:ascii="Arial" w:hAnsi="Arial" w:eastAsia="Arial"/>
          <w:color w:val="4B6670"/>
          <w:sz w:val="19"/>
        </w:rPr>
        <w:t>Дата проверки: 3 сентября 2026 г.</w:t>
      </w:r>
    </w:p>
    <w:p>
      <w:pPr>
        <w:spacing w:before="300"/>
        <w:jc w:val="center"/>
      </w:pPr>
      <w:r>
        <w:rPr>
          <w:rFonts w:ascii="Arial" w:hAnsi="Arial" w:eastAsia="Arial"/>
          <w:b/>
          <w:color w:val="667085"/>
          <w:sz w:val="18"/>
        </w:rPr>
        <w:t>Исходный документ:</w:t>
      </w:r>
      <w:r>
        <w:br/>
      </w:r>
      <w:r>
        <w:rPr>
          <w:rFonts w:ascii="Arial" w:hAnsi="Arial" w:eastAsia="Arial"/>
          <w:color w:val="4B6670"/>
          <w:sz w:val="18"/>
        </w:rPr>
        <w:t>ToS Deep Research_ A24 — Европа_ ранняя греческая философия VI–V вв. до н.э.(1).docx</w:t>
      </w:r>
    </w:p>
    <w:p>
      <w:pPr>
        <w:spacing w:before="400"/>
        <w:jc w:val="center"/>
      </w:pPr>
      <w:r>
        <w:rPr>
          <w:rFonts w:ascii="Arial" w:hAnsi="Arial" w:eastAsia="Arial"/>
          <w:i/>
          <w:color w:val="667085"/>
          <w:sz w:val="18"/>
        </w:rPr>
        <w:t>Исходный Deep Research не редактировался. Реестр и отчёт созданы как отдельный пакет.</w:t>
      </w:r>
    </w:p>
    <w:p>
      <w:r>
        <w:br w:type="page"/>
      </w:r>
    </w:p>
    <w:p>
      <w:pPr>
        <w:pStyle w:val="Heading2"/>
        <w:keepNext/>
        <w:spacing w:before="140" w:after="80"/>
      </w:pPr>
      <w:r>
        <w:t>Состав отчёта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1. Паспорт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2. Охват корпуса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3. Лучшие пути доступа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4. Карта прав и практического использования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5. Характерные правовые тонкости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6. Пробелы и дальнейший поиск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7. Итоговая оценка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9F2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23C4A"/>
                <w:sz w:val="19"/>
              </w:rPr>
              <w:t>Как читать количественные итоги</w:t>
            </w:r>
          </w:p>
          <w:p>
            <w:pPr>
              <w:widowControl/>
              <w:spacing w:after="0" w:line="252" w:lineRule="auto"/>
            </w:pPr>
            <w:r>
              <w:rPr>
                <w:rFonts w:ascii="Arial" w:hAnsi="Arial" w:eastAsia="Arial"/>
                <w:sz w:val="18"/>
              </w:rPr>
              <w:t>137 строк реестра — это 137 практически различимых способов доступа, версий, свидетелей или инфраструктурных входов. После свёртки повторных изданий и репозиториев пакет охватывает примерно 70–75 именованных первичных произведений, корпусов, свидетелей и существенных текстов передачи. Число ссылок не выдается за число произведений.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  <w:shd w:fill="E9F2F5"/>
          </w:tcPr>
          <w:p>
            <w:r>
              <w:rPr>
                <w:rFonts w:ascii="Arial" w:hAnsi="Arial" w:eastAsia="Arial"/>
                <w:b/>
                <w:color w:val="123C4A"/>
                <w:sz w:val="17"/>
              </w:rPr>
              <w:t>ID и название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Arial" w:hAnsi="Arial" w:eastAsia="Arial"/>
                <w:sz w:val="17"/>
              </w:rPr>
              <w:t>A24 — Европа: ранняя греческая философия VI–V вв. до н.э.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  <w:shd w:fill="E9F2F5"/>
          </w:tcPr>
          <w:p>
            <w:r>
              <w:rPr>
                <w:rFonts w:ascii="Arial" w:hAnsi="Arial" w:eastAsia="Arial"/>
                <w:b/>
                <w:color w:val="123C4A"/>
                <w:sz w:val="17"/>
              </w:rPr>
              <w:t>Исходный статус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Arial" w:hAnsi="Arial" w:eastAsia="Arial"/>
                <w:sz w:val="17"/>
              </w:rPr>
              <w:t>A; уверенность 5. ID, статус и исторические границы не изменялись.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  <w:shd w:fill="E9F2F5"/>
          </w:tcPr>
          <w:p>
            <w:r>
              <w:rPr>
                <w:rFonts w:ascii="Arial" w:hAnsi="Arial" w:eastAsia="Arial"/>
                <w:b/>
                <w:color w:val="123C4A"/>
                <w:sz w:val="17"/>
              </w:rPr>
              <w:t>Историческое ядро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Arial" w:hAnsi="Arial" w:eastAsia="Arial"/>
                <w:sz w:val="17"/>
              </w:rPr>
              <w:t>Формирование c. 600–350 до н.э.; письменная фиксация преимущественно VI–IV вв. до н.э.; канонизация и комментарий — от IV–III вв. до н.э. до поздней античности.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  <w:shd w:fill="E9F2F5"/>
          </w:tcPr>
          <w:p>
            <w:r>
              <w:rPr>
                <w:rFonts w:ascii="Arial" w:hAnsi="Arial" w:eastAsia="Arial"/>
                <w:b/>
                <w:color w:val="123C4A"/>
                <w:sz w:val="17"/>
              </w:rPr>
              <w:t>Исходный DR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Arial" w:hAnsi="Arial" w:eastAsia="Arial"/>
                <w:sz w:val="17"/>
              </w:rPr>
              <w:t>ToS Deep Research_ A24 — Европа_ ранняя греческая философия VI–V вв. до н.э.(1).docx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  <w:shd w:fill="E9F2F5"/>
          </w:tcPr>
          <w:p>
            <w:r>
              <w:rPr>
                <w:rFonts w:ascii="Arial" w:hAnsi="Arial" w:eastAsia="Arial"/>
                <w:b/>
                <w:color w:val="123C4A"/>
                <w:sz w:val="17"/>
              </w:rPr>
              <w:t>Дата проверки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Arial" w:hAnsi="Arial" w:eastAsia="Arial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  <w:shd w:fill="E9F2F5"/>
          </w:tcPr>
          <w:p>
            <w:r>
              <w:rPr>
                <w:rFonts w:ascii="Arial" w:hAnsi="Arial" w:eastAsia="Arial"/>
                <w:b/>
                <w:color w:val="123C4A"/>
                <w:sz w:val="17"/>
              </w:rPr>
              <w:t>Языки поиска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Arial" w:hAnsi="Arial" w:eastAsia="Arial"/>
                <w:sz w:val="17"/>
              </w:rPr>
              <w:t>Русский, английский, немецкий, французский, древнегреческий и латинский; использовались оригинальные заглавия, транслитерации, CTS URN, DCLP/TM, shelfmark, ISBN и библиотечные идентификаторы.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  <w:shd w:fill="E9F2F5"/>
          </w:tcPr>
          <w:p>
            <w:r>
              <w:rPr>
                <w:rFonts w:ascii="Arial" w:hAnsi="Arial" w:eastAsia="Arial"/>
                <w:b/>
                <w:color w:val="123C4A"/>
                <w:sz w:val="17"/>
              </w:rPr>
              <w:t>Ядро корпуса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Arial" w:hAnsi="Arial" w:eastAsia="Arial"/>
                <w:sz w:val="17"/>
              </w:rPr>
              <w:t>Милетцы; Ксенофан; Гераклит; Парменид и элеаты; ранняя пифагорейская/филолаевская линия; Эмпедокл; Анаксагор; атомисты; софисты; философски значимые пересечения с Corpus Hippocraticum; Дервени и Страсбургский папирус Эмпедокла.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  <w:shd w:fill="E9F2F5"/>
          </w:tcPr>
          <w:p>
            <w:r>
              <w:rPr>
                <w:rFonts w:ascii="Arial" w:hAnsi="Arial" w:eastAsia="Arial"/>
                <w:b/>
                <w:color w:val="123C4A"/>
                <w:sz w:val="17"/>
              </w:rPr>
              <w:t>Искомые объекты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Arial" w:hAnsi="Arial" w:eastAsia="Arial"/>
                <w:sz w:val="17"/>
              </w:rPr>
              <w:t>Произведения и корпусы; физические свидетели; старые и современные издания/переводы; цифровые тексты и факсимиле; datasets/API; каталоги и инфраструктура; тексты передачи, комментария и рецепции.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  <w:shd w:fill="E9F2F5"/>
          </w:tcPr>
          <w:p>
            <w:r>
              <w:rPr>
                <w:rFonts w:ascii="Arial" w:hAnsi="Arial" w:eastAsia="Arial"/>
                <w:b/>
                <w:color w:val="123C4A"/>
                <w:sz w:val="17"/>
              </w:rPr>
              <w:t>Итоговая таблица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Arial" w:hAnsi="Arial" w:eastAsia="Arial"/>
                <w:sz w:val="17"/>
              </w:rPr>
              <w:t>ToS_Corpus_Rights_A24_registry.xlsx: листы registry и gaps.</w:t>
            </w:r>
          </w:p>
        </w:tc>
      </w:tr>
    </w:tbl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A24 рассматривается как fragmenta/testimonia-экосистема. Поэтому «полный доступ» оценивался не по древнему замыслу утраченной книги, а по реально сохранившемуся слою конкретного издания, папируса, цитаты или позднего свидетеля. Именно это предотвращает ложное превращение нескольких фрагментов в полностью дошедшую систему.</w:t>
      </w:r>
    </w:p>
    <w:p>
      <w:pPr>
        <w:pStyle w:val="Heading2"/>
        <w:keepNext/>
        <w:spacing w:before="140" w:after="80"/>
      </w:pPr>
      <w:r>
        <w:t>1.1. Классы доказательств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160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Роль источника</w:t>
            </w:r>
          </w:p>
        </w:tc>
        <w:tc>
          <w:tcPr>
            <w:tcW w:type="dxa" w:w="3671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использовалось</w:t>
            </w:r>
          </w:p>
        </w:tc>
        <w:tc>
          <w:tcPr>
            <w:tcW w:type="dxa" w:w="3960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Как применялось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Access source</w:t>
            </w:r>
          </w:p>
        </w:tc>
        <w:tc>
          <w:tcPr>
            <w:tcW w:type="dxa" w:w="367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Item-level страницы Project Gutenberg, Wellcome, Internet Archive, HathiTrust, Scaife, Papyri.info/DCLP, Loeb, издательств и библиотек.</w:t>
            </w:r>
          </w:p>
        </w:tc>
        <w:tc>
          <w:tcPr>
            <w:tcW w:type="dxa" w:w="396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Подтверждение чтения, скачивания, выдачи, preview, покупки или metadata-only режима.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Bibliographic evidence</w:t>
            </w:r>
          </w:p>
        </w:tc>
        <w:tc>
          <w:tcPr>
            <w:tcW w:type="dxa" w:w="367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Титульные данные из библиотечных каталогов, CTS URN, DCLP/TM, ISBN, LCCN, ARK, shelfmark, Loeb/LCL номера.</w:t>
            </w:r>
          </w:p>
        </w:tc>
        <w:tc>
          <w:tcPr>
            <w:tcW w:type="dxa" w:w="396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Идентификация произведения, редакции, языка, переводчика, физического свидетеля и объёма.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Rights evidence</w:t>
            </w:r>
          </w:p>
        </w:tc>
        <w:tc>
          <w:tcPr>
            <w:tcW w:type="dxa" w:w="367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Item-level Public Domain Mark, PG statement, repository LICENSE, HathiTrust policy, издательские условия, CHS/Olschki notice, UNESCO image credits.</w:t>
            </w:r>
          </w:p>
        </w:tc>
        <w:tc>
          <w:tcPr>
            <w:tcW w:type="dxa" w:w="396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Разделение прав на древний текст, современную редакцию/перевод, цифровой файл и платформу.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Secondary navigation</w:t>
            </w:r>
          </w:p>
        </w:tc>
        <w:tc>
          <w:tcPr>
            <w:tcW w:type="dxa" w:w="367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Сильные академические и каталоговые входы, только когда они необходимы для обнаружения корпуса.</w:t>
            </w:r>
          </w:p>
        </w:tc>
        <w:tc>
          <w:tcPr>
            <w:tcW w:type="dxa" w:w="396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Не использовались как замена item-level доступа или доказательства прав.</w:t>
            </w:r>
          </w:p>
        </w:tc>
      </w:tr>
    </w:tbl>
    <w:p>
      <w:pPr>
        <w:pStyle w:val="Heading2"/>
        <w:keepNext/>
        <w:spacing w:before="140" w:after="80"/>
      </w:pPr>
      <w:r>
        <w:t>1.2. Слабые источники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Wikipedia, блоги, общие агрегаторы, SEO-страницы и поисковые сниппеты не использованы в итоговом XLSX/DOCX как landing_url, rights_evidence_url или основание историко-правового вывода. Слабые находки либо были подтверждены институциональной страницей, либо оставлены вне registry. В gaps специально зафиксирована группа неавторизованных зеркал современных DK, Laks–Most, Лебедева и иных переводов.</w:t>
      </w:r>
    </w:p>
    <w:p>
      <w:pPr>
        <w:pStyle w:val="Heading2"/>
        <w:keepNext/>
        <w:spacing w:before="140" w:after="80"/>
      </w:pPr>
      <w:r>
        <w:t>1.3. Официальные правовые опоры</w:t>
      </w:r>
    </w:p>
    <w:p>
      <w:pPr>
        <w:widowControl/>
        <w:spacing w:after="40" w:line="247" w:lineRule="auto"/>
      </w:pPr>
      <w:r>
        <w:rPr>
          <w:rFonts w:ascii="Arial" w:hAnsi="Arial" w:eastAsia="Arial"/>
          <w:sz w:val="18"/>
        </w:rPr>
        <w:t xml:space="preserve">• </w:t>
      </w:r>
      <w:hyperlink r:id="rId11">
        <w:r>
          <w:rPr>
            <w:rFonts w:ascii="Arial" w:hAnsi="Arial" w:eastAsia="Arial"/>
            <w:color w:val="0563C1"/>
            <w:u w:val="single"/>
          </w:rPr>
          <w:t>Project Gutenberg — item-level public-domain statements and licence</w:t>
        </w:r>
      </w:hyperlink>
      <w:r>
        <w:rPr>
          <w:rFonts w:ascii="Arial" w:hAnsi="Arial" w:eastAsia="Arial"/>
          <w:sz w:val="18"/>
        </w:rPr>
        <w:t xml:space="preserve"> — свобода исходного текста в США отделена от товарного знака и PG-пакета.</w:t>
      </w:r>
    </w:p>
    <w:p>
      <w:pPr>
        <w:widowControl/>
        <w:spacing w:after="40" w:line="247" w:lineRule="auto"/>
      </w:pPr>
      <w:r>
        <w:rPr>
          <w:rFonts w:ascii="Arial" w:hAnsi="Arial" w:eastAsia="Arial"/>
          <w:sz w:val="18"/>
        </w:rPr>
        <w:t xml:space="preserve">• </w:t>
      </w:r>
      <w:hyperlink r:id="rId12">
        <w:r>
          <w:rPr>
            <w:rFonts w:ascii="Arial" w:hAnsi="Arial" w:eastAsia="Arial"/>
            <w:color w:val="0563C1"/>
            <w:u w:val="single"/>
          </w:rPr>
          <w:t>HathiTrust Access &amp; Use Policy</w:t>
        </w:r>
      </w:hyperlink>
      <w:r>
        <w:rPr>
          <w:rFonts w:ascii="Arial" w:hAnsi="Arial" w:eastAsia="Arial"/>
          <w:sz w:val="18"/>
        </w:rPr>
        <w:t xml:space="preserve"> — per-volume rights; отдельная оговорка о Google-digitized images/OCR.</w:t>
      </w:r>
    </w:p>
    <w:p>
      <w:pPr>
        <w:widowControl/>
        <w:spacing w:after="40" w:line="247" w:lineRule="auto"/>
      </w:pPr>
      <w:r>
        <w:rPr>
          <w:rFonts w:ascii="Arial" w:hAnsi="Arial" w:eastAsia="Arial"/>
          <w:sz w:val="18"/>
        </w:rPr>
        <w:t xml:space="preserve">• </w:t>
      </w:r>
      <w:hyperlink r:id="rId13">
        <w:r>
          <w:rPr>
            <w:rFonts w:ascii="Arial" w:hAnsi="Arial" w:eastAsia="Arial"/>
            <w:color w:val="0563C1"/>
            <w:u w:val="single"/>
          </w:rPr>
          <w:t>First1KGreek licence</w:t>
        </w:r>
      </w:hyperlink>
      <w:r>
        <w:rPr>
          <w:rFonts w:ascii="Arial" w:hAnsi="Arial" w:eastAsia="Arial"/>
          <w:sz w:val="18"/>
        </w:rPr>
        <w:t xml:space="preserve"> — CC BY-SA 4.0 для XML-корпуса в репозитории.</w:t>
      </w:r>
    </w:p>
    <w:p>
      <w:pPr>
        <w:widowControl/>
        <w:spacing w:after="40" w:line="247" w:lineRule="auto"/>
      </w:pPr>
      <w:r>
        <w:rPr>
          <w:rFonts w:ascii="Arial" w:hAnsi="Arial" w:eastAsia="Arial"/>
          <w:sz w:val="18"/>
        </w:rPr>
        <w:t xml:space="preserve">• </w:t>
      </w:r>
      <w:hyperlink r:id="rId14">
        <w:r>
          <w:rPr>
            <w:rFonts w:ascii="Arial" w:hAnsi="Arial" w:eastAsia="Arial"/>
            <w:color w:val="0563C1"/>
            <w:u w:val="single"/>
          </w:rPr>
          <w:t>Papyri.info / idp.data repository</w:t>
        </w:r>
      </w:hyperlink>
      <w:r>
        <w:rPr>
          <w:rFonts w:ascii="Arial" w:hAnsi="Arial" w:eastAsia="Arial"/>
          <w:sz w:val="18"/>
        </w:rPr>
        <w:t xml:space="preserve"> — CC BY 3.0 для EpiDoc data соответствующих проектов; не для внешних фотографий.</w:t>
      </w:r>
    </w:p>
    <w:p>
      <w:pPr>
        <w:widowControl/>
        <w:spacing w:after="40" w:line="247" w:lineRule="auto"/>
      </w:pPr>
      <w:r>
        <w:rPr>
          <w:rFonts w:ascii="Arial" w:hAnsi="Arial" w:eastAsia="Arial"/>
          <w:sz w:val="18"/>
        </w:rPr>
        <w:t xml:space="preserve">• </w:t>
      </w:r>
      <w:hyperlink r:id="rId15">
        <w:r>
          <w:rPr>
            <w:rFonts w:ascii="Arial" w:hAnsi="Arial" w:eastAsia="Arial"/>
            <w:color w:val="0563C1"/>
            <w:u w:val="single"/>
          </w:rPr>
          <w:t>Wellcome: Littré’s Œuvres complètes d’Hippocrate</w:t>
        </w:r>
      </w:hyperlink>
      <w:r>
        <w:rPr>
          <w:rFonts w:ascii="Arial" w:hAnsi="Arial" w:eastAsia="Arial"/>
          <w:sz w:val="18"/>
        </w:rPr>
        <w:t xml:space="preserve"> — item-level Public Domain Mark и семь доступных онлайн-томов.</w:t>
      </w:r>
    </w:p>
    <w:p>
      <w:pPr>
        <w:widowControl/>
        <w:spacing w:after="40" w:line="247" w:lineRule="auto"/>
      </w:pPr>
      <w:r>
        <w:rPr>
          <w:rFonts w:ascii="Arial" w:hAnsi="Arial" w:eastAsia="Arial"/>
          <w:sz w:val="18"/>
        </w:rPr>
        <w:t xml:space="preserve">• </w:t>
      </w:r>
      <w:hyperlink r:id="rId16">
        <w:r>
          <w:rPr>
            <w:rFonts w:ascii="Arial" w:hAnsi="Arial" w:eastAsia="Arial"/>
            <w:color w:val="0563C1"/>
            <w:u w:val="single"/>
          </w:rPr>
          <w:t>CHS introduction to the Derveni Papyrus</w:t>
        </w:r>
      </w:hyperlink>
      <w:r>
        <w:rPr>
          <w:rFonts w:ascii="Arial" w:hAnsi="Arial" w:eastAsia="Arial"/>
          <w:sz w:val="18"/>
        </w:rPr>
        <w:t xml:space="preserve"> — доступный текст воспроизводит защищённое издание 2006 г. © Olschki.</w:t>
      </w:r>
    </w:p>
    <w:p>
      <w:pPr>
        <w:widowControl/>
        <w:spacing w:after="40" w:line="247" w:lineRule="auto"/>
      </w:pPr>
      <w:r>
        <w:rPr>
          <w:rFonts w:ascii="Arial" w:hAnsi="Arial" w:eastAsia="Arial"/>
          <w:sz w:val="18"/>
        </w:rPr>
        <w:t xml:space="preserve">• </w:t>
      </w:r>
      <w:hyperlink r:id="rId17">
        <w:r>
          <w:rPr>
            <w:rFonts w:ascii="Arial" w:hAnsi="Arial" w:eastAsia="Arial"/>
            <w:color w:val="0563C1"/>
            <w:u w:val="single"/>
          </w:rPr>
          <w:t>UNESCO Memory of the World: Derveni Papyrus</w:t>
        </w:r>
      </w:hyperlink>
      <w:r>
        <w:rPr>
          <w:rFonts w:ascii="Arial" w:hAnsi="Arial" w:eastAsia="Arial"/>
          <w:sz w:val="18"/>
        </w:rPr>
        <w:t xml:space="preserve"> — официальная идентификация и раздельные copyright credits для фотографий.</w:t>
      </w:r>
    </w:p>
    <w:p>
      <w:pPr>
        <w:pStyle w:val="Heading1"/>
        <w:keepNext/>
        <w:spacing w:before="200" w:after="80"/>
      </w:pPr>
      <w:r>
        <w:t>2. Охват корпуса</w:t>
      </w:r>
    </w:p>
    <w:p>
      <w:pPr>
        <w:pStyle w:val="Heading2"/>
        <w:keepNext/>
        <w:spacing w:before="140" w:after="80"/>
      </w:pPr>
      <w:r>
        <w:t>2.1. Центральные произведения и корпусные семьи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Из исходного DR полностью удержаны все двенадцать крупных якорей: милетские фрагменты; Ксенофан; книга Гераклита; поэма Парменида; аргументы Зенона; раннепифагорейский и филолаевский материал; поэмы Эмпедокла; фрагменты Анаксагора; Левкипп/Демокрит; софистический корпус; философски релевантная часть Corpus Hippocraticum; Дервени и Страсбургский папирус Эмпедокла. Для каждого ядра найден хотя бы один законный доступ или явно описан предел сохранности.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28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Кластер</w:t>
            </w:r>
          </w:p>
        </w:tc>
        <w:tc>
          <w:tcPr>
            <w:tcW w:type="dxa" w:w="4752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реально покрыто</w:t>
            </w:r>
          </w:p>
        </w:tc>
        <w:tc>
          <w:tcPr>
            <w:tcW w:type="dxa" w:w="3311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Характер сохранности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Милетцы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Фалес, Анаксимандр, Анаксимен через Fairbanks, ранние Diels/DK и LM II.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Полные книги утрачены; доступ только к testimonia и редким фрагментам.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Ксенофан и Гераклит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Fairbanks; Karsten; Bywater; Patrick; LM III.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Несколько свободных старых греческих изданий, но ни полного авторского корпуса, ни исходного порядка книги.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Элеаты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Парменид, Зенон и Мелисс; Fairbanks/Karsten; современный Coxon/McKirahan по выдаче; Платон, Аристотель, Симпликий, Прокл.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Фрагменты плюс мощная поздняя рецепция и комментаторское сохранение.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Пифагорейцы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Пифагор/акусмы, Филолай, Алкмеон; Fairbanks/Burnet; LM IV–V.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Авторство и подлинность неравномерны; отдельные поздние testimonia нельзя превращать в ранний канон.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Плюралисты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Эмпедокл, Анаксагор, Архелай, Диоген Аполлонийский; старые издания, LM V–VI, папирусные записи.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Фрагментарный текст уточняется материальными свидетелями и поздними цитатами.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Атомисты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Левкипп, Демокрит; Burnet, Diels, Natorp, LM VII; позднее Lucretius.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Физика, эпистемология и этика сохранены неравномерно; часть атрибуций спорна.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Софисты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Протагор, Горгий, Продик, Фрасимах, Гиппий, Антифонт, Ликофрон, Ксениад, Anonymous Iamblichus, Dissoi Logoi.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Основные произведения большей частью утрачены; важны Платон, Секст и поздняя рукописная передача.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Гиппократики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Corpus-level Adams/Littré; On Ancient Medicine, Airs Waters Places, Sacred Disease, Prognostic и другие тракты.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Сравнительно крупный корпус; древность не отменяет защищённость современных Loeb-редакций.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Папирусы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Derveni; P. Strasb. gr. 1665–1666; P.Oxy. 7.1012; Plato Parmenides palimpsest as reception witness.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Single-witness/fragment coverage; транскрипция и фотография имеют разные права.</w:t>
            </w:r>
          </w:p>
        </w:tc>
      </w:tr>
    </w:tbl>
    <w:p>
      <w:pPr>
        <w:pStyle w:val="Heading2"/>
        <w:keepNext/>
        <w:spacing w:before="140" w:after="80"/>
      </w:pPr>
      <w:r>
        <w:t>2.2. Что добавлено сверх исходного DR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Веб-поиск расширил карту не тематическими аналогиями, а конкретными корпусными, редакционными и трансмиссионными связями. Добавлены ранние свободные издания Mullach, Karsten, Bywater, Patrick, Leonard, Natorp, Stratton, Doxographi Graeci и Littré; современные защищённые Laks–Most, Graham, Kirk–Raven–Schofield, McKirahan, Loeb Hippocrates и Mansfeld–Runia; русские пути Лебедева и Маковельского; машиночитаемые First1KGreek и Papyri.info/idp.data.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Это расширение особенно важно для ToS: один и тот же древний фрагмент может иметь одновременно свободный старый греческий слой, современную защищённую критическую редакцию, открытый XML, закрытые музейные фотографии и бесплатный read-only интерфейс. Registry разводит эти способы доступа по отдельным строкам.</w:t>
      </w:r>
    </w:p>
    <w:p>
      <w:pPr>
        <w:pStyle w:val="Heading2"/>
        <w:keepNext/>
        <w:spacing w:before="140" w:after="80"/>
      </w:pPr>
      <w:r>
        <w:t>2.3. Поиск назад во времени: antecedent-объекты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448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6336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Конкретная связь с A24</w:t>
            </w:r>
          </w:p>
        </w:tc>
        <w:tc>
          <w:tcPr>
            <w:tcW w:type="dxa" w:w="1296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Роль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DE9FE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Hesiod, Theogony</w:t>
            </w:r>
          </w:p>
        </w:tc>
        <w:tc>
          <w:tcPr>
            <w:tcW w:type="dxa" w:w="633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Дает космогонический словарь, генеалогию божественного порядка и поэтическую форму, которые ранние философы перерабатывают или критикуют.</w:t>
            </w:r>
          </w:p>
        </w:tc>
        <w:tc>
          <w:tcPr>
            <w:tcW w:type="dxa" w:w="12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antecedent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DE9FE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Iliad / Odyssey</w:t>
            </w:r>
          </w:p>
        </w:tc>
        <w:tc>
          <w:tcPr>
            <w:tcW w:type="dxa" w:w="633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Поэтическая публичная память, язык богов, судьбы, души и меры; у Ксенофана становится предметом прямой критики.</w:t>
            </w:r>
          </w:p>
        </w:tc>
        <w:tc>
          <w:tcPr>
            <w:tcW w:type="dxa" w:w="12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antecedent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DE9FE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Homeric Hymns</w:t>
            </w:r>
          </w:p>
        </w:tc>
        <w:tc>
          <w:tcPr>
            <w:tcW w:type="dxa" w:w="633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Гимническая и откровенная форма, значимая для философской поэмы Парменида, Эмпедокла и орфического слоя.</w:t>
            </w:r>
          </w:p>
        </w:tc>
        <w:tc>
          <w:tcPr>
            <w:tcW w:type="dxa" w:w="12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antecedent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DE9FE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Pherecydes of Syros</w:t>
            </w:r>
          </w:p>
        </w:tc>
        <w:tc>
          <w:tcPr>
            <w:tcW w:type="dxa" w:w="633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Архаическая прозаико-космологическая переходная фигура, помещённая LM в блок beginnings/Early Ionians.</w:t>
            </w:r>
          </w:p>
        </w:tc>
        <w:tc>
          <w:tcPr>
            <w:tcW w:type="dxa" w:w="12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antecedent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DE9FE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Orphic poem in P.Derveni</w:t>
            </w:r>
          </w:p>
        </w:tc>
        <w:tc>
          <w:tcPr>
            <w:tcW w:type="dxa" w:w="633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Более ранний теогонический текст непосредственно цитируется и аллегорически комментируется Дервени-автором.</w:t>
            </w:r>
          </w:p>
        </w:tc>
        <w:tc>
          <w:tcPr>
            <w:tcW w:type="dxa" w:w="12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antecedent</w:t>
            </w:r>
          </w:p>
        </w:tc>
      </w:tr>
    </w:tbl>
    <w:p>
      <w:pPr>
        <w:pStyle w:val="Heading2"/>
        <w:keepNext/>
        <w:spacing w:before="140" w:after="80"/>
      </w:pPr>
      <w:r>
        <w:t>2.4. Поиск вперёд: передача, продолжение и рецепция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Поздние объекты включены только при документируемой функции: они цитируют ранних авторов, сохраняют утраченные формулировки, классифицируют мнения, продолжают конкретную школу либо превращают ранний материал в комментируемый канон.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015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Линия</w:t>
            </w:r>
          </w:p>
        </w:tc>
        <w:tc>
          <w:tcPr>
            <w:tcW w:type="dxa" w:w="3744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Ключевые объекты</w:t>
            </w:r>
          </w:p>
        </w:tc>
        <w:tc>
          <w:tcPr>
            <w:tcW w:type="dxa" w:w="4320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Почему относится к A24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Афинская рецепция</w:t>
            </w:r>
          </w:p>
        </w:tc>
        <w:tc>
          <w:tcPr>
            <w:tcW w:type="dxa" w:w="37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Plato: Parmenides, Sophist, Protagoras, Gorgias; Aristotle: Physics, Metaphysics, De anima, Generation and Corruption.</w:t>
            </w:r>
          </w:p>
        </w:tc>
        <w:tc>
          <w:tcPr>
            <w:tcW w:type="dxa" w:w="432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Прямые testimonia, критика и канонизация ранних философов и софистов.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Перипатетическая доксография</w:t>
            </w:r>
          </w:p>
        </w:tc>
        <w:tc>
          <w:tcPr>
            <w:tcW w:type="dxa" w:w="37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Theophrastus, De sensibus; Aëtius/Placita; Doxographi Graeci.</w:t>
            </w:r>
          </w:p>
        </w:tc>
        <w:tc>
          <w:tcPr>
            <w:tcW w:type="dxa" w:w="432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Систематизация мнений и главный посредник к утраченной Physikai doxai.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Позднеантичное сохранение</w:t>
            </w:r>
          </w:p>
        </w:tc>
        <w:tc>
          <w:tcPr>
            <w:tcW w:type="dxa" w:w="37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Diogenes Laertius, Sextus, Hippolytus, Clement, Plutarch, Stobaeus.</w:t>
            </w:r>
          </w:p>
        </w:tc>
        <w:tc>
          <w:tcPr>
            <w:tcW w:type="dxa" w:w="432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Цитаты, биографии, доксография, антологии и полемики.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Комментарий</w:t>
            </w:r>
          </w:p>
        </w:tc>
        <w:tc>
          <w:tcPr>
            <w:tcW w:type="dxa" w:w="37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Simplicius on Physics/De anima; Proclus on Plato’s Parmenides.</w:t>
            </w:r>
          </w:p>
        </w:tc>
        <w:tc>
          <w:tcPr>
            <w:tcW w:type="dxa" w:w="432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Verbatim fragments и поздняя герменевтическая переработка элеатской/физической традиции.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Продолжения</w:t>
            </w:r>
          </w:p>
        </w:tc>
        <w:tc>
          <w:tcPr>
            <w:tcW w:type="dxa" w:w="37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Lucretius, De rerum natura; Galenic corpus.</w:t>
            </w:r>
          </w:p>
        </w:tc>
        <w:tc>
          <w:tcPr>
            <w:tcW w:type="dxa" w:w="432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Латинская атомистическая передача и философско-медицинское продолжение Hippocratic/presocratic debates.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Модерная рецепция</w:t>
            </w:r>
          </w:p>
        </w:tc>
        <w:tc>
          <w:tcPr>
            <w:tcW w:type="dxa" w:w="37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Nietzsche, Philosophy in the Tragic Age of the Greeks.</w:t>
            </w:r>
          </w:p>
        </w:tc>
        <w:tc>
          <w:tcPr>
            <w:tcW w:type="dxa" w:w="432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Прямое переосмысление нескольких основных фигур A24; включено как reception, не как доказательство древних текстов.</w:t>
            </w:r>
          </w:p>
        </w:tc>
      </w:tr>
    </w:tbl>
    <w:p>
      <w:pPr>
        <w:pStyle w:val="Heading2"/>
        <w:keepNext/>
        <w:spacing w:before="140" w:after="80"/>
      </w:pPr>
      <w:r>
        <w:t>2.5. Количественный охват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888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1007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Строк</w:t>
            </w:r>
          </w:p>
        </w:tc>
        <w:tc>
          <w:tcPr>
            <w:tcW w:type="dxa" w:w="4896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core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43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Центральные произведения, свидетели и доступы.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same_corpus_or_tradition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Прямые члены тех же школ/жанровых семей.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antecedent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Ранние входящие источники.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continuation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Поздние продолжения той же линии.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commentary_or_reception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Комментарии, полемика и рецепция.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transmission_or_preservation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Цитаторы, доксография, антологии, папирусная передача.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supporting / boundary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Рабочие вспомогательные и пограничные объекты.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infrastructure / secondary_navigation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Корпусы, каталоги, datasets, библиографические входы.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9F2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23C4A"/>
                <w:sz w:val="19"/>
              </w:rPr>
              <w:t>Неаддитивные режимы доступа</w:t>
            </w:r>
          </w:p>
          <w:p>
            <w:pPr>
              <w:widowControl/>
              <w:spacing w:after="0" w:line="252" w:lineRule="auto"/>
            </w:pPr>
            <w:r>
              <w:rPr>
                <w:rFonts w:ascii="Arial" w:hAnsi="Arial" w:eastAsia="Arial"/>
                <w:sz w:val="18"/>
              </w:rPr>
              <w:t>Из 137 access-records: 91 помечены free_full_read, 58 — free_download, 5 — library_borrow, 30 — institutional_access, 27 — preview_or_snippet, 31 — purchase. Эти числа пересекаются: одна строка может одновременно разрешать чтение и скачивание либо preview и покупку.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935" w:right="992" w:bottom="879" w:left="992" w:header="397" w:footer="397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t>3. Лучшие пути доступа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Ниже выбраны не все строки registry, а наиболее практичные сочетания чтения, скачивания, оригинального текста, современного научного уровня и машиночитаемости. Record ID позволяет перейти к полной правовой карточке в XLSX.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1944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Объект / группа</w:t>
            </w:r>
          </w:p>
        </w:tc>
        <w:tc>
          <w:tcPr>
            <w:tcW w:type="dxa" w:w="3528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Лучшее бесплатное чтение / скачивание</w:t>
            </w:r>
          </w:p>
        </w:tc>
        <w:tc>
          <w:tcPr>
            <w:tcW w:type="dxa" w:w="3240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Оригинал / факсимиле</w:t>
            </w:r>
          </w:p>
        </w:tc>
        <w:tc>
          <w:tcPr>
            <w:tcW w:type="dxa" w:w="3240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Современный научный вариант</w:t>
            </w:r>
          </w:p>
        </w:tc>
        <w:tc>
          <w:tcPr>
            <w:tcW w:type="dxa" w:w="3168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Machine-readable / наиболее свободный слой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4"/>
              </w:rPr>
              <w:t>Общий fragment/testimonia corpus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A24-R013 Fairbanks (PG); A24-R005 DK/Hathi; Doxographi IA. Transmitters: Scaife Aristotle/Plato/Diogenes/Sextus; IA Simplicius/Stobaeus/Proclus.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Fairbanks + old Diels/Mullach Greek; Hathi platform caveat. IA CAG/Stobaeus/Proclus old Greek/Latin.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A24-R021–R029 LM, 9 vols.; Graham CUP/loan; A24-R133 modern Aëtius/Placita (protected).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A24-R016 First1KGreek CC BY-SA; Doxographi open but old; modern Aëtiana protected.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Милетцы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A24-R043, A24-R044, A24-R045 — лучший свободный единый вход.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Греческие testimonia в Fairbanks/DK; complete ancient books do not survive.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LM II (LCL525) — лучший современный свод beginnings/Ionians.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OWN_TRANSLATION_POSSIBLE только для реально напечатанных фрагментов/testimonia.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Ксенофан / Гераклит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A24-R046, A24-R048; отдельные Karsten, Bywater, Patrick.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Bywater 1877 имеет item-level PDM; Karsten и Patrick — public-domain old editions.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LM III (LCL526).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Старые порядки фрагментов требуют DK/LM concordance; свободный текст ≠ восстановленная целая книга.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Парменид / Зенон / Мелисс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A24-R051, A24-R054, A24-R055; Karsten Greek/Latin.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A24-R121 Maguire 1882 Greek Plato Parmenides; Simplicius and Proclus old editions.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A24-R053 Coxon/McKirahan by controlled loan; LM V.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Лучший clean ancient-poem base — public-domain Greek fragment editions, collated against protected modern scholarship.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Пифагорейская линия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A24-R056; A24-R057; Alcmaeon boundary record.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Fairbanks/Burnet supply only selected ancient passages; attribution is uneven.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LM IV–V.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Для Philolaus всё ещё нужен open item-level modern Greek critical text.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Эмпедокл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A24-R059; Karsten; Leonard old English translation.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A24-R086 Strasbourg EpiDoc XML CC BY 3.0 — лучший machine-readable single-witness route.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LM V; Martin–Primavesi editio princeps (preview/purchase).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DCLP licence covers transcription/metadata, not BNU images; own translation limited to surviving papyrus text.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Анаксагор и поздняя ионийская линия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A24-R062; Schaubach/Schorn public-domain Greek editions; Burnet for Diogenes.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A24-R081 P.Oxy. 7.1012 / DCLP 64229, CC BY 3.0 transcription.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LM VI.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Best open path combines old Greek editions with DCLP fragment; modern reconstruction remains protected.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Атомисты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A24-R067; A24-R068; early Diels.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Natorp for ethical fragments; Diels/Burnet for wider Greek testimonia.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LM VII.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A24-R135 Lucretius is a concrete Latin continuation, not a substitute for Leucippus/Democritus.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Софисты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A24-R037 Older Sophists by loan; Plato Protagoras/Gorgias and Sextus for free reading.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No complete Protagoras books survive; Gorgias extant works need a licensed item-level Greek edition.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LM VIII–IX; Glasgow institutional thesis for Gorgias research.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Modern translations are link/borrow/purchase; ancient quoted text must be traced to its edition.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Corpus Hippocraticum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A24-R089 Adams PG; Hathi/NLM; Scaife treatates.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A24-R093 Littré Greek/French, item-level PDM; 7 online vols.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Loeb Hippocrates LCL147–149 (2022–2025).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Littré is the strongest broad public-domain Greek base; modern Loeb is protected and cannot be mirrored.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Airs, Waters, Places / Sacred Disease / Ancient Medicine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A24-R096 complete polyglot PDM item; Scaife free readers for all three.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Wellcome direct PDF for Airs; Greek Scaife/First1K provenance for Sacred Disease.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Loeb updated volumes.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Airs Wellcome permits broad reuse; Scaife pages require edition-level rights tracing.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5"/>
              </w:rPr>
              <w:t>Derveni Papyrus</w:t>
            </w:r>
          </w:p>
        </w:tc>
        <w:tc>
          <w:tcPr>
            <w:tcW w:type="dxa" w:w="35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A24-R082 CHS interactive Greek edition — best free reading.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UNESCO supplies authoritative metadata and selected images, but photographs are copyrighted.</w:t>
            </w:r>
          </w:p>
        </w:tc>
        <w:tc>
          <w:tcPr>
            <w:tcW w:type="dxa" w:w="3240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2006 Olschki edition displayed by CHS; best scholarly route, protected.</w:t>
            </w:r>
          </w:p>
        </w:tc>
        <w:tc>
          <w:tcPr>
            <w:tcW w:type="dxa" w:w="31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5"/>
              </w:rPr>
              <w:t>No clean open full facsimile or independent licensed diplomatic transcription found; link-only.</w:t>
            </w:r>
          </w:p>
        </w:tc>
      </w:tr>
    </w:tbl>
    <w:p>
      <w:pPr>
        <w:sectPr>
          <w:headerReference w:type="default" r:id="rId18"/>
          <w:footerReference w:type="default" r:id="rId19"/>
          <w:pgSz w:w="16838" w:h="11906" w:orient="landscape"/>
          <w:pgMar w:top="765" w:right="765" w:bottom="765" w:left="765" w:header="312" w:footer="312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t>4. Карта прав и практического использования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9F2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23C4A"/>
                <w:sz w:val="19"/>
              </w:rPr>
              <w:t>Главное ограничение интерпретации</w:t>
            </w:r>
          </w:p>
          <w:p>
            <w:pPr>
              <w:widowControl/>
              <w:spacing w:after="0" w:line="252" w:lineRule="auto"/>
            </w:pPr>
            <w:r>
              <w:rPr>
                <w:rFonts w:ascii="Arial" w:hAnsi="Arial" w:eastAsia="Arial"/>
                <w:sz w:val="18"/>
              </w:rPr>
              <w:t>Любой положительный tos_use-тег действует только в пределах rights_scope и coverage конкретной строки. MIRROR_OK для одного старого издания не означает право зеркалировать современный перевод; CC BY для EpiDoc-транскрипции не охватывает музейную фотографию; OWN_TRANSLATION_POSSIBLE для фрагмента не обещает перевод утраченной целой книги.</w:t>
            </w:r>
          </w:p>
        </w:tc>
      </w:tr>
    </w:tbl>
    <w:p>
      <w:pPr>
        <w:pStyle w:val="Heading2"/>
        <w:keepNext/>
        <w:spacing w:before="140" w:after="80"/>
      </w:pPr>
      <w:r>
        <w:t>4.1. Что потенциально можно зеркалировать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015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4752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Практическая рекомендация</w:t>
            </w:r>
          </w:p>
        </w:tc>
        <w:tc>
          <w:tcPr>
            <w:tcW w:type="dxa" w:w="3311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Ключевое условие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DCFCE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Project Gutenberg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Сохранять внешнюю ссылку; underlying public-domain text можно повторно использовать. PG-пакет — либо с полной лицензией, либо извлекать свободный текст без брендинга.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Статус заявлен для США; проверить страну публикации ToS и товарный знак.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DCFCE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Wellcome PDM items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Зеркалирование, OCR, индекс и embeddings допустимы для конкретного item; сохранять credit line и permanent link.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PDM — метка статуса, не лицензия; не переносить на материалы с отдельным credit.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DCFCE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IA item с явным PDM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Можно хранить и переиспользовать конкретный item; сохранять provenance.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Проверять item-level Usage, а не возраст книги вообще.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DCFCE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First1KGreek XML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Можно зеркалировать с атрибуцией; производный открытый корпус должен соблюдать ShareAlike.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CC BY-SA 4.0 действует на repository XML, не на внешние изображения.</w:t>
            </w:r>
          </w:p>
        </w:tc>
      </w:tr>
      <w:tr>
        <w:trPr>
          <w:cantSplit/>
        </w:trPr>
        <w:tc>
          <w:tcPr>
            <w:tcW w:type="dxa" w:w="20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DCFCE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Papyri.info/idp.data</w:t>
            </w:r>
          </w:p>
        </w:tc>
        <w:tc>
          <w:tcPr>
            <w:tcW w:type="dxa" w:w="475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Можно зеркалировать EpiDoc XML и строить поиск/embeddings с атрибуцией.</w:t>
            </w:r>
          </w:p>
        </w:tc>
        <w:tc>
          <w:tcPr>
            <w:tcW w:type="dxa" w:w="33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CC BY 3.0 не охватывает фотографии из сторонних коллекций.</w:t>
            </w:r>
          </w:p>
        </w:tc>
      </w:tr>
    </w:tbl>
    <w:p>
      <w:pPr>
        <w:pStyle w:val="Heading2"/>
        <w:keepNext/>
        <w:spacing w:before="140" w:after="80"/>
      </w:pPr>
      <w:r>
        <w:t>4.2. Что можно бесплатно читать или скачивать, но не считать автоматически зеркалируемым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К этой группе отнесены Scaife/Perseus, большинство старых IA-сканов без явного item-level PDM, NLM и отдельные HathiTrust volumes. Доступ законный, но цифровой файл, OCR, source edition и platform terms требуют раздельной проверки. Для ToS безопасная базовая стратегия — LINK_OK, локальная исследовательская копия в допустимом режиме, собственная транскрипция публичнодоменного греческого слоя и фиксация provenance.</w:t>
      </w:r>
    </w:p>
    <w:p>
      <w:pPr>
        <w:pStyle w:val="Heading2"/>
        <w:keepNext/>
        <w:spacing w:before="140" w:after="80"/>
      </w:pPr>
      <w:r>
        <w:t>4.3. Link-only, borrow, preview и purchase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088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4896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Типичные объекты</w:t>
            </w:r>
          </w:p>
        </w:tc>
        <w:tc>
          <w:tcPr>
            <w:tcW w:type="dxa" w:w="3096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ToS use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F3C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Institutional / purchase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Laks–Most, modern Loeb Hippocrates, Graham, KRS, McKirahan, modern Aëtius.</w:t>
            </w:r>
          </w:p>
        </w:tc>
        <w:tc>
          <w:tcPr>
            <w:tcW w:type="dxa" w:w="30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LINK_OK; PURCHASE; иногда PREVIEW_ONLY; PERMISSION_REQUIRED для копирования.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F3C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Controlled Digital Lending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Graham vols 1–2, Coxon/McKirahan Parmenides, McKirahan, Older Sophists.</w:t>
            </w:r>
          </w:p>
        </w:tc>
        <w:tc>
          <w:tcPr>
            <w:tcW w:type="dxa" w:w="30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LIBRARY_BORROW; не извлекать или индексировать полный зашифрованный экземпляр.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F3C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Read-only protected edition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CHS Derveni 2006 text.</w:t>
            </w:r>
          </w:p>
        </w:tc>
        <w:tc>
          <w:tcPr>
            <w:tcW w:type="dxa" w:w="30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FREE_READ; LINK_ONLY; permission required for reconstruction/apparatus.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F3C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Metadata / reading room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Lebedev 1989 at MMOMA; NEL Makovelsky records; Trismegistos.</w:t>
            </w:r>
          </w:p>
        </w:tc>
        <w:tc>
          <w:tcPr>
            <w:tcW w:type="dxa" w:w="30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METADATA_ONLY или institutional reading; no mirroring.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F3C7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Museum photographs</w:t>
            </w:r>
          </w:p>
        </w:tc>
        <w:tc>
          <w:tcPr>
            <w:tcW w:type="dxa" w:w="48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UNESCO/Museum Derveni images.</w:t>
            </w:r>
          </w:p>
        </w:tc>
        <w:tc>
          <w:tcPr>
            <w:tcW w:type="dxa" w:w="309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LINK_ONLY; explicit image permission required.</w:t>
            </w:r>
          </w:p>
        </w:tc>
      </w:tr>
    </w:tbl>
    <w:p>
      <w:pPr>
        <w:pStyle w:val="Heading2"/>
        <w:keepNext/>
        <w:spacing w:before="140" w:after="80"/>
      </w:pPr>
      <w:r>
        <w:t>4.4. Сводка tos_use-тегов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84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Тег</w:t>
            </w:r>
          </w:p>
        </w:tc>
        <w:tc>
          <w:tcPr>
            <w:tcW w:type="dxa" w:w="1007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Строк</w:t>
            </w:r>
          </w:p>
        </w:tc>
        <w:tc>
          <w:tcPr>
            <w:tcW w:type="dxa" w:w="5688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Как понимать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MIRROR_OK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27</w:t>
            </w:r>
          </w:p>
        </w:tc>
        <w:tc>
          <w:tcPr>
            <w:tcW w:type="dxa" w:w="56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Явно свободный/public-domain digital object или package with documented scope.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MIRROR_WITH_ATTRIBUTION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56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Открытая лицензия требует атрибуции; First1K also requires ShareAlike.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OCR_OK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57</w:t>
            </w:r>
          </w:p>
        </w:tc>
        <w:tc>
          <w:tcPr>
            <w:tcW w:type="dxa" w:w="56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OCR допустим в доказанном scope; не означает право на все изображения корпуса.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FULLTEXT_INDEX_OK / EMBEDDINGS_OK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63</w:t>
            </w:r>
          </w:p>
        </w:tc>
        <w:tc>
          <w:tcPr>
            <w:tcW w:type="dxa" w:w="56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Числа совпали; для открытого/PD текста и data, но не для protected modern translations.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OWN_TRANSLATION_POSSIBLE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53</w:t>
            </w:r>
          </w:p>
        </w:tc>
        <w:tc>
          <w:tcPr>
            <w:tcW w:type="dxa" w:w="56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Только там, где найдены Greek/Latin original, open transcription или historical facsimile; volume/fragment coverage retained.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LINK_ONLY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73</w:t>
            </w:r>
          </w:p>
        </w:tc>
        <w:tc>
          <w:tcPr>
            <w:tcW w:type="dxa" w:w="56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Законный доступ сохранён, даже когда копирование не доказано.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RIGHTS_REVIEW_REQUIRED</w:t>
            </w:r>
          </w:p>
        </w:tc>
        <w:tc>
          <w:tcPr>
            <w:tcW w:type="dxa" w:w="100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56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Смешанные права, юрисдикционная оговорка, platform terms или неполная item-level evidence.</w:t>
            </w:r>
          </w:p>
        </w:tc>
      </w:tr>
    </w:tbl>
    <w:p>
      <w:pPr>
        <w:pStyle w:val="Heading2"/>
        <w:keepNext/>
        <w:spacing w:before="140" w:after="80"/>
      </w:pPr>
      <w:r>
        <w:t>4.5. Собственный перевод ToS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Наиболее чистая основа найдена в четырёх слоях: (1) старые публичнодоменные греческие/латинские издания Fairbanks, Diels, Karsten, Bywater, Patrick, Schaubach/Schorn, Stratton, CAG и Cousin; (2) Wellcome PDM volumes Littré и complete Airs, Waters, Places; (3) открыто лицензированные XML/transcriptions First1KGreek и Papyri.info/idp.data; (4) отдельные public-domain facsimiles.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Тег не поставлен для Adams/Clifton/Coxe и иных English-only translations, для protected LM/Loeb/CUP/Hackett, для CHS Derveni reconstruction и для museum photographs. Где открыт только papyrus fragment, перевод возможен только для этого fragment. Где старый Greek text уступает modern critical edition, научная практика — переводить с open base, но постоянно сверять чтения с защищённой современной работой без копирования её перевода или аппарата.</w:t>
      </w:r>
    </w:p>
    <w:p>
      <w:pPr>
        <w:pStyle w:val="Heading1"/>
        <w:keepNext/>
        <w:spacing w:before="200" w:after="80"/>
      </w:pPr>
      <w:r>
        <w:t>5. Характерные правовые тонкости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951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Тонкость</w:t>
            </w:r>
          </w:p>
        </w:tc>
        <w:tc>
          <w:tcPr>
            <w:tcW w:type="dxa" w:w="7128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Практическое значение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Древний текст ≠ современная редакция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Парменид, Эмпедокл и Анаксагор свободны как древние авторы, но LM, Coxon, Martin–Primavesi и современный Loeb защищены.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Public Domain Mark ≠ лицензия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PDM используется как item-level declaration of status. Он не создаёт договорных условий и не устраняет необходимость проверить foreign jurisdiction/provenance.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Download ≠ republication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Кнопка PDF/EPUB на IA, HathiTrust, NLM или Scaife не доказывает право публичного зеркалирования. Registry сохраняет download и reuse separately.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HathiTrust/Google layer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Публичнодоменное содержание может быть транскрибировано, пересказано и переведено; Google-produced images/OCR не следует автоматически re-host.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PG text и PG package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Underlying public-domain text можно использовать; PG trademark, licence notice и distribution package имеют отдельные условия.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Open transcription ≠ open photograph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Papyri.info CC BY covers EpiDoc data. Фотографии Strasbourg/Derveni принадлежат музеям/библиотекам и требуют отдельного rights statement.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Реконструкция — самостоятельный слой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Derveni 2006, Aëtius/Aëtiana и Strasbourg editio princeps содержат современную реконструкцию и аппарат; древность папируса их не освобождает.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Фрагментарность ограничивает coverage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OWN_TRANSLATION_POSSIBLE для DCLP 59720 означает перевод сохранившегося папируса, а не всего Empedocles corpus.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Русские переводы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Маковельский и Лебедев не объявлены свободными по одной лишь дате издания. Право переводчика/редактора и режим НЭБ/библиотеки оцениваются отдельно.</w:t>
            </w:r>
          </w:p>
        </w:tc>
      </w:tr>
      <w:tr>
        <w:trPr>
          <w:cantSplit/>
        </w:trPr>
        <w:tc>
          <w:tcPr>
            <w:tcW w:type="dxa" w:w="29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3E8FF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Тексты-цитаторы не нейтральны</w:t>
            </w:r>
          </w:p>
        </w:tc>
        <w:tc>
          <w:tcPr>
            <w:tcW w:type="dxa" w:w="71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Аристотель, Симпликий, Секст и христианские авторы сохраняют material внутри собственной полемики; доступ к citation не устраняет историко-филологическую медиацию.</w:t>
            </w:r>
          </w:p>
        </w:tc>
      </w:tr>
    </w:tbl>
    <w:p>
      <w:pPr>
        <w:pStyle w:val="Heading1"/>
        <w:keepNext/>
        <w:spacing w:before="200" w:after="80"/>
      </w:pPr>
      <w:r>
        <w:t>6. Пробелы и дальнейший поиск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На лист gaps вынесено 16 записей. Это не общий список желаний, а объекты или правовые слои, непосредственно влияющие на completeness, original access, machine-readability или возможность ToS-перевода.</w:t>
      </w:r>
    </w:p>
    <w:p>
      <w:pPr>
        <w:pStyle w:val="Heading2"/>
        <w:keepNext/>
        <w:spacing w:before="140" w:after="80"/>
      </w:pPr>
      <w:r>
        <w:t>6.1. Главные пробелы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3456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Пробел</w:t>
            </w:r>
          </w:p>
        </w:tc>
        <w:tc>
          <w:tcPr>
            <w:tcW w:type="dxa" w:w="6623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Почему важен / что отсутствует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Утраченные книги милетцев и Протагора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Нельзя закрыть ссылкой: доступны только fragments/testimonia. Нужна жёсткая маркировка coverage.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Heraclitus order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Нет complete book/order; нужен DK–LM–Bywater–Patrick concordance.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Philolaus / Archytas / Hippo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Нужны item-level open critical texts и dedicated access records.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Derveni full facsimile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Не найден official open IIIF/full museum facsimile; UNESCO images copyrighted.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Derveni clean transcription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CHS reproduces protected 2006 Olschki edition; independent open diplomatic layer not established.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Strasbourg images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DCLP XML open, но BNU official facsimile/image rights не найдены.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Theophrastus Physikai doxai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Lost work; modern reconstructions protected; surviving witness layers must remain separate.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Stobaeus TEI/XML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Public-domain scans found, but complete openly licensed machine-readable corpus not confirmed.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Modern Simplicius translations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Old Greek CAG open; modern English ACA volumes need systematic borrow/purchase map.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EE2E2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Russian corpus</w:t>
            </w:r>
          </w:p>
        </w:tc>
        <w:tc>
          <w:tcPr>
            <w:tcW w:type="dxa" w:w="662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Authorized modern full-text translations scarce; unofficial mirrors excluded.</w:t>
            </w:r>
          </w:p>
        </w:tc>
      </w:tr>
    </w:tbl>
    <w:p>
      <w:pPr>
        <w:pStyle w:val="Heading2"/>
        <w:keepNext/>
        <w:spacing w:before="140" w:after="80"/>
      </w:pPr>
      <w:r>
        <w:t>6.2. Ссылки с ограниченной или нестабильной проверкой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Несколько официальных страниц не всегда отдавали полный HTML автоматическому клиенту: часть Loeb pages возвращала 403; отдельные Scaife pages и Trismegistos timed out; Papyri.info применял anti-bot challenge; НЭБ была нестабильна. Такие строки не объявлены «нерабочими»: в verification_status сохранено, что идентификатор или official URL подтверждён, но item page/rights require manual recheck. Поисковый сниппет не использован как доказательство состава или лицензии.</w:t>
      </w:r>
    </w:p>
    <w:p>
      <w:pPr>
        <w:pStyle w:val="Heading2"/>
        <w:keepNext/>
        <w:spacing w:before="140" w:after="80"/>
      </w:pPr>
      <w:r>
        <w:t>6.3. Targeted follow-up</w:t>
      </w:r>
    </w:p>
    <w:p>
      <w:pPr>
        <w:pStyle w:val="ListNumber"/>
        <w:widowControl/>
        <w:spacing w:after="40" w:line="250" w:lineRule="auto"/>
      </w:pPr>
      <w:r>
        <w:rPr>
          <w:rFonts w:ascii="Arial" w:hAnsi="Arial" w:eastAsia="Arial"/>
          <w:sz w:val="18"/>
        </w:rPr>
        <w:t>Derveni: поиск по Archaeological Museum of Thessaloniki, Greek Ministry of Culture, Europeana and IIIF manifests; запрос item-level image/reuse terms.</w:t>
      </w:r>
    </w:p>
    <w:p>
      <w:pPr>
        <w:pStyle w:val="ListNumber"/>
        <w:widowControl/>
        <w:spacing w:after="40" w:line="250" w:lineRule="auto"/>
      </w:pPr>
      <w:r>
        <w:rPr>
          <w:rFonts w:ascii="Arial" w:hAnsi="Arial" w:eastAsia="Arial"/>
          <w:sz w:val="18"/>
        </w:rPr>
        <w:t>Strasbourg Empedocles: BNU search by P. Strasb. gr. 1665–1666; найти IIIF/call number page and photography licence.</w:t>
      </w:r>
    </w:p>
    <w:p>
      <w:pPr>
        <w:pStyle w:val="ListNumber"/>
        <w:widowControl/>
        <w:spacing w:after="40" w:line="250" w:lineRule="auto"/>
      </w:pPr>
      <w:r>
        <w:rPr>
          <w:rFonts w:ascii="Arial" w:hAnsi="Arial" w:eastAsia="Arial"/>
          <w:sz w:val="18"/>
        </w:rPr>
        <w:t>DCLP/Trismegistos sweep: author-by-author query for Empedocles, Democritus, Heraclitus, Xenophanes, sophists; retain MP3/LDAB/TM identifiers.</w:t>
      </w:r>
    </w:p>
    <w:p>
      <w:pPr>
        <w:pStyle w:val="ListNumber"/>
        <w:widowControl/>
        <w:spacing w:after="40" w:line="250" w:lineRule="auto"/>
      </w:pPr>
      <w:r>
        <w:rPr>
          <w:rFonts w:ascii="Arial" w:hAnsi="Arial" w:eastAsia="Arial"/>
          <w:sz w:val="18"/>
        </w:rPr>
        <w:t>Build a DK ↔ LM ↔ old-edition concordance for every core author, separating text fragment, testimonium and imitation.</w:t>
      </w:r>
    </w:p>
    <w:p>
      <w:pPr>
        <w:pStyle w:val="ListNumber"/>
        <w:widowControl/>
        <w:spacing w:after="40" w:line="250" w:lineRule="auto"/>
      </w:pPr>
      <w:r>
        <w:rPr>
          <w:rFonts w:ascii="Arial" w:hAnsi="Arial" w:eastAsia="Arial"/>
          <w:sz w:val="18"/>
        </w:rPr>
        <w:t>Stobaeus/Simplicius: search First1KGreek, OGL repositories and institutional GitHub for complete licensed XML; map exact fragment-preserving passages.</w:t>
      </w:r>
    </w:p>
    <w:p>
      <w:pPr>
        <w:pStyle w:val="ListNumber"/>
        <w:widowControl/>
        <w:spacing w:after="40" w:line="250" w:lineRule="auto"/>
      </w:pPr>
      <w:r>
        <w:rPr>
          <w:rFonts w:ascii="Arial" w:hAnsi="Arial" w:eastAsia="Arial"/>
          <w:sz w:val="18"/>
        </w:rPr>
        <w:t>Russian layer: search RSL, NEL, university repositories and current publishers by translator/ISBN; seek legal borrow or preview before purchase.</w:t>
      </w:r>
    </w:p>
    <w:p>
      <w:pPr>
        <w:pStyle w:val="ListNumber"/>
        <w:widowControl/>
        <w:spacing w:after="40" w:line="250" w:lineRule="auto"/>
      </w:pPr>
      <w:r>
        <w:rPr>
          <w:rFonts w:ascii="Arial" w:hAnsi="Arial" w:eastAsia="Arial"/>
          <w:sz w:val="18"/>
        </w:rPr>
        <w:t>Philolaus/Archytas/Alcmaeon/Hippo: dedicated access sweep, because they are covered only inside general volumes in this pass.</w:t>
      </w:r>
    </w:p>
    <w:p>
      <w:pPr>
        <w:pStyle w:val="ListNumber"/>
        <w:widowControl/>
        <w:spacing w:after="40" w:line="250" w:lineRule="auto"/>
      </w:pPr>
      <w:r>
        <w:rPr>
          <w:rFonts w:ascii="Arial" w:hAnsi="Arial" w:eastAsia="Arial"/>
          <w:sz w:val="18"/>
        </w:rPr>
        <w:t>Modern protected scholarship: identify library holdings/Controlled Digital Lending for Aëtiana, Ancient Commentators on Aristotle, Derveni and Strasbourg editions.</w:t>
      </w:r>
    </w:p>
    <w:p>
      <w:pPr>
        <w:pStyle w:val="ListNumber"/>
        <w:widowControl/>
        <w:spacing w:after="40" w:line="250" w:lineRule="auto"/>
      </w:pPr>
      <w:r>
        <w:rPr>
          <w:rFonts w:ascii="Arial" w:hAnsi="Arial" w:eastAsia="Arial"/>
          <w:sz w:val="18"/>
        </w:rPr>
        <w:t>Rights refresh: re-check every `rights_unknown`/low-confidence row before public mirroring; preserve screenshots or archived item-level evidence in the future Codex pipeline.</w:t>
      </w:r>
    </w:p>
    <w:p>
      <w:pPr>
        <w:pStyle w:val="Heading2"/>
        <w:keepNext/>
        <w:spacing w:before="140" w:after="80"/>
      </w:pPr>
      <w:r>
        <w:t>6.4. Неподтверждённые кандидаты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Неавторизованные PDF-репосты DK 6th, Laks–Most, Лебедева, современных Loeb/CUP/Hackett и иных переводов не включены как access routes. Кандидаты, обнаруженные через Wikipedia или иные слабые навигационные страницы, не были перенесены в registry без подтверждения. В данном пакете ни одна Wikipedia page не используется для доступа, метаданных или rights evidence.</w:t>
      </w:r>
    </w:p>
    <w:p>
      <w:pPr>
        <w:pStyle w:val="Heading1"/>
        <w:keepNext/>
        <w:spacing w:before="200" w:after="80"/>
      </w:pPr>
      <w:r>
        <w:t>7. 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376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Измерение</w:t>
            </w:r>
          </w:p>
        </w:tc>
        <w:tc>
          <w:tcPr>
            <w:tcW w:type="dxa" w:w="2232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Оценка</w:t>
            </w:r>
          </w:p>
        </w:tc>
        <w:tc>
          <w:tcPr>
            <w:tcW w:type="dxa" w:w="5472"/>
            <w:shd w:fill="123C4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Покрытие ядра</w:t>
            </w:r>
          </w:p>
        </w:tc>
        <w:tc>
          <w:tcPr>
            <w:tcW w:type="dxa" w:w="22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Высокое</w:t>
            </w:r>
          </w:p>
        </w:tc>
        <w:tc>
          <w:tcPr>
            <w:tcW w:type="dxa" w:w="54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Все основные линии DR получили минимум один lawful access route или explicit not-preserved/gap.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Оригинальные тексты</w:t>
            </w:r>
          </w:p>
        </w:tc>
        <w:tc>
          <w:tcPr>
            <w:tcW w:type="dxa" w:w="22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Среднее–высокое для fragment layer; низкое для lost whole books</w:t>
            </w:r>
          </w:p>
        </w:tc>
        <w:tc>
          <w:tcPr>
            <w:tcW w:type="dxa" w:w="54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Много old public-domain Greek editions; papyrus XML; complete originals почти не существуют.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Переводы</w:t>
            </w:r>
          </w:p>
        </w:tc>
        <w:tc>
          <w:tcPr>
            <w:tcW w:type="dxa" w:w="22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Высокое на английском; хорошее на немецком/французском; частичное на русском</w:t>
            </w:r>
          </w:p>
        </w:tc>
        <w:tc>
          <w:tcPr>
            <w:tcW w:type="dxa" w:w="54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PG/old editions plus modern Loeb/CUP; Russian authorized digital full text remains a gap.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Наиболее свободный слой</w:t>
            </w:r>
          </w:p>
        </w:tc>
        <w:tc>
          <w:tcPr>
            <w:tcW w:type="dxa" w:w="22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Старые Greek/Latin editions, Wellcome PDM, PG underlying texts, First1KGreek, Papyri.info data</w:t>
            </w:r>
          </w:p>
        </w:tc>
        <w:tc>
          <w:tcPr>
            <w:tcW w:type="dxa" w:w="54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Именно здесь сосредоточены mirror/OCR/index/embeddings and limited own-translation bases.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Главные ограничения</w:t>
            </w:r>
          </w:p>
        </w:tc>
        <w:tc>
          <w:tcPr>
            <w:tcW w:type="dxa" w:w="22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Modern critical editions/translations; museum images; protected reconstructions; platform-specific scan terms</w:t>
            </w:r>
          </w:p>
        </w:tc>
        <w:tc>
          <w:tcPr>
            <w:tcW w:type="dxa" w:w="54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Ancient source status does not carry over to modern/digital layers.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E9F2F5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/>
                <w:sz w:val="16"/>
              </w:rPr>
              <w:t>Готовность для Codex</w:t>
            </w:r>
          </w:p>
        </w:tc>
        <w:tc>
          <w:tcPr>
            <w:tcW w:type="dxa" w:w="22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54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7FAFB"/>
          </w:tcPr>
          <w:p>
            <w:pPr>
              <w:widowControl/>
              <w:spacing w:after="0" w:line="245" w:lineRule="auto"/>
            </w:pPr>
            <w:r>
              <w:rPr>
                <w:rFonts w:ascii="Arial" w:hAnsi="Arial" w:eastAsia="Arial"/>
                <w:b w:val="0"/>
                <w:sz w:val="16"/>
              </w:rPr>
              <w:t>Stable record IDs, explicit scope, coverage, rights evidence, verification status and gaps are present; no global ontology was imposed.</w:t>
            </w:r>
          </w:p>
        </w:tc>
      </w:tr>
    </w:tbl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Registry пригоден как исследовательский пакет для Codex: он уже различает произведение, конкретную версию, физический свидетель, репозиторий, режим доступа и правовой слой; содержит stable identifiers и explicit gaps; не смешивает древний текст с современным переводом и не обещает reuse beyond evidence.</w:t>
      </w:r>
    </w:p>
    <w:p>
      <w:pPr>
        <w:widowControl/>
        <w:spacing w:after="80" w:line="259" w:lineRule="auto"/>
      </w:pPr>
      <w:r>
        <w:rPr>
          <w:rFonts w:ascii="Arial" w:hAnsi="Arial" w:eastAsia="Arial"/>
          <w:sz w:val="19"/>
        </w:rPr>
        <w:t>Наиболее зрелая зона — свободные старые греческие издания и Hippocratic/Wellcome layer. Наиболее чувствительная — Derveni/Strasbourg images and reconstructions, modern LM/Loeb/CUP sourcebooks, the complete doxographical XML layer and authorized Russian translations. Перед массовым зеркалированием Codex должен фильтровать записи по tos_use + rights_scope + coverage + rights_confidence, а не по одному положительному тегу.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DCFCE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23C4A"/>
                <w:sz w:val="19"/>
              </w:rPr>
              <w:t>Финальный вердикт</w:t>
            </w:r>
          </w:p>
          <w:p>
            <w:pPr>
              <w:widowControl/>
              <w:spacing w:after="0" w:line="252" w:lineRule="auto"/>
            </w:pPr>
            <w:r>
              <w:rPr>
                <w:rFonts w:ascii="Arial" w:hAnsi="Arial" w:eastAsia="Arial"/>
                <w:sz w:val="18"/>
              </w:rPr>
              <w:t>Пакет содержит 137 access-records и 16 targeted gaps. Корпус A24 покрыт достаточно широко, чтобы перейти к дедупликации, нормализации идентификаторов, passage-level concordance и графовой сборке в Codex. Правовой слой остается консервативным: свободное чтение сохранено, но зеркалирование рекомендовано только там, где найдено применимое item-level или repository-level evidence.</w:t>
            </w:r>
          </w:p>
        </w:tc>
      </w:tr>
    </w:tbl>
    <w:sectPr w:rsidR="00FC693F" w:rsidRPr="0006063C" w:rsidSect="00034616">
      <w:headerReference w:type="default" r:id="rId20"/>
      <w:footerReference w:type="default" r:id="rId21"/>
      <w:pgSz w:w="11906" w:h="16838"/>
      <w:pgMar w:top="935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Arial"/>
        <w:color w:val="667085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Arial"/>
        <w:color w:val="667085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Arial"/>
        <w:color w:val="667085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Arial" w:hAnsi="Arial" w:eastAsia="Arial"/>
        <w:b/>
        <w:color w:val="667085"/>
        <w:sz w:val="16"/>
      </w:rPr>
      <w:t>ToS / Древо Софии  •  Corpus &amp; Rights Registry  •  A24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Arial" w:hAnsi="Arial" w:eastAsia="Arial"/>
        <w:b/>
        <w:color w:val="667085"/>
        <w:sz w:val="16"/>
      </w:rPr>
      <w:t>ToS / Древо Софии  •  Corpus &amp; Rights Registry  •  A24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Arial" w:hAnsi="Arial" w:eastAsia="Arial"/>
        <w:b/>
        <w:color w:val="667085"/>
        <w:sz w:val="16"/>
      </w:rPr>
      <w:t>ToS / Древо Софии  •  Corpus &amp; Rights Registry  •  A24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C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9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96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23C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4B667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utenberg.org/policy/license" TargetMode="External"/><Relationship Id="rId12" Type="http://schemas.openxmlformats.org/officeDocument/2006/relationships/hyperlink" Target="https://www.hathitrust.org/the-collection/search-access/access-use-policy/" TargetMode="External"/><Relationship Id="rId13" Type="http://schemas.openxmlformats.org/officeDocument/2006/relationships/hyperlink" Target="https://github.com/OpenGreekAndLatin/First1KGreek/blob/master/license.md" TargetMode="External"/><Relationship Id="rId14" Type="http://schemas.openxmlformats.org/officeDocument/2006/relationships/hyperlink" Target="https://github.com/papyri/idp.data" TargetMode="External"/><Relationship Id="rId15" Type="http://schemas.openxmlformats.org/officeDocument/2006/relationships/hyperlink" Target="https://wellcomecollection.org/works/mxqsa4ss" TargetMode="External"/><Relationship Id="rId16" Type="http://schemas.openxmlformats.org/officeDocument/2006/relationships/hyperlink" Target="https://www-current.chs.harvard.edu/derveni-papyrus-introduction/" TargetMode="External"/><Relationship Id="rId17" Type="http://schemas.openxmlformats.org/officeDocument/2006/relationships/hyperlink" Target="https://www.unesco.org/en/memory-world/derveni-papyrus-oldest-book-europe" TargetMode="Externa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A24</dc:title>
  <dc:subject>Legal access routes, textual corpus, rights and ToS reuse assessment</dc:subject>
  <dc:creator>ToS / Древо Софии</dc:creator>
  <cp:keywords>A24, early Greek philosophy, presocratics, fragments, testimonia, rights, access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