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Corpus &amp; Rights Registry</w:t>
      </w:r>
    </w:p>
    <w:p>
      <w:pPr>
        <w:pStyle w:val="Subtitle"/>
      </w:pPr>
      <w:r>
        <w:t>T2-11 · Пост-авиценновская философия и поздний kalām</w:t>
      </w:r>
    </w:p>
    <w:p>
      <w:pPr>
        <w:pStyle w:val="Heading1"/>
      </w:pPr>
      <w:r>
        <w:t>1. Паспорт</w:t>
      </w:r>
    </w:p>
    <w:p>
      <w:pPr>
        <w:keepLines/>
      </w:pPr>
      <w:r>
        <w:t>Исследовательский пакет: отдельный реестр законных путей доступа и практическая карта прав. Основной результат — XLSX с 76 записями registry и 29 адресными пробелами gaps; этот отчёт объясняет покрытие, приоритетные входы и ограничения.</w:t>
      </w:r>
    </w:p>
    <w:p>
      <w:pPr>
        <w:keepLines/>
      </w:pPr>
      <w:r>
        <w:t>Каноническая строка: T2-11, Таблица II. Исходный статус A, уверенность 5/5. Формирование: XI–XIII вв.; письменная передача: XI–XV вв.; канонизация и комментарий: XIII–XV вв. Эти поля сохранены из исходного DR и не пересматриваются.</w:t>
      </w:r>
    </w:p>
    <w:p>
      <w:pPr>
        <w:keepLines/>
      </w:pPr>
      <w:r>
        <w:t>Источник: «ToS Deep Research_ T2-11 — Пост-авиценновская философия и поздний kalām(1).docx». Проверка доступа и прав: 4 сентября 2026 года. Исходный документ использован как инвентарная карта; его графовые заготовки и будущие задачи не являются результатами этого пакета.</w:t>
      </w:r>
    </w:p>
    <w:p>
      <w:pPr>
        <w:pStyle w:val="Heading2"/>
      </w:pPr>
      <w:r>
        <w:t>Ядро и исследовательский контур</w:t>
      </w:r>
    </w:p>
    <w:p>
      <w:pPr>
        <w:keepLines/>
      </w:pPr>
      <w:r>
        <w:t>Ядром считались Газали и Рази, спор комментариев к Ishārāt, пост-авиценновская логика и поздние kalām-summae. Искались оригиналы, редакции, переводы, отдельные рукописи и составные кодексы, старые печатные книги, открытые цифровые тексты и один машиночитаемый corpus release. Поиск расширен назад к интеллектуальным источникам и вперёд к прямым комментариям и переводным рецепциям.</w:t>
      </w:r>
    </w:p>
    <w:p>
      <w:pPr>
        <w:keepLines/>
      </w:pPr>
      <w:r>
        <w:t>Рабочие языки поиска — английский, арабский и русский; дополнительно использовались персидские, турецкие, еврейские и латинские заглавия, варианты имён, ISBN, shelfmark и идентификаторы каталогов. Библиографическую идентичность подтверждали библиотечные и университетские каталоги, научные издания и издательские карточки; права — item-level statements, уведомления PDF и применимые лицензии.</w:t>
      </w:r>
    </w:p>
    <w:p>
      <w:pPr>
        <w:pStyle w:val="Heading2"/>
      </w:pPr>
      <w:r>
        <w:t>Как читать степень проверки</w:t>
      </w:r>
    </w:p>
    <w:p>
      <w:pPr>
        <w:keepLines/>
      </w:pPr>
      <w:r>
        <w:t>Открытая карточка, работающий просмотрщик и полученный полный файл — разные результаты. В verification_status прямо отмечены каталожный Full View без проверки BookReader, динамические страницы, PDF-кнопки без скачанного бинарного файла и антибот-проверки. rights_confidence оценивает доказательность вывода о правах, а не философскую ценность текста. Ссылка с неизвестными правами сохранена, но не превращена в разрешение на зеркало.</w:t>
      </w:r>
    </w:p>
    <w:p>
      <w:pPr>
        <w:keepLines/>
      </w:pPr>
      <w:r>
        <w:t>Ссылки [R…] в отчёте открывают источники соответствующих строк XLSX. Кандидаты, не подтверждённые дальше предварительного поиска, отмечены unverified_candidate на листе gaps; они не считаются установленными цифровыми объектами.</w:t>
      </w:r>
    </w:p>
    <w:p>
      <w:pPr>
        <w:pStyle w:val="Heading1"/>
        <w:pageBreakBefore/>
      </w:pPr>
      <w:r>
        <w:t>2. Охват корпуса</w:t>
      </w:r>
    </w:p>
    <w:p>
      <w:pPr>
        <w:pStyle w:val="Subtitle"/>
      </w:pPr>
      <w:r>
        <w:t>От инвентаря DR к проверенным способам доступа</w:t>
      </w:r>
    </w:p>
    <w:p>
      <w:pPr>
        <w:pStyle w:val="Heading2"/>
      </w:pPr>
      <w:r>
        <w:t>Что извлечено из исходного документа</w:t>
      </w:r>
    </w:p>
    <w:p>
      <w:pPr>
        <w:keepLines/>
      </w:pPr>
      <w:r>
        <w:t>Для Газали отправными произведениями стали Maqāṣid al-falāsifa, Tahāfut al-falāsifa и логико-правовой комплекс вокруг al-Mustaṣfā. Для Рази — al-Mabāḥith al-mashriqiyya, al-Mulakhkhaṣ, Sharḥ al-Ishārāt, Muḥaṣṣal, al-Maṭālib al-ʿāliya и Mafātīḥ al-ghayb; дополнительно DR указывает al-Arbaʿūn и Munāẓarāt. Комментарийная линия включает Туси, Катиби, Иджи, Джурджани и Кутб ад-Дина ар-Рази.</w:t>
      </w:r>
    </w:p>
    <w:p>
      <w:pPr>
        <w:keepLines/>
      </w:pPr>
      <w:r>
        <w:t>Рукописные якоря DR получили отдельные записи: Trinity R.13.54 в Fihrist, Princeton Garrett 2414Yq и Garrett 1233Y. Старые Princeton-ссылки заменены действующими item-level страницами нового интерфейса. Утверждение об автографе Trinity сохранено как каталожная атрибуция, а не как доказанный результат палеографической экспертизы.</w:t>
      </w:r>
      <w:r>
        <w:t xml:space="preserve"> </w:t>
      </w:r>
      <w:hyperlink r:id="rId11">
        <w:r>
          <w:rPr>
            <w:rFonts w:ascii="Noto Sans" w:hAnsi="Noto Sans"/>
            <w:color w:val="17688C"/>
            <w:sz w:val="17"/>
            <w:u w:val="single"/>
          </w:rPr>
          <w:t>[R002]</w:t>
        </w:r>
      </w:hyperlink>
      <w:r>
        <w:t xml:space="preserve"> </w:t>
      </w:r>
      <w:hyperlink r:id="rId12">
        <w:r>
          <w:rPr>
            <w:rFonts w:ascii="Noto Sans" w:hAnsi="Noto Sans"/>
            <w:color w:val="17688C"/>
            <w:sz w:val="17"/>
            <w:u w:val="single"/>
          </w:rPr>
          <w:t>[R042]</w:t>
        </w:r>
      </w:hyperlink>
      <w:r>
        <w:t xml:space="preserve"> </w:t>
      </w:r>
      <w:hyperlink r:id="rId13">
        <w:r>
          <w:rPr>
            <w:rFonts w:ascii="Noto Sans" w:hAnsi="Noto Sans"/>
            <w:color w:val="17688C"/>
            <w:sz w:val="17"/>
            <w:u w:val="single"/>
          </w:rPr>
          <w:t>[R043]</w:t>
        </w:r>
      </w:hyperlink>
      <w:r>
        <w:t xml:space="preserve"> </w:t>
      </w:r>
    </w:p>
    <w:p>
      <w:pPr>
        <w:pStyle w:val="Heading2"/>
      </w:pPr>
      <w:r>
        <w:t>Содержательные добавления веб-поиска</w:t>
      </w:r>
    </w:p>
    <w:p>
      <w:pPr>
        <w:keepLines/>
      </w:pPr>
      <w:r>
        <w:t>Общее указание на логические сочинения Газали развёрнуто в Qisṭās, Miʿyār и Miḥakk; добавлены Iqtiṣād и Munqidh. У Рази обнаружены доступные издания Jawhar al-fard и al-Hayūlā wa-l-ṣūra, персидская Risāla kamāliyya, Asās al-taqdīs и издание Maʿālim с вопросами Катиби и замечаниями Ибн Каммуны. Это реальные дополнительные тексты, а не переименование ссылок на главные книги.</w:t>
      </w:r>
      <w:r>
        <w:t xml:space="preserve"> </w:t>
      </w:r>
      <w:hyperlink r:id="rId14">
        <w:r>
          <w:rPr>
            <w:rFonts w:ascii="Noto Sans" w:hAnsi="Noto Sans"/>
            <w:color w:val="17688C"/>
            <w:sz w:val="17"/>
            <w:u w:val="single"/>
          </w:rPr>
          <w:t>[R023]</w:t>
        </w:r>
      </w:hyperlink>
      <w:r>
        <w:t xml:space="preserve"> </w:t>
      </w:r>
      <w:hyperlink r:id="rId15">
        <w:r>
          <w:rPr>
            <w:rFonts w:ascii="Noto Sans" w:hAnsi="Noto Sans"/>
            <w:color w:val="17688C"/>
            <w:sz w:val="17"/>
            <w:u w:val="single"/>
          </w:rPr>
          <w:t>[R025]</w:t>
        </w:r>
      </w:hyperlink>
      <w:r>
        <w:t xml:space="preserve"> </w:t>
      </w:r>
      <w:hyperlink r:id="rId16">
        <w:r>
          <w:rPr>
            <w:rFonts w:ascii="Noto Sans" w:hAnsi="Noto Sans"/>
            <w:color w:val="17688C"/>
            <w:sz w:val="17"/>
            <w:u w:val="single"/>
          </w:rPr>
          <w:t>[R028]</w:t>
        </w:r>
      </w:hyperlink>
      <w:r>
        <w:t xml:space="preserve"> </w:t>
      </w:r>
      <w:hyperlink r:id="rId17">
        <w:r>
          <w:rPr>
            <w:rFonts w:ascii="Noto Sans" w:hAnsi="Noto Sans"/>
            <w:color w:val="17688C"/>
            <w:sz w:val="17"/>
            <w:u w:val="single"/>
          </w:rPr>
          <w:t>[R032]</w:t>
        </w:r>
      </w:hyperlink>
      <w:r>
        <w:t xml:space="preserve"> </w:t>
      </w:r>
      <w:hyperlink r:id="rId18">
        <w:r>
          <w:rPr>
            <w:rFonts w:ascii="Noto Sans" w:hAnsi="Noto Sans"/>
            <w:color w:val="17688C"/>
            <w:sz w:val="17"/>
            <w:u w:val="single"/>
          </w:rPr>
          <w:t>[R033]</w:t>
        </w:r>
      </w:hyperlink>
      <w:r>
        <w:t xml:space="preserve"> </w:t>
      </w:r>
      <w:hyperlink r:id="rId19">
        <w:r>
          <w:rPr>
            <w:rFonts w:ascii="Noto Sans" w:hAnsi="Noto Sans"/>
            <w:color w:val="17688C"/>
            <w:sz w:val="17"/>
            <w:u w:val="single"/>
          </w:rPr>
          <w:t>[R065]</w:t>
        </w:r>
      </w:hyperlink>
      <w:r>
        <w:t xml:space="preserve"> </w:t>
      </w:r>
      <w:hyperlink r:id="rId20">
        <w:r>
          <w:rPr>
            <w:rFonts w:ascii="Noto Sans" w:hAnsi="Noto Sans"/>
            <w:color w:val="17688C"/>
            <w:sz w:val="17"/>
            <w:u w:val="single"/>
          </w:rPr>
          <w:t>[R067]</w:t>
        </w:r>
      </w:hyperlink>
      <w:r>
        <w:t xml:space="preserve"> </w:t>
      </w:r>
      <w:hyperlink r:id="rId21">
        <w:r>
          <w:rPr>
            <w:rFonts w:ascii="Noto Sans" w:hAnsi="Noto Sans"/>
            <w:color w:val="17688C"/>
            <w:sz w:val="17"/>
            <w:u w:val="single"/>
          </w:rPr>
          <w:t>[R070]</w:t>
        </w:r>
      </w:hyperlink>
      <w:r>
        <w:t xml:space="preserve"> </w:t>
      </w:r>
    </w:p>
    <w:p>
      <w:pPr>
        <w:keepLines/>
      </w:pPr>
      <w:r>
        <w:t>Логическая и учебная часть расширена через Kashf al-asrār Хунажи, Īsāghūjī и Hidāya Абхари, комментарии Майбуди и Лари, Ḥikmat al-ʿayn Катиби с комментарием Мубаракшаха. Поздний kalām представлен также Sharḥ al-Maqāṣid, Sharḥ al-ʿAqāʾid, Tajrīd и Kashf al-murād, небольшим трактатом Самарканди. Muṣāraʿa Шахрастани связана с ответом Туси; Muḥaṣṣal — с Talkhīṣ Туси и Lubāb Ибн Халдуна.</w:t>
      </w:r>
      <w:r>
        <w:t xml:space="preserve"> </w:t>
      </w:r>
      <w:hyperlink r:id="rId22">
        <w:r>
          <w:rPr>
            <w:rFonts w:ascii="Noto Sans" w:hAnsi="Noto Sans"/>
            <w:color w:val="17688C"/>
            <w:sz w:val="17"/>
            <w:u w:val="single"/>
          </w:rPr>
          <w:t>[R013]</w:t>
        </w:r>
      </w:hyperlink>
      <w:r>
        <w:t xml:space="preserve"> </w:t>
      </w:r>
      <w:hyperlink r:id="rId23">
        <w:r>
          <w:rPr>
            <w:rFonts w:ascii="Noto Sans" w:hAnsi="Noto Sans"/>
            <w:color w:val="17688C"/>
            <w:sz w:val="17"/>
            <w:u w:val="single"/>
          </w:rPr>
          <w:t>[R018]</w:t>
        </w:r>
      </w:hyperlink>
      <w:r>
        <w:t xml:space="preserve"> </w:t>
      </w:r>
      <w:hyperlink r:id="rId24">
        <w:r>
          <w:rPr>
            <w:rFonts w:ascii="Noto Sans" w:hAnsi="Noto Sans"/>
            <w:color w:val="17688C"/>
            <w:sz w:val="17"/>
            <w:u w:val="single"/>
          </w:rPr>
          <w:t>[R027]</w:t>
        </w:r>
      </w:hyperlink>
      <w:r>
        <w:t xml:space="preserve"> </w:t>
      </w:r>
      <w:hyperlink r:id="rId25">
        <w:r>
          <w:rPr>
            <w:rFonts w:ascii="Noto Sans" w:hAnsi="Noto Sans"/>
            <w:color w:val="17688C"/>
            <w:sz w:val="17"/>
            <w:u w:val="single"/>
          </w:rPr>
          <w:t>[R048]</w:t>
        </w:r>
      </w:hyperlink>
      <w:r>
        <w:t xml:space="preserve"> </w:t>
      </w:r>
      <w:hyperlink r:id="rId26">
        <w:r>
          <w:rPr>
            <w:rFonts w:ascii="Noto Sans" w:hAnsi="Noto Sans"/>
            <w:color w:val="17688C"/>
            <w:sz w:val="17"/>
            <w:u w:val="single"/>
          </w:rPr>
          <w:t>[R049]</w:t>
        </w:r>
      </w:hyperlink>
      <w:r>
        <w:t xml:space="preserve"> </w:t>
      </w:r>
      <w:hyperlink r:id="rId27">
        <w:r>
          <w:rPr>
            <w:rFonts w:ascii="Noto Sans" w:hAnsi="Noto Sans"/>
            <w:color w:val="17688C"/>
            <w:sz w:val="17"/>
            <w:u w:val="single"/>
          </w:rPr>
          <w:t>[R053]</w:t>
        </w:r>
      </w:hyperlink>
      <w:r>
        <w:t xml:space="preserve"> </w:t>
      </w:r>
      <w:hyperlink r:id="rId28">
        <w:r>
          <w:rPr>
            <w:rFonts w:ascii="Noto Sans" w:hAnsi="Noto Sans"/>
            <w:color w:val="17688C"/>
            <w:sz w:val="17"/>
            <w:u w:val="single"/>
          </w:rPr>
          <w:t>[R055]</w:t>
        </w:r>
      </w:hyperlink>
      <w:r>
        <w:t xml:space="preserve"> </w:t>
      </w:r>
      <w:hyperlink r:id="rId29">
        <w:r>
          <w:rPr>
            <w:rFonts w:ascii="Noto Sans" w:hAnsi="Noto Sans"/>
            <w:color w:val="17688C"/>
            <w:sz w:val="17"/>
            <w:u w:val="single"/>
          </w:rPr>
          <w:t>[R059]</w:t>
        </w:r>
      </w:hyperlink>
      <w:r>
        <w:t xml:space="preserve"> </w:t>
      </w:r>
      <w:hyperlink r:id="rId30">
        <w:r>
          <w:rPr>
            <w:rFonts w:ascii="Noto Sans" w:hAnsi="Noto Sans"/>
            <w:color w:val="17688C"/>
            <w:sz w:val="17"/>
            <w:u w:val="single"/>
          </w:rPr>
          <w:t>[R060]</w:t>
        </w:r>
      </w:hyperlink>
      <w:r>
        <w:t xml:space="preserve"> </w:t>
      </w:r>
      <w:hyperlink r:id="rId31">
        <w:r>
          <w:rPr>
            <w:rFonts w:ascii="Noto Sans" w:hAnsi="Noto Sans"/>
            <w:color w:val="17688C"/>
            <w:sz w:val="17"/>
            <w:u w:val="single"/>
          </w:rPr>
          <w:t>[R066]</w:t>
        </w:r>
      </w:hyperlink>
      <w:r>
        <w:t xml:space="preserve"> </w:t>
      </w:r>
      <w:hyperlink r:id="rId32">
        <w:r>
          <w:rPr>
            <w:rFonts w:ascii="Noto Sans" w:hAnsi="Noto Sans"/>
            <w:color w:val="17688C"/>
            <w:sz w:val="17"/>
            <w:u w:val="single"/>
          </w:rPr>
          <w:t>[R068]</w:t>
        </w:r>
      </w:hyperlink>
      <w:r>
        <w:t xml:space="preserve"> </w:t>
      </w:r>
      <w:hyperlink r:id="rId33">
        <w:r>
          <w:rPr>
            <w:rFonts w:ascii="Noto Sans" w:hAnsi="Noto Sans"/>
            <w:color w:val="17688C"/>
            <w:sz w:val="17"/>
            <w:u w:val="single"/>
          </w:rPr>
          <w:t>[R071]</w:t>
        </w:r>
      </w:hyperlink>
      <w:r>
        <w:t xml:space="preserve"> </w:t>
      </w:r>
    </w:p>
    <w:p>
      <w:pPr>
        <w:pStyle w:val="Heading2"/>
      </w:pPr>
      <w:r>
        <w:t>Количественный итог без удвоения произведений</w:t>
      </w:r>
    </w:p>
    <w:p>
      <w:pPr>
        <w:keepLines/>
      </w:pPr>
      <w:r>
        <w:t>76 строк registry описывают способы доступа примерно к 60 именованным первичным сочинениям и самостоятельным комментариям. Часть произведений находится в одном составном издании, часть имеет несколько переводов и репозиториев. Поэтому 76 не является числом произведений. Анонимные выписки и каждый файл корпусного архива отдельно не подсчитывались.</w:t>
      </w:r>
    </w:p>
    <w:p>
      <w:pPr>
        <w:keepLines/>
      </w:pPr>
      <w:r>
        <w:t>Из 76 строк 72 относятся к первичному материалу, его изданиям, переводам и свидетелям; 3 — к необходимым вторичным навигаторам, 1 — к машиночитаемому release OpenITI. Есть 11 записей типа physical_witness. Покупка предлагается в 21 записи, путь скачивания — в 32; эти категории пересекаются и не означают, что все файлы были полностью получены.</w:t>
      </w:r>
    </w:p>
    <w:p>
      <w:pPr>
        <w:keepLines/>
      </w:pPr>
      <w:r>
        <w:t>27 записей помечены core, 18 — same_corpus_or_tradition, 12 — commentary_or_reception, 9 — antecedent, 6 — transmission_or_preservation. Остальные 4 — инфраструктура и навигация. Эти числа относятся к маршрутам доступа, не к исторической распространённости произведений.</w:t>
      </w:r>
    </w:p>
    <w:p>
      <w:pPr>
        <w:pStyle w:val="Heading1"/>
        <w:pageBreakBefore/>
      </w:pPr>
      <w:r>
        <w:t>2. Охват корпуса — хронологическое расширение</w:t>
      </w:r>
    </w:p>
    <w:p>
      <w:pPr>
        <w:pStyle w:val="Subtitle"/>
      </w:pPr>
      <w:r>
        <w:t>Предшественники, продолжения и сохранение</w:t>
      </w:r>
    </w:p>
    <w:p>
      <w:pPr>
        <w:pStyle w:val="Heading2"/>
      </w:pPr>
      <w:r>
        <w:t>Поиск назад</w:t>
      </w:r>
    </w:p>
    <w:p>
      <w:pPr>
        <w:keepLines/>
      </w:pPr>
      <w:r>
        <w:t>Ishārāt Ибн Сины включён не как весь авиценновский корпус, а как непосредственный комментируемый текст. Физика Shifāʾ добавлена ради аргументов о теле, делимости и атоме, рассматриваемых Рази; в опубликованном исследовании Jawhar al-fard эта связь прослежена до определённых глав. Dānishnāma-yi ʿAlāʾī релевантна как персидская основа, адаптированная в Maqāṣid; найденный английский preview не считается доступом ко всему персидскому оригиналу.</w:t>
      </w:r>
      <w:r>
        <w:t xml:space="preserve"> </w:t>
      </w:r>
      <w:hyperlink r:id="rId34">
        <w:r>
          <w:rPr>
            <w:rFonts w:ascii="Noto Sans" w:hAnsi="Noto Sans"/>
            <w:color w:val="17688C"/>
            <w:sz w:val="17"/>
            <w:u w:val="single"/>
          </w:rPr>
          <w:t>[R036]</w:t>
        </w:r>
      </w:hyperlink>
      <w:r>
        <w:t xml:space="preserve"> </w:t>
      </w:r>
      <w:hyperlink r:id="rId35">
        <w:r>
          <w:rPr>
            <w:rFonts w:ascii="Noto Sans" w:hAnsi="Noto Sans"/>
            <w:color w:val="17688C"/>
            <w:sz w:val="17"/>
            <w:u w:val="single"/>
          </w:rPr>
          <w:t>[R057]</w:t>
        </w:r>
      </w:hyperlink>
      <w:r>
        <w:t xml:space="preserve"> </w:t>
      </w:r>
      <w:hyperlink r:id="rId19">
        <w:r>
          <w:rPr>
            <w:rFonts w:ascii="Noto Sans" w:hAnsi="Noto Sans"/>
            <w:color w:val="17688C"/>
            <w:sz w:val="17"/>
            <w:u w:val="single"/>
          </w:rPr>
          <w:t>[R065]</w:t>
        </w:r>
      </w:hyperlink>
      <w:r>
        <w:t xml:space="preserve"> </w:t>
      </w:r>
      <w:hyperlink r:id="rId36">
        <w:r>
          <w:rPr>
            <w:rFonts w:ascii="Noto Sans" w:hAnsi="Noto Sans"/>
            <w:color w:val="17688C"/>
            <w:sz w:val="17"/>
            <w:u w:val="single"/>
          </w:rPr>
          <w:t>[R073]</w:t>
        </w:r>
      </w:hyperlink>
      <w:r>
        <w:t xml:space="preserve"> </w:t>
      </w:r>
      <w:hyperlink r:id="rId37">
        <w:r>
          <w:rPr>
            <w:rFonts w:ascii="Noto Sans" w:hAnsi="Noto Sans"/>
            <w:color w:val="17688C"/>
            <w:sz w:val="17"/>
            <w:u w:val="single"/>
          </w:rPr>
          <w:t>[R075]</w:t>
        </w:r>
      </w:hyperlink>
      <w:r>
        <w:t xml:space="preserve"> </w:t>
      </w:r>
      <w:hyperlink r:id="rId38">
        <w:r>
          <w:rPr>
            <w:rFonts w:ascii="Noto Sans" w:hAnsi="Noto Sans"/>
            <w:color w:val="17688C"/>
            <w:sz w:val="17"/>
            <w:u w:val="single"/>
          </w:rPr>
          <w:t>[Академическая идентификация Maqāṣid / Dānishnāma]</w:t>
        </w:r>
      </w:hyperlink>
      <w:r>
        <w:t xml:space="preserve"> </w:t>
      </w:r>
    </w:p>
    <w:p>
      <w:pPr>
        <w:keepLines/>
      </w:pPr>
      <w:r>
        <w:t>Irshād ал-Джувайни представляет ранний богословский и педагогический вход в среду Газали. Kitāb al-Muʿtabar Абу-л-Бараката включён как предшествующий Рази альтернативный философский источник, но найденный институциональный путь ограничен preview диссертационного перевода. Antecedent обозначает отношение к ядру, а не обязательно дату раньше XI века.</w:t>
      </w:r>
      <w:r>
        <w:t xml:space="preserve"> </w:t>
      </w:r>
      <w:hyperlink r:id="rId39">
        <w:r>
          <w:rPr>
            <w:rFonts w:ascii="Noto Sans" w:hAnsi="Noto Sans"/>
            <w:color w:val="17688C"/>
            <w:sz w:val="17"/>
            <w:u w:val="single"/>
          </w:rPr>
          <w:t>[R040]</w:t>
        </w:r>
      </w:hyperlink>
      <w:r>
        <w:t xml:space="preserve"> </w:t>
      </w:r>
      <w:hyperlink r:id="rId40">
        <w:r>
          <w:rPr>
            <w:rFonts w:ascii="Noto Sans" w:hAnsi="Noto Sans"/>
            <w:color w:val="17688C"/>
            <w:sz w:val="17"/>
            <w:u w:val="single"/>
          </w:rPr>
          <w:t>[R047]</w:t>
        </w:r>
      </w:hyperlink>
      <w:r>
        <w:t xml:space="preserve"> </w:t>
      </w:r>
    </w:p>
    <w:p>
      <w:pPr>
        <w:keepLines/>
      </w:pPr>
      <w:r>
        <w:t>За формальной нижней границей строки находится Филопон VI века. Его антиэтерналистские аргументы связаны с проблемой начала мира в последующей арабской традиции. В реестре есть институциональная карточка перевода Contra Proclum 1–5 и исследование арабской эпитомы De contingentia mundi. Прямое чтение Газали конкретного греческого кодекса не утверждается; отсутствие полного файла отмечено отдельно.</w:t>
      </w:r>
      <w:r>
        <w:t xml:space="preserve"> </w:t>
      </w:r>
      <w:hyperlink r:id="rId41">
        <w:r>
          <w:rPr>
            <w:rFonts w:ascii="Noto Sans" w:hAnsi="Noto Sans"/>
            <w:color w:val="17688C"/>
            <w:sz w:val="17"/>
            <w:u w:val="single"/>
          </w:rPr>
          <w:t>[R074]</w:t>
        </w:r>
      </w:hyperlink>
      <w:r>
        <w:t xml:space="preserve"> </w:t>
      </w:r>
      <w:hyperlink r:id="rId42">
        <w:r>
          <w:rPr>
            <w:rFonts w:ascii="Noto Sans" w:hAnsi="Noto Sans"/>
            <w:color w:val="17688C"/>
            <w:sz w:val="17"/>
            <w:u w:val="single"/>
          </w:rPr>
          <w:t>[R076]</w:t>
        </w:r>
      </w:hyperlink>
      <w:r>
        <w:t xml:space="preserve"> </w:t>
      </w:r>
    </w:p>
    <w:p>
      <w:pPr>
        <w:pStyle w:val="Heading2"/>
      </w:pPr>
      <w:r>
        <w:t>Поиск вперёд и в стороны от ядра</w:t>
      </w:r>
    </w:p>
    <w:p>
      <w:pPr>
        <w:keepLines/>
      </w:pPr>
      <w:r>
        <w:t>Ответ Ибн Рушда Tahāfut al-tahāfut включён благодаря прямой полемике с Газали, а не общей принадлежности к арабской философии. Tiqqun ha-deʿot Албалага — конкретная еврейская переработка Maqāṣid. Латинская печать Logica et philosophia 1506 года сохраняет переводной путь к тому же произведению, но в этом запуске её файл не открылся.</w:t>
      </w:r>
      <w:r>
        <w:t xml:space="preserve"> </w:t>
      </w:r>
      <w:hyperlink r:id="rId43">
        <w:r>
          <w:rPr>
            <w:rFonts w:ascii="Noto Sans" w:hAnsi="Noto Sans"/>
            <w:color w:val="17688C"/>
            <w:sz w:val="17"/>
            <w:u w:val="single"/>
          </w:rPr>
          <w:t>[R058]</w:t>
        </w:r>
      </w:hyperlink>
      <w:r>
        <w:t xml:space="preserve"> </w:t>
      </w:r>
      <w:hyperlink r:id="rId44">
        <w:r>
          <w:rPr>
            <w:rFonts w:ascii="Noto Sans" w:hAnsi="Noto Sans"/>
            <w:color w:val="17688C"/>
            <w:sz w:val="17"/>
            <w:u w:val="single"/>
          </w:rPr>
          <w:t>[R061]</w:t>
        </w:r>
      </w:hyperlink>
      <w:r>
        <w:t xml:space="preserve"> </w:t>
      </w:r>
      <w:hyperlink r:id="rId45">
        <w:r>
          <w:rPr>
            <w:rFonts w:ascii="Noto Sans" w:hAnsi="Noto Sans"/>
            <w:color w:val="17688C"/>
            <w:sz w:val="17"/>
            <w:u w:val="single"/>
          </w:rPr>
          <w:t>[R062]</w:t>
        </w:r>
      </w:hyperlink>
      <w:r>
        <w:t xml:space="preserve"> </w:t>
      </w:r>
      <w:hyperlink r:id="rId46">
        <w:r>
          <w:rPr>
            <w:rFonts w:ascii="Noto Sans" w:hAnsi="Noto Sans"/>
            <w:color w:val="17688C"/>
            <w:sz w:val="17"/>
            <w:u w:val="single"/>
          </w:rPr>
          <w:t>[R063]</w:t>
        </w:r>
      </w:hyperlink>
      <w:r>
        <w:t xml:space="preserve"> </w:t>
      </w:r>
    </w:p>
    <w:p>
      <w:pPr>
        <w:keepLines/>
      </w:pPr>
      <w:r>
        <w:t>В линиях школьного комментирования сохранены более поздние глоссы к Sharḥ al-Mawāqif и Ḥawāshī Лари к комментарию Майбуди на Hidāya. Это содержательные продолжения определённых текстов. Составные рукописи XVII–XIX веков и поздние литографии дополнительно показывают сохранение этого материала, но дата копирования не переносится на авторский текст.</w:t>
      </w:r>
      <w:r>
        <w:t xml:space="preserve"> </w:t>
      </w:r>
      <w:hyperlink r:id="rId47">
        <w:r>
          <w:rPr>
            <w:rFonts w:ascii="Noto Sans" w:hAnsi="Noto Sans"/>
            <w:color w:val="17688C"/>
            <w:sz w:val="17"/>
            <w:u w:val="single"/>
          </w:rPr>
          <w:t>[R019]</w:t>
        </w:r>
      </w:hyperlink>
      <w:r>
        <w:t xml:space="preserve"> </w:t>
      </w:r>
      <w:hyperlink r:id="rId48">
        <w:r>
          <w:rPr>
            <w:rFonts w:ascii="Noto Sans" w:hAnsi="Noto Sans"/>
            <w:color w:val="17688C"/>
            <w:sz w:val="17"/>
            <w:u w:val="single"/>
          </w:rPr>
          <w:t>[R026]</w:t>
        </w:r>
      </w:hyperlink>
      <w:r>
        <w:t xml:space="preserve"> </w:t>
      </w:r>
      <w:hyperlink r:id="rId13">
        <w:r>
          <w:rPr>
            <w:rFonts w:ascii="Noto Sans" w:hAnsi="Noto Sans"/>
            <w:color w:val="17688C"/>
            <w:sz w:val="17"/>
            <w:u w:val="single"/>
          </w:rPr>
          <w:t>[R043]</w:t>
        </w:r>
      </w:hyperlink>
      <w:r>
        <w:t xml:space="preserve"> </w:t>
      </w:r>
      <w:hyperlink r:id="rId49">
        <w:r>
          <w:rPr>
            <w:rFonts w:ascii="Noto Sans" w:hAnsi="Noto Sans"/>
            <w:color w:val="17688C"/>
            <w:sz w:val="17"/>
            <w:u w:val="single"/>
          </w:rPr>
          <w:t>[R052]</w:t>
        </w:r>
      </w:hyperlink>
      <w:r>
        <w:t xml:space="preserve"> </w:t>
      </w:r>
      <w:hyperlink r:id="rId27">
        <w:r>
          <w:rPr>
            <w:rFonts w:ascii="Noto Sans" w:hAnsi="Noto Sans"/>
            <w:color w:val="17688C"/>
            <w:sz w:val="17"/>
            <w:u w:val="single"/>
          </w:rPr>
          <w:t>[R053]</w:t>
        </w:r>
      </w:hyperlink>
      <w:r>
        <w:t xml:space="preserve"> </w:t>
      </w:r>
    </w:p>
    <w:p>
      <w:pPr>
        <w:keepLines/>
      </w:pPr>
      <w:r>
        <w:t>Доступные продолжения обозначены преимущественно более точными commentary_or_reception и transmission_or_preservation. Непроверенные самостоятельные продолжения Tajrīd и Hidāya, а также османская Tahāfut-линия вынесены в G012–G014 как конкретные дальнейшие цели. Отдельные вспомогательные supporting/boundary-записи не создавались ради заполнения всех категорий: у включённых объектов указана более содержательная связь.</w:t>
      </w:r>
    </w:p>
    <w:p>
      <w:pPr>
        <w:pStyle w:val="Heading2"/>
      </w:pPr>
      <w:r>
        <w:t>Граница расширения</w:t>
      </w:r>
    </w:p>
    <w:p>
      <w:pPr>
        <w:keepLines/>
      </w:pPr>
      <w:r>
        <w:t>Реестр не пытается охватить все произведения Авиценны, всю еврейскую философию или весь османо-сефевидский канон. Добавление каждого позднего комментария оправдано его отношением к определённому матну. Новейшие научные редакции и переводы также входят в ореол передачи: они важны как способы доступа, а не как изменение исторических границ T2-11.</w:t>
      </w:r>
    </w:p>
    <w:p>
      <w:pPr>
        <w:pStyle w:val="Heading1"/>
        <w:pageBreakBefore/>
      </w:pPr>
      <w:r>
        <w:t>3. Лучшие пути доступа</w:t>
      </w:r>
    </w:p>
    <w:p>
      <w:pPr>
        <w:pStyle w:val="Subtitle"/>
      </w:pPr>
      <w:r>
        <w:t>Газали: оригиналы, переводы и логический корпус</w:t>
      </w:r>
    </w:p>
    <w:p>
      <w:pPr>
        <w:pStyle w:val="Heading2"/>
      </w:pPr>
      <w:r>
        <w:t>Maqāṣid и Tahāfut</w:t>
      </w:r>
    </w:p>
    <w:p>
      <w:pPr>
        <w:keepLines/>
      </w:pPr>
      <w:r>
        <w:t>Для работы с арабским Maqāṣid наиболее полезен найденный старый скан Princeton в Arabic Collections Online: печать 1913 года, просмотр, PDF и IIIF-контроли. Именно этот оригинальный слой, а не современный перевод, отмечен как потенциальная основа собственного перевода ToS. Для современного английского чтения сохранён официальный коммерческий путь к тому I издания Signori 2025; полнота этого тома относительно всего произведения требует проверки оглавления.</w:t>
      </w:r>
      <w:r>
        <w:t xml:space="preserve"> </w:t>
      </w:r>
      <w:hyperlink r:id="rId50">
        <w:r>
          <w:rPr>
            <w:rFonts w:ascii="Noto Sans" w:hAnsi="Noto Sans"/>
            <w:color w:val="17688C"/>
            <w:sz w:val="17"/>
            <w:u w:val="single"/>
          </w:rPr>
          <w:t>[R009]</w:t>
        </w:r>
      </w:hyperlink>
      <w:r>
        <w:t xml:space="preserve"> </w:t>
      </w:r>
      <w:hyperlink r:id="rId51">
        <w:r>
          <w:rPr>
            <w:rFonts w:ascii="Noto Sans" w:hAnsi="Noto Sans"/>
            <w:color w:val="17688C"/>
            <w:sz w:val="17"/>
            <w:u w:val="single"/>
          </w:rPr>
          <w:t>[R046]</w:t>
        </w:r>
      </w:hyperlink>
      <w:r>
        <w:t xml:space="preserve"> </w:t>
      </w:r>
    </w:p>
    <w:p>
      <w:pPr>
        <w:keepLines/>
      </w:pPr>
      <w:r>
        <w:t>Для Tahāfut найден арабский скан редакции Sulaymān Dunyā 1955 года в ACO. Он удобен для бесплатного чтения, однако современный редакторский слой не объявлен свободным вследствие древности Газали. Научный параллельный арабо-английский вариант — Marmura, BYU / Chicago; издательская покупка и библиотечная карточка Wellcome сохранены раздельно. Карточка закрытого книгохранилища не обозначена как подтверждённая цифровая выдача.</w:t>
      </w:r>
      <w:r>
        <w:t xml:space="preserve"> </w:t>
      </w:r>
      <w:hyperlink r:id="rId52">
        <w:r>
          <w:rPr>
            <w:rFonts w:ascii="Noto Sans" w:hAnsi="Noto Sans"/>
            <w:color w:val="17688C"/>
            <w:sz w:val="17"/>
            <w:u w:val="single"/>
          </w:rPr>
          <w:t>[R011]</w:t>
        </w:r>
      </w:hyperlink>
      <w:r>
        <w:t xml:space="preserve"> </w:t>
      </w:r>
      <w:hyperlink r:id="rId53">
        <w:r>
          <w:rPr>
            <w:rFonts w:ascii="Noto Sans" w:hAnsi="Noto Sans"/>
            <w:color w:val="17688C"/>
            <w:sz w:val="17"/>
            <w:u w:val="single"/>
          </w:rPr>
          <w:t>[R034]</w:t>
        </w:r>
      </w:hyperlink>
      <w:r>
        <w:t xml:space="preserve"> </w:t>
      </w:r>
      <w:hyperlink r:id="rId54">
        <w:r>
          <w:rPr>
            <w:rFonts w:ascii="Noto Sans" w:hAnsi="Noto Sans"/>
            <w:color w:val="17688C"/>
            <w:sz w:val="17"/>
            <w:u w:val="single"/>
          </w:rPr>
          <w:t>[R035]</w:t>
        </w:r>
      </w:hyperlink>
      <w:r>
        <w:t xml:space="preserve"> </w:t>
      </w:r>
    </w:p>
    <w:p>
      <w:pPr>
        <w:pStyle w:val="Heading2"/>
      </w:pPr>
      <w:r>
        <w:t>Логика и доказательство</w:t>
      </w:r>
    </w:p>
    <w:p>
      <w:pPr>
        <w:keepLines/>
      </w:pPr>
      <w:r>
        <w:t>Qisṭās al-mustaqīm доступен в старой печати 1900 года через ACO; вместе с Maqāṣid это один из более ясных арабских слоёв для собственного перевода при оговорённых правах и юрисдикции. Miʿyār al-ʿilm представлен институциональной оцифровкой Columbia 1911 года на Internet Archive. Её библиотечное происхождение проверено; OCR и техническая целостность отдельных производных файлов не принимались за безошибочный критический текст.</w:t>
      </w:r>
      <w:r>
        <w:t xml:space="preserve"> </w:t>
      </w:r>
      <w:hyperlink r:id="rId16">
        <w:r>
          <w:rPr>
            <w:rFonts w:ascii="Noto Sans" w:hAnsi="Noto Sans"/>
            <w:color w:val="17688C"/>
            <w:sz w:val="17"/>
            <w:u w:val="single"/>
          </w:rPr>
          <w:t>[R028]</w:t>
        </w:r>
      </w:hyperlink>
      <w:r>
        <w:t xml:space="preserve"> </w:t>
      </w:r>
      <w:hyperlink r:id="rId17">
        <w:r>
          <w:rPr>
            <w:rFonts w:ascii="Noto Sans" w:hAnsi="Noto Sans"/>
            <w:color w:val="17688C"/>
            <w:sz w:val="17"/>
            <w:u w:val="single"/>
          </w:rPr>
          <w:t>[R032]</w:t>
        </w:r>
      </w:hyperlink>
      <w:r>
        <w:t xml:space="preserve"> </w:t>
      </w:r>
    </w:p>
    <w:p>
      <w:pPr>
        <w:keepLines/>
      </w:pPr>
      <w:r>
        <w:t>Miḥakk al-naẓar имеет официальный современный издательский вход Dar al-Minhāj. Для Mustaṣfā сохранены современное арабское издание Dār al-Kutub al-ʿIlmiyya и карточка старой Būlāq-печати в HathiTrust. Последняя показывает Limited Search: старый год публикации не превратил этот конкретный маршрут в проверенный полный просмотр.</w:t>
      </w:r>
      <w:r>
        <w:t xml:space="preserve"> </w:t>
      </w:r>
      <w:hyperlink r:id="rId55">
        <w:r>
          <w:rPr>
            <w:rFonts w:ascii="Noto Sans" w:hAnsi="Noto Sans"/>
            <w:color w:val="17688C"/>
            <w:sz w:val="17"/>
            <w:u w:val="single"/>
          </w:rPr>
          <w:t>[R030]</w:t>
        </w:r>
      </w:hyperlink>
      <w:r>
        <w:t xml:space="preserve"> </w:t>
      </w:r>
      <w:hyperlink r:id="rId56">
        <w:r>
          <w:rPr>
            <w:rFonts w:ascii="Noto Sans" w:hAnsi="Noto Sans"/>
            <w:color w:val="17688C"/>
            <w:sz w:val="17"/>
            <w:u w:val="single"/>
          </w:rPr>
          <w:t>[R031]</w:t>
        </w:r>
      </w:hyperlink>
      <w:r>
        <w:t xml:space="preserve"> </w:t>
      </w:r>
      <w:hyperlink r:id="rId18">
        <w:r>
          <w:rPr>
            <w:rFonts w:ascii="Noto Sans" w:hAnsi="Noto Sans"/>
            <w:color w:val="17688C"/>
            <w:sz w:val="17"/>
            <w:u w:val="single"/>
          </w:rPr>
          <w:t>[R033]</w:t>
        </w:r>
      </w:hyperlink>
      <w:r>
        <w:t xml:space="preserve"> </w:t>
      </w:r>
    </w:p>
    <w:p>
      <w:pPr>
        <w:pStyle w:val="Heading2"/>
      </w:pPr>
      <w:r>
        <w:t>Полезные дополнительные входы</w:t>
      </w:r>
    </w:p>
    <w:p>
      <w:pPr>
        <w:keepLines/>
      </w:pPr>
      <w:r>
        <w:t>Iqtiṣād доступен в ACO в печати 1909 года; современный английский перевод Aladdin Yaqub, Moderation in Belief, представлен официальной издательской карточкой. Эти две версии не объединены: у старого арабского оригинала и нового английского перевода разные возможности повторного использования.</w:t>
      </w:r>
      <w:r>
        <w:t xml:space="preserve"> </w:t>
      </w:r>
      <w:hyperlink r:id="rId57">
        <w:r>
          <w:rPr>
            <w:rFonts w:ascii="Noto Sans" w:hAnsi="Noto Sans"/>
            <w:color w:val="17688C"/>
            <w:sz w:val="17"/>
            <w:u w:val="single"/>
          </w:rPr>
          <w:t>[R003]</w:t>
        </w:r>
      </w:hyperlink>
      <w:r>
        <w:t xml:space="preserve"> </w:t>
      </w:r>
      <w:hyperlink r:id="rId58">
        <w:r>
          <w:rPr>
            <w:rFonts w:ascii="Noto Sans" w:hAnsi="Noto Sans"/>
            <w:color w:val="17688C"/>
            <w:sz w:val="17"/>
            <w:u w:val="single"/>
          </w:rPr>
          <w:t>[R029]</w:t>
        </w:r>
      </w:hyperlink>
      <w:r>
        <w:t xml:space="preserve"> </w:t>
      </w:r>
    </w:p>
    <w:p>
      <w:pPr>
        <w:keepLines/>
      </w:pPr>
      <w:r>
        <w:t>Для Munqidh найден полный английский текст Claud Field 1909 года в Project Gutenberg, с HTML и форматами скачивания. Это полезный старый перевод, но не арабская основа нового перевода ToS. Оценка Public Domain относится прежде всего к США; отдельно учитываются уведомления и условия Project Gutenberg. Найденные данные не дают оснований распространять этот вывод на современные русские переводы.</w:t>
      </w:r>
      <w:r>
        <w:t xml:space="preserve"> </w:t>
      </w:r>
      <w:hyperlink r:id="rId59">
        <w:r>
          <w:rPr>
            <w:rFonts w:ascii="Noto Sans" w:hAnsi="Noto Sans"/>
            <w:color w:val="17688C"/>
            <w:sz w:val="17"/>
            <w:u w:val="single"/>
          </w:rPr>
          <w:t>[R014]</w:t>
        </w:r>
      </w:hyperlink>
      <w:r>
        <w:t xml:space="preserve"> </w:t>
      </w:r>
    </w:p>
    <w:p>
      <w:pPr>
        <w:keepLines/>
      </w:pPr>
      <w:r>
        <w:t>В целом бесплатные арабские оригиналы Газали покрыты лучше, чем русские научные переводы. Старые сканы следует сочетать с современными редакциями при исследовании вариантов текста. Корпусные права допускают разные действия для разных строк; единого «свободного Газали» в смысле всех редакций не существует.</w:t>
      </w:r>
    </w:p>
    <w:p>
      <w:pPr>
        <w:pStyle w:val="Heading1"/>
        <w:pageBreakBefore/>
      </w:pPr>
      <w:r>
        <w:t>3. Лучшие пути доступа — Рази и Ishārāt</w:t>
      </w:r>
    </w:p>
    <w:p>
      <w:pPr>
        <w:pStyle w:val="Subtitle"/>
      </w:pPr>
      <w:r>
        <w:t>Состав summae и полемический комментарий</w:t>
      </w:r>
    </w:p>
    <w:p>
      <w:pPr>
        <w:pStyle w:val="Heading2"/>
      </w:pPr>
      <w:r>
        <w:t>Крупные произведения Рази</w:t>
      </w:r>
    </w:p>
    <w:p>
      <w:pPr>
        <w:keepLines/>
      </w:pPr>
      <w:r>
        <w:t>Для Mabāḥith al-mashriqiyya найден HathiTrust-каталог двухтомной Hyderabad-печати 1924–1925 годов с Full View. Это официальный указатель полного просмотра, но не результат проверки каждой страницы BookReader. Для Mulakhkhaṣ есть современный полный печатный комплект 2021 года в официальном магазине Dar al-Minhāj и отдельный свободнее размеченный рукописный фрагмент в QDL.</w:t>
      </w:r>
      <w:r>
        <w:t xml:space="preserve"> </w:t>
      </w:r>
      <w:hyperlink r:id="rId60">
        <w:r>
          <w:rPr>
            <w:rFonts w:ascii="Noto Sans" w:hAnsi="Noto Sans"/>
            <w:color w:val="17688C"/>
            <w:sz w:val="17"/>
            <w:u w:val="single"/>
          </w:rPr>
          <w:t>[R020]</w:t>
        </w:r>
      </w:hyperlink>
      <w:r>
        <w:t xml:space="preserve"> </w:t>
      </w:r>
      <w:hyperlink r:id="rId61">
        <w:r>
          <w:rPr>
            <w:rFonts w:ascii="Noto Sans" w:hAnsi="Noto Sans"/>
            <w:color w:val="17688C"/>
            <w:sz w:val="17"/>
            <w:u w:val="single"/>
          </w:rPr>
          <w:t>[R064]</w:t>
        </w:r>
      </w:hyperlink>
      <w:r>
        <w:t xml:space="preserve"> </w:t>
      </w:r>
      <w:hyperlink r:id="rId62">
        <w:r>
          <w:rPr>
            <w:rFonts w:ascii="Noto Sans" w:hAnsi="Noto Sans"/>
            <w:color w:val="17688C"/>
            <w:sz w:val="17"/>
            <w:u w:val="single"/>
          </w:rPr>
          <w:t>[R012]</w:t>
        </w:r>
      </w:hyperlink>
      <w:r>
        <w:t xml:space="preserve"> </w:t>
      </w:r>
    </w:p>
    <w:p>
      <w:pPr>
        <w:keepLines/>
      </w:pPr>
      <w:r>
        <w:t>Muḥaṣṣal представлен старым сканом 1905 года в ACO. Его прямые продолжения сохранены отдельно: Talkhīṣ Туси в редакции Nūranī 1980 года и Lubāb Ибн Халдуна в издании 1952 года. Свободное скачивание этих современных изданий не заменяет проверки редакторских прав.</w:t>
      </w:r>
      <w:r>
        <w:t xml:space="preserve"> </w:t>
      </w:r>
      <w:hyperlink r:id="rId63">
        <w:r>
          <w:rPr>
            <w:rFonts w:ascii="Noto Sans" w:hAnsi="Noto Sans"/>
            <w:color w:val="17688C"/>
            <w:sz w:val="17"/>
            <w:u w:val="single"/>
          </w:rPr>
          <w:t>[R010]</w:t>
        </w:r>
      </w:hyperlink>
      <w:r>
        <w:t xml:space="preserve"> </w:t>
      </w:r>
      <w:hyperlink r:id="rId22">
        <w:r>
          <w:rPr>
            <w:rFonts w:ascii="Noto Sans" w:hAnsi="Noto Sans"/>
            <w:color w:val="17688C"/>
            <w:sz w:val="17"/>
            <w:u w:val="single"/>
          </w:rPr>
          <w:t>[R013]</w:t>
        </w:r>
      </w:hyperlink>
      <w:r>
        <w:t xml:space="preserve"> </w:t>
      </w:r>
      <w:hyperlink r:id="rId31">
        <w:r>
          <w:rPr>
            <w:rFonts w:ascii="Noto Sans" w:hAnsi="Noto Sans"/>
            <w:color w:val="17688C"/>
            <w:sz w:val="17"/>
            <w:u w:val="single"/>
          </w:rPr>
          <w:t>[R066]</w:t>
        </w:r>
      </w:hyperlink>
      <w:r>
        <w:t xml:space="preserve"> </w:t>
      </w:r>
    </w:p>
    <w:p>
      <w:pPr>
        <w:keepLines/>
      </w:pPr>
      <w:r>
        <w:t>Maṭālib имеет проверенную официальную карточку трёхтомного комплекта 1999 года, однако его coverage понижен до substantial_part относительно исторического корпуса. Исследовательская заметка Altaş 2020 устанавливает Fatih 3145 с дополнительными разделами. Полный издательский комплект и полный реконструированный состав произведения — здесь не одно и то же. Само факсимиле Fatih 3145 остаётся приоритетным пробелом G004.</w:t>
      </w:r>
      <w:r>
        <w:t xml:space="preserve"> </w:t>
      </w:r>
      <w:hyperlink r:id="rId64">
        <w:r>
          <w:rPr>
            <w:rFonts w:ascii="Noto Sans" w:hAnsi="Noto Sans"/>
            <w:color w:val="17688C"/>
            <w:sz w:val="17"/>
            <w:u w:val="single"/>
          </w:rPr>
          <w:t>[R015]</w:t>
        </w:r>
      </w:hyperlink>
      <w:r>
        <w:t xml:space="preserve"> </w:t>
      </w:r>
      <w:hyperlink r:id="rId65">
        <w:r>
          <w:rPr>
            <w:rFonts w:ascii="Noto Sans" w:hAnsi="Noto Sans"/>
            <w:color w:val="17688C"/>
            <w:sz w:val="17"/>
            <w:u w:val="single"/>
          </w:rPr>
          <w:t>[R072]</w:t>
        </w:r>
      </w:hyperlink>
      <w:r>
        <w:t xml:space="preserve"> </w:t>
      </w:r>
    </w:p>
    <w:p>
      <w:pPr>
        <w:pStyle w:val="Heading2"/>
      </w:pPr>
      <w:r>
        <w:t>Небольшие тексты и философский tafsīr</w:t>
      </w:r>
    </w:p>
    <w:p>
      <w:pPr>
        <w:keepLines/>
      </w:pPr>
      <w:r>
        <w:t>Сильные новые входы — академические публикации Jawhar al-fard и al-Hayūlā wa-l-ṣūra с арабским текстом. У первой редакции зафиксирована лакуна, поэтому полный PDF статьи не назван полным трактатом. Обе статьи доступны по NC-ND-условиям: их можно рассматривать как неизменяемые некоммерческие публикации, но не как автоматически чистую основу новой редакции.</w:t>
      </w:r>
      <w:r>
        <w:t xml:space="preserve"> </w:t>
      </w:r>
      <w:hyperlink r:id="rId19">
        <w:r>
          <w:rPr>
            <w:rFonts w:ascii="Noto Sans" w:hAnsi="Noto Sans"/>
            <w:color w:val="17688C"/>
            <w:sz w:val="17"/>
            <w:u w:val="single"/>
          </w:rPr>
          <w:t>[R065]</w:t>
        </w:r>
      </w:hyperlink>
      <w:r>
        <w:t xml:space="preserve"> </w:t>
      </w:r>
      <w:hyperlink r:id="rId21">
        <w:r>
          <w:rPr>
            <w:rFonts w:ascii="Noto Sans" w:hAnsi="Noto Sans"/>
            <w:color w:val="17688C"/>
            <w:sz w:val="17"/>
            <w:u w:val="single"/>
          </w:rPr>
          <w:t>[R070]</w:t>
        </w:r>
      </w:hyperlink>
      <w:r>
        <w:t xml:space="preserve"> </w:t>
      </w:r>
    </w:p>
    <w:p>
      <w:pPr>
        <w:keepLines/>
      </w:pPr>
      <w:r>
        <w:t>Maʿālim с вопросами Катиби и замечаниями Ибн Каммуны найден как единый издательский комплект; он сохраняет несколько самостоятельных первичных голосов, а не три фиктивно разных файла. Arbaʿūn доступен через современную покупку и Princeton-кодекс. Asās al-taqdīs, Munāẓarāt и персидская Kamāliyya получили отдельные каталожные или поисково-ограниченные маршруты.</w:t>
      </w:r>
      <w:r>
        <w:t xml:space="preserve"> </w:t>
      </w:r>
      <w:hyperlink r:id="rId66">
        <w:r>
          <w:rPr>
            <w:rFonts w:ascii="Noto Sans" w:hAnsi="Noto Sans"/>
            <w:color w:val="17688C"/>
            <w:sz w:val="17"/>
            <w:u w:val="single"/>
          </w:rPr>
          <w:t>[R017]</w:t>
        </w:r>
      </w:hyperlink>
      <w:r>
        <w:t xml:space="preserve"> </w:t>
      </w:r>
      <w:hyperlink r:id="rId14">
        <w:r>
          <w:rPr>
            <w:rFonts w:ascii="Noto Sans" w:hAnsi="Noto Sans"/>
            <w:color w:val="17688C"/>
            <w:sz w:val="17"/>
            <w:u w:val="single"/>
          </w:rPr>
          <w:t>[R023]</w:t>
        </w:r>
      </w:hyperlink>
      <w:r>
        <w:t xml:space="preserve"> </w:t>
      </w:r>
      <w:hyperlink r:id="rId67">
        <w:r>
          <w:rPr>
            <w:rFonts w:ascii="Noto Sans" w:hAnsi="Noto Sans"/>
            <w:color w:val="17688C"/>
            <w:sz w:val="17"/>
            <w:u w:val="single"/>
          </w:rPr>
          <w:t>[R024]</w:t>
        </w:r>
      </w:hyperlink>
      <w:r>
        <w:t xml:space="preserve"> </w:t>
      </w:r>
      <w:hyperlink r:id="rId15">
        <w:r>
          <w:rPr>
            <w:rFonts w:ascii="Noto Sans" w:hAnsi="Noto Sans"/>
            <w:color w:val="17688C"/>
            <w:sz w:val="17"/>
            <w:u w:val="single"/>
          </w:rPr>
          <w:t>[R025]</w:t>
        </w:r>
      </w:hyperlink>
      <w:r>
        <w:t xml:space="preserve"> </w:t>
      </w:r>
      <w:hyperlink r:id="rId12">
        <w:r>
          <w:rPr>
            <w:rFonts w:ascii="Noto Sans" w:hAnsi="Noto Sans"/>
            <w:color w:val="17688C"/>
            <w:sz w:val="17"/>
            <w:u w:val="single"/>
          </w:rPr>
          <w:t>[R042]</w:t>
        </w:r>
      </w:hyperlink>
      <w:r>
        <w:t xml:space="preserve"> </w:t>
      </w:r>
      <w:hyperlink r:id="rId20">
        <w:r>
          <w:rPr>
            <w:rFonts w:ascii="Noto Sans" w:hAnsi="Noto Sans"/>
            <w:color w:val="17688C"/>
            <w:sz w:val="17"/>
            <w:u w:val="single"/>
          </w:rPr>
          <w:t>[R067]</w:t>
        </w:r>
      </w:hyperlink>
      <w:r>
        <w:t xml:space="preserve"> </w:t>
      </w:r>
    </w:p>
    <w:p>
      <w:pPr>
        <w:keepLines/>
      </w:pPr>
      <w:r>
        <w:t>Для Mafātīḥ al-ghayb сохранены старые печатные тома в HathiTrust, Michigan MS 464 и арабский HTML Altafsir. Michigan-свидетель содержит лишь определённый участок суры al-Baqara; старый печатный маршрут также не охватывает все тома. Проверенный HTML не выдаётся за аудит всех 114 сур и всей цифровой редакции.</w:t>
      </w:r>
      <w:r>
        <w:t xml:space="preserve"> </w:t>
      </w:r>
      <w:hyperlink r:id="rId68">
        <w:r>
          <w:rPr>
            <w:rFonts w:ascii="Noto Sans" w:hAnsi="Noto Sans"/>
            <w:color w:val="17688C"/>
            <w:sz w:val="17"/>
            <w:u w:val="single"/>
          </w:rPr>
          <w:t>[R021]</w:t>
        </w:r>
      </w:hyperlink>
      <w:r>
        <w:t xml:space="preserve"> </w:t>
      </w:r>
      <w:hyperlink r:id="rId69">
        <w:r>
          <w:rPr>
            <w:rFonts w:ascii="Noto Sans" w:hAnsi="Noto Sans"/>
            <w:color w:val="17688C"/>
            <w:sz w:val="17"/>
            <w:u w:val="single"/>
          </w:rPr>
          <w:t>[R022]</w:t>
        </w:r>
      </w:hyperlink>
      <w:r>
        <w:t xml:space="preserve"> </w:t>
      </w:r>
      <w:hyperlink r:id="rId70">
        <w:r>
          <w:rPr>
            <w:rFonts w:ascii="Noto Sans" w:hAnsi="Noto Sans"/>
            <w:color w:val="17688C"/>
            <w:sz w:val="17"/>
            <w:u w:val="single"/>
          </w:rPr>
          <w:t>[R069]</w:t>
        </w:r>
      </w:hyperlink>
      <w:r>
        <w:t xml:space="preserve"> </w:t>
      </w:r>
    </w:p>
    <w:p>
      <w:pPr>
        <w:pStyle w:val="Heading2"/>
      </w:pPr>
      <w:r>
        <w:t>Цепь Ishārāt</w:t>
      </w:r>
    </w:p>
    <w:p>
      <w:pPr>
        <w:keepLines/>
      </w:pPr>
      <w:r>
        <w:t>Наиболее свободное современное научное звено — арабское издание сомнений Масуди в книге Shihadeh Doubts on Avicenna: CC BY-NC 4.0 позволяет производные некоммерческие работы в пределах лицензированного слоя. Для комментария Рази есть современная покупка; для Туси и Кутб ад-Дина — конкретный том ACO-комплекта. Старое издание Forget 1892 и современные переводы Inati и русский фрагмент Ибрагима / Ефремовой дают дополнительные, не взаимозаменяемые входы.</w:t>
      </w:r>
      <w:r>
        <w:t xml:space="preserve"> </w:t>
      </w:r>
      <w:hyperlink r:id="rId71">
        <w:r>
          <w:rPr>
            <w:rFonts w:ascii="Noto Sans" w:hAnsi="Noto Sans"/>
            <w:color w:val="17688C"/>
            <w:sz w:val="17"/>
            <w:u w:val="single"/>
          </w:rPr>
          <w:t>[R001]</w:t>
        </w:r>
      </w:hyperlink>
      <w:r>
        <w:t xml:space="preserve"> </w:t>
      </w:r>
      <w:hyperlink r:id="rId72">
        <w:r>
          <w:rPr>
            <w:rFonts w:ascii="Noto Sans" w:hAnsi="Noto Sans"/>
            <w:color w:val="17688C"/>
            <w:sz w:val="17"/>
            <w:u w:val="single"/>
          </w:rPr>
          <w:t>[R005]</w:t>
        </w:r>
      </w:hyperlink>
      <w:r>
        <w:t xml:space="preserve"> </w:t>
      </w:r>
      <w:hyperlink r:id="rId73">
        <w:r>
          <w:rPr>
            <w:rFonts w:ascii="Noto Sans" w:hAnsi="Noto Sans"/>
            <w:color w:val="17688C"/>
            <w:sz w:val="17"/>
            <w:u w:val="single"/>
          </w:rPr>
          <w:t>[R016]</w:t>
        </w:r>
      </w:hyperlink>
      <w:r>
        <w:t xml:space="preserve"> </w:t>
      </w:r>
      <w:hyperlink r:id="rId34">
        <w:r>
          <w:rPr>
            <w:rFonts w:ascii="Noto Sans" w:hAnsi="Noto Sans"/>
            <w:color w:val="17688C"/>
            <w:sz w:val="17"/>
            <w:u w:val="single"/>
          </w:rPr>
          <w:t>[R036]</w:t>
        </w:r>
      </w:hyperlink>
      <w:r>
        <w:t xml:space="preserve"> </w:t>
      </w:r>
      <w:hyperlink r:id="rId74">
        <w:r>
          <w:rPr>
            <w:rFonts w:ascii="Noto Sans" w:hAnsi="Noto Sans"/>
            <w:color w:val="17688C"/>
            <w:sz w:val="17"/>
            <w:u w:val="single"/>
          </w:rPr>
          <w:t>[R045]</w:t>
        </w:r>
      </w:hyperlink>
      <w:r>
        <w:t xml:space="preserve"> </w:t>
      </w:r>
      <w:hyperlink r:id="rId35">
        <w:r>
          <w:rPr>
            <w:rFonts w:ascii="Noto Sans" w:hAnsi="Noto Sans"/>
            <w:color w:val="17688C"/>
            <w:sz w:val="17"/>
            <w:u w:val="single"/>
          </w:rPr>
          <w:t>[R057]</w:t>
        </w:r>
      </w:hyperlink>
      <w:r>
        <w:t xml:space="preserve"> </w:t>
      </w:r>
    </w:p>
    <w:p>
      <w:pPr>
        <w:pStyle w:val="Heading1"/>
        <w:pageBreakBefore/>
      </w:pPr>
      <w:r>
        <w:t>3. Лучшие пути доступа — логика и поздний kalām</w:t>
      </w:r>
    </w:p>
    <w:p>
      <w:pPr>
        <w:pStyle w:val="Subtitle"/>
      </w:pPr>
      <w:r>
        <w:t>Учебник, комментарий и поздняя глосса</w:t>
      </w:r>
    </w:p>
    <w:p>
      <w:pPr>
        <w:pStyle w:val="Heading2"/>
      </w:pPr>
      <w:r>
        <w:t>Катиби и Хунажи</w:t>
      </w:r>
    </w:p>
    <w:p>
      <w:pPr>
        <w:keepLines/>
      </w:pPr>
      <w:r>
        <w:t>Для Shamsiyya наиболее содержательный бесплатный современный путь — расширенное издание Tony Street 2024 на сайте Library of Arabic Literature: полный PDF примерно на 455 страниц с арабским текстом и английским переводом. Это отдельная версия, а не ещё один формат краткого торгового издания The Rules of Logic. PDF сохраняет All rights reserved: чтение и скачивание подтверждены, зеркалирование не разрешено.</w:t>
      </w:r>
      <w:r>
        <w:t xml:space="preserve"> </w:t>
      </w:r>
      <w:hyperlink r:id="rId75">
        <w:r>
          <w:rPr>
            <w:rFonts w:ascii="Noto Sans" w:hAnsi="Noto Sans"/>
            <w:color w:val="17688C"/>
            <w:sz w:val="17"/>
            <w:u w:val="single"/>
          </w:rPr>
          <w:t>[R007]</w:t>
        </w:r>
      </w:hyperlink>
      <w:r>
        <w:t xml:space="preserve"> </w:t>
      </w:r>
      <w:hyperlink r:id="rId76">
        <w:r>
          <w:rPr>
            <w:rFonts w:ascii="Noto Sans" w:hAnsi="Noto Sans"/>
            <w:color w:val="17688C"/>
            <w:sz w:val="17"/>
            <w:u w:val="single"/>
          </w:rPr>
          <w:t>[R008]</w:t>
        </w:r>
      </w:hyperlink>
      <w:r>
        <w:t xml:space="preserve"> </w:t>
      </w:r>
    </w:p>
    <w:p>
      <w:pPr>
        <w:keepLines/>
      </w:pPr>
      <w:r>
        <w:t>Для раннего материального свидетеля есть Fihrist Trinity R.13.54 — каталог, а не найденное факсимиле. Комментарий Taḥrīr al-qawāʿid Кутб ад-Дина ар-Рази представлен старой печатью ACO. Для Kashf al-asrār Хунажи надёжно идентифицировано научное издание El-Rouayheb 2010, но основной найденный путь остаётся библиографическим; поиск цифровой рукописи в UQU не завершён.</w:t>
      </w:r>
      <w:r>
        <w:t xml:space="preserve"> </w:t>
      </w:r>
      <w:hyperlink r:id="rId11">
        <w:r>
          <w:rPr>
            <w:rFonts w:ascii="Noto Sans" w:hAnsi="Noto Sans"/>
            <w:color w:val="17688C"/>
            <w:sz w:val="17"/>
            <w:u w:val="single"/>
          </w:rPr>
          <w:t>[R002]</w:t>
        </w:r>
      </w:hyperlink>
      <w:r>
        <w:t xml:space="preserve"> </w:t>
      </w:r>
      <w:hyperlink r:id="rId77">
        <w:r>
          <w:rPr>
            <w:rFonts w:ascii="Noto Sans" w:hAnsi="Noto Sans"/>
            <w:color w:val="17688C"/>
            <w:sz w:val="17"/>
            <w:u w:val="single"/>
          </w:rPr>
          <w:t>[R004]</w:t>
        </w:r>
      </w:hyperlink>
      <w:r>
        <w:t xml:space="preserve"> </w:t>
      </w:r>
      <w:hyperlink r:id="rId24">
        <w:r>
          <w:rPr>
            <w:rFonts w:ascii="Noto Sans" w:hAnsi="Noto Sans"/>
            <w:color w:val="17688C"/>
            <w:sz w:val="17"/>
            <w:u w:val="single"/>
          </w:rPr>
          <w:t>[R027]</w:t>
        </w:r>
      </w:hyperlink>
      <w:r>
        <w:t xml:space="preserve"> </w:t>
      </w:r>
    </w:p>
    <w:p>
      <w:pPr>
        <w:keepLines/>
      </w:pPr>
      <w:r>
        <w:t>Ḥikmat al-ʿayn Катиби с комментарием Мубаракшаха найдена в ACO в современной редакции. Она расширяет Катиби за пределы одной Shamsiyya, но не получает автоматически права той или иной цифровой логической библиотеки.</w:t>
      </w:r>
      <w:r>
        <w:t xml:space="preserve"> </w:t>
      </w:r>
      <w:hyperlink r:id="rId29">
        <w:r>
          <w:rPr>
            <w:rFonts w:ascii="Noto Sans" w:hAnsi="Noto Sans"/>
            <w:color w:val="17688C"/>
            <w:sz w:val="17"/>
            <w:u w:val="single"/>
          </w:rPr>
          <w:t>[R059]</w:t>
        </w:r>
      </w:hyperlink>
      <w:r>
        <w:t xml:space="preserve"> </w:t>
      </w:r>
    </w:p>
    <w:p>
      <w:pPr>
        <w:pStyle w:val="Heading2"/>
      </w:pPr>
      <w:r>
        <w:t>Абхари и комментарийная семья</w:t>
      </w:r>
    </w:p>
    <w:p>
      <w:pPr>
        <w:keepLines/>
      </w:pPr>
      <w:r>
        <w:t>Hidāyat al-ḥikma представлена несколькими различными слоями: выбранные английские разделы у Nicholas Heer, диссертационный путь IIUM, старое литографированное издание комментария Майбуди, рукопись глосс Лари, сокращённый комментарий 1495 года и неполный рукописный фрагмент физики/метафизики. Их coverage намеренно различается. Английская выборка Heer — не перевод всего учебника.</w:t>
      </w:r>
      <w:r>
        <w:t xml:space="preserve"> </w:t>
      </w:r>
      <w:hyperlink r:id="rId78">
        <w:r>
          <w:rPr>
            <w:rFonts w:ascii="Noto Sans" w:hAnsi="Noto Sans"/>
            <w:color w:val="17688C"/>
            <w:sz w:val="17"/>
            <w:u w:val="single"/>
          </w:rPr>
          <w:t>[R038]</w:t>
        </w:r>
      </w:hyperlink>
      <w:r>
        <w:t xml:space="preserve"> </w:t>
      </w:r>
      <w:hyperlink r:id="rId79">
        <w:r>
          <w:rPr>
            <w:rFonts w:ascii="Noto Sans" w:hAnsi="Noto Sans"/>
            <w:color w:val="17688C"/>
            <w:sz w:val="17"/>
            <w:u w:val="single"/>
          </w:rPr>
          <w:t>[R039]</w:t>
        </w:r>
      </w:hyperlink>
      <w:r>
        <w:t xml:space="preserve"> </w:t>
      </w:r>
      <w:hyperlink r:id="rId49">
        <w:r>
          <w:rPr>
            <w:rFonts w:ascii="Noto Sans" w:hAnsi="Noto Sans"/>
            <w:color w:val="17688C"/>
            <w:sz w:val="17"/>
            <w:u w:val="single"/>
          </w:rPr>
          <w:t>[R052]</w:t>
        </w:r>
      </w:hyperlink>
      <w:r>
        <w:t xml:space="preserve"> </w:t>
      </w:r>
      <w:hyperlink r:id="rId27">
        <w:r>
          <w:rPr>
            <w:rFonts w:ascii="Noto Sans" w:hAnsi="Noto Sans"/>
            <w:color w:val="17688C"/>
            <w:sz w:val="17"/>
            <w:u w:val="single"/>
          </w:rPr>
          <w:t>[R053]</w:t>
        </w:r>
      </w:hyperlink>
      <w:r>
        <w:t xml:space="preserve"> </w:t>
      </w:r>
      <w:hyperlink r:id="rId80">
        <w:r>
          <w:rPr>
            <w:rFonts w:ascii="Noto Sans" w:hAnsi="Noto Sans"/>
            <w:color w:val="17688C"/>
            <w:sz w:val="17"/>
            <w:u w:val="single"/>
          </w:rPr>
          <w:t>[R054]</w:t>
        </w:r>
      </w:hyperlink>
      <w:r>
        <w:t xml:space="preserve"> </w:t>
      </w:r>
      <w:hyperlink r:id="rId81">
        <w:r>
          <w:rPr>
            <w:rFonts w:ascii="Noto Sans" w:hAnsi="Noto Sans"/>
            <w:color w:val="17688C"/>
            <w:sz w:val="17"/>
            <w:u w:val="single"/>
          </w:rPr>
          <w:t>[R056]</w:t>
        </w:r>
      </w:hyperlink>
      <w:r>
        <w:t xml:space="preserve"> </w:t>
      </w:r>
    </w:p>
    <w:p>
      <w:pPr>
        <w:keepLines/>
      </w:pPr>
      <w:r>
        <w:t>Для Īsāghūjī зарегистрирован отдельный рукописный текст в составе сборника. При подсчёте используется конкретный трактат и его листы, а не весь кодекс как якобы единое произведение Абхари. Следующие ветви, включая возможный поздний комментарий Ṣadrā, оставлены в адресной очереди, а не исключены по XVII веку.</w:t>
      </w:r>
      <w:r>
        <w:t xml:space="preserve"> </w:t>
      </w:r>
      <w:hyperlink r:id="rId28">
        <w:r>
          <w:rPr>
            <w:rFonts w:ascii="Noto Sans" w:hAnsi="Noto Sans"/>
            <w:color w:val="17688C"/>
            <w:sz w:val="17"/>
            <w:u w:val="single"/>
          </w:rPr>
          <w:t>[R055]</w:t>
        </w:r>
      </w:hyperlink>
      <w:r>
        <w:t xml:space="preserve"> </w:t>
      </w:r>
    </w:p>
    <w:p>
      <w:pPr>
        <w:pStyle w:val="Heading2"/>
      </w:pPr>
      <w:r>
        <w:t>Summae позднего kalām</w:t>
      </w:r>
    </w:p>
    <w:p>
      <w:pPr>
        <w:keepLines/>
      </w:pPr>
      <w:r>
        <w:t>Для Mawāqif лучший найденный современный вход — официальный многослойный комплект: матн Иджи, Sharḥ Джурджани и поздние глоссы. Princeton Garrett 1233Y — конкретный полный рукописный свидетель Sharḥ, скопированный в 1613 году; дата сочинения комментария 1405 остаётся отдельным фактом каталога. Для Sharḥ al-Maqāṣid есть отдельная современная покупка.</w:t>
      </w:r>
      <w:r>
        <w:t xml:space="preserve"> </w:t>
      </w:r>
      <w:hyperlink r:id="rId23">
        <w:r>
          <w:rPr>
            <w:rFonts w:ascii="Noto Sans" w:hAnsi="Noto Sans"/>
            <w:color w:val="17688C"/>
            <w:sz w:val="17"/>
            <w:u w:val="single"/>
          </w:rPr>
          <w:t>[R018]</w:t>
        </w:r>
      </w:hyperlink>
      <w:r>
        <w:t xml:space="preserve"> </w:t>
      </w:r>
      <w:hyperlink r:id="rId47">
        <w:r>
          <w:rPr>
            <w:rFonts w:ascii="Noto Sans" w:hAnsi="Noto Sans"/>
            <w:color w:val="17688C"/>
            <w:sz w:val="17"/>
            <w:u w:val="single"/>
          </w:rPr>
          <w:t>[R019]</w:t>
        </w:r>
      </w:hyperlink>
      <w:r>
        <w:t xml:space="preserve"> </w:t>
      </w:r>
      <w:hyperlink r:id="rId13">
        <w:r>
          <w:rPr>
            <w:rFonts w:ascii="Noto Sans" w:hAnsi="Noto Sans"/>
            <w:color w:val="17688C"/>
            <w:sz w:val="17"/>
            <w:u w:val="single"/>
          </w:rPr>
          <w:t>[R043]</w:t>
        </w:r>
      </w:hyperlink>
      <w:r>
        <w:t xml:space="preserve"> </w:t>
      </w:r>
    </w:p>
    <w:p>
      <w:pPr>
        <w:keepLines/>
      </w:pPr>
      <w:r>
        <w:t>Tajrīd и Kashf al-murād найдены в ACO; английская часть главы об имамате в Al-Islam добавляет доступ к выбранному переводу, но не ко всему арабскому корпусу. Для Sharḥ al-ʿAqāʾid сохранён условный маршрут Open Library: Borrow ведёт к регистрации/входу; реальная выдача не выполнялась. Статья с al-Risāla al-sharīfa Самарканди даёт современное арабское издание и английский перевод под NC-ND.</w:t>
      </w:r>
      <w:r>
        <w:t xml:space="preserve"> </w:t>
      </w:r>
      <w:hyperlink r:id="rId25">
        <w:r>
          <w:rPr>
            <w:rFonts w:ascii="Noto Sans" w:hAnsi="Noto Sans"/>
            <w:color w:val="17688C"/>
            <w:sz w:val="17"/>
            <w:u w:val="single"/>
          </w:rPr>
          <w:t>[R048]</w:t>
        </w:r>
      </w:hyperlink>
      <w:r>
        <w:t xml:space="preserve"> </w:t>
      </w:r>
      <w:hyperlink r:id="rId26">
        <w:r>
          <w:rPr>
            <w:rFonts w:ascii="Noto Sans" w:hAnsi="Noto Sans"/>
            <w:color w:val="17688C"/>
            <w:sz w:val="17"/>
            <w:u w:val="single"/>
          </w:rPr>
          <w:t>[R049]</w:t>
        </w:r>
      </w:hyperlink>
      <w:r>
        <w:t xml:space="preserve"> </w:t>
      </w:r>
      <w:hyperlink r:id="rId82">
        <w:r>
          <w:rPr>
            <w:rFonts w:ascii="Noto Sans" w:hAnsi="Noto Sans"/>
            <w:color w:val="17688C"/>
            <w:sz w:val="17"/>
            <w:u w:val="single"/>
          </w:rPr>
          <w:t>[R050]</w:t>
        </w:r>
      </w:hyperlink>
      <w:r>
        <w:t xml:space="preserve"> </w:t>
      </w:r>
      <w:hyperlink r:id="rId32">
        <w:r>
          <w:rPr>
            <w:rFonts w:ascii="Noto Sans" w:hAnsi="Noto Sans"/>
            <w:color w:val="17688C"/>
            <w:sz w:val="17"/>
            <w:u w:val="single"/>
          </w:rPr>
          <w:t>[R068]</w:t>
        </w:r>
      </w:hyperlink>
      <w:r>
        <w:t xml:space="preserve"> </w:t>
      </w:r>
      <w:hyperlink r:id="rId33">
        <w:r>
          <w:rPr>
            <w:rFonts w:ascii="Noto Sans" w:hAnsi="Noto Sans"/>
            <w:color w:val="17688C"/>
            <w:sz w:val="17"/>
            <w:u w:val="single"/>
          </w:rPr>
          <w:t>[R071]</w:t>
        </w:r>
      </w:hyperlink>
      <w:r>
        <w:t xml:space="preserve"> </w:t>
      </w:r>
    </w:p>
    <w:p>
      <w:pPr>
        <w:keepLines/>
      </w:pPr>
      <w:r>
        <w:t>Таким образом, лучшие научные входы не всегда совпадают с самыми свободными. Коммерческие и библиотечные варианты сохранены именно потому, что позволяют читать текст, даже когда ToS не вправе публиковать его копию.</w:t>
      </w:r>
    </w:p>
    <w:p>
      <w:pPr>
        <w:pStyle w:val="Heading1"/>
        <w:pageBreakBefore/>
      </w:pPr>
      <w:r>
        <w:t>3. Лучшие пути доступа — передача и цифровой слой</w:t>
      </w:r>
    </w:p>
    <w:p>
      <w:pPr>
        <w:pStyle w:val="Subtitle"/>
      </w:pPr>
      <w:r>
        <w:t>Переводы, рукописи и машиночитаемые данные</w:t>
      </w:r>
    </w:p>
    <w:p>
      <w:pPr>
        <w:pStyle w:val="Heading2"/>
      </w:pPr>
      <w:r>
        <w:t>Прямые полемические и переводные ответвления</w:t>
      </w:r>
    </w:p>
    <w:p>
      <w:pPr>
        <w:keepLines/>
      </w:pPr>
      <w:r>
        <w:t>Muṣāraʿat al-falāsifa Шахрастани доступна в современном научном арабо-английском издании Madelung / Mayer через Institute of Ismaili Studies; Muṣāriʿ al-Muṣāriʿ Туси — через современную арабскую печать ACO. Эти записи сохраняют конкретную пару полемических текстов. Для Tahāfut al-tahāfut Ибн Рушда найден официальный путь к английскому переводу van den Bergh в переиздании Gibb Memorial.</w:t>
      </w:r>
      <w:r>
        <w:t xml:space="preserve"> </w:t>
      </w:r>
      <w:hyperlink r:id="rId83">
        <w:r>
          <w:rPr>
            <w:rFonts w:ascii="Noto Sans" w:hAnsi="Noto Sans"/>
            <w:color w:val="17688C"/>
            <w:sz w:val="17"/>
            <w:u w:val="single"/>
          </w:rPr>
          <w:t>[R037]</w:t>
        </w:r>
      </w:hyperlink>
      <w:r>
        <w:t xml:space="preserve"> </w:t>
      </w:r>
      <w:hyperlink r:id="rId30">
        <w:r>
          <w:rPr>
            <w:rFonts w:ascii="Noto Sans" w:hAnsi="Noto Sans"/>
            <w:color w:val="17688C"/>
            <w:sz w:val="17"/>
            <w:u w:val="single"/>
          </w:rPr>
          <w:t>[R060]</w:t>
        </w:r>
      </w:hyperlink>
      <w:r>
        <w:t xml:space="preserve"> </w:t>
      </w:r>
      <w:hyperlink r:id="rId43">
        <w:r>
          <w:rPr>
            <w:rFonts w:ascii="Noto Sans" w:hAnsi="Noto Sans"/>
            <w:color w:val="17688C"/>
            <w:sz w:val="17"/>
            <w:u w:val="single"/>
          </w:rPr>
          <w:t>[R058]</w:t>
        </w:r>
      </w:hyperlink>
      <w:r>
        <w:t xml:space="preserve"> </w:t>
      </w:r>
    </w:p>
    <w:p>
      <w:pPr>
        <w:keepLines/>
      </w:pPr>
      <w:r>
        <w:t>Для Tiqqun ha-deʿot Албалага есть официальная покупка издания Vajda 1973 года в Israel Academy и полный еврейский HTML Ben-Yehuda. Последний полезен для чтения и поиска, но разрешение проекту размещать произведение не тождественно открытой лицензии для ToS. В латинской линии найден академический указатель печати 1506 года; поскольку файл не открылся, запись R063 остаётся metadata_only.</w:t>
      </w:r>
      <w:r>
        <w:t xml:space="preserve"> </w:t>
      </w:r>
      <w:hyperlink r:id="rId44">
        <w:r>
          <w:rPr>
            <w:rFonts w:ascii="Noto Sans" w:hAnsi="Noto Sans"/>
            <w:color w:val="17688C"/>
            <w:sz w:val="17"/>
            <w:u w:val="single"/>
          </w:rPr>
          <w:t>[R061]</w:t>
        </w:r>
      </w:hyperlink>
      <w:r>
        <w:t xml:space="preserve"> </w:t>
      </w:r>
      <w:hyperlink r:id="rId45">
        <w:r>
          <w:rPr>
            <w:rFonts w:ascii="Noto Sans" w:hAnsi="Noto Sans"/>
            <w:color w:val="17688C"/>
            <w:sz w:val="17"/>
            <w:u w:val="single"/>
          </w:rPr>
          <w:t>[R062]</w:t>
        </w:r>
      </w:hyperlink>
      <w:r>
        <w:t xml:space="preserve"> </w:t>
      </w:r>
      <w:hyperlink r:id="rId46">
        <w:r>
          <w:rPr>
            <w:rFonts w:ascii="Noto Sans" w:hAnsi="Noto Sans"/>
            <w:color w:val="17688C"/>
            <w:sz w:val="17"/>
            <w:u w:val="single"/>
          </w:rPr>
          <w:t>[R063]</w:t>
        </w:r>
      </w:hyperlink>
      <w:r>
        <w:t xml:space="preserve"> </w:t>
      </w:r>
    </w:p>
    <w:p>
      <w:pPr>
        <w:pStyle w:val="Heading2"/>
      </w:pPr>
      <w:r>
        <w:t>Факсимиле и старые книги</w:t>
      </w:r>
    </w:p>
    <w:p>
      <w:pPr>
        <w:keepLines/>
      </w:pPr>
      <w:r>
        <w:t>Самый ясный item-level statement найден у физического извлечения из Mulakhkhaṣ: QDL маркирует 19 изображений Public Domain Mark 1.0. Это не лицензия, а обозначение статуса. Для собственной транскрипции/перевода дан конкретный исходный свидетель и диапазон листов; общий IIIF-manifest кодекса может охватывать больше материалов, чем эта запись.</w:t>
      </w:r>
      <w:r>
        <w:t xml:space="preserve"> </w:t>
      </w:r>
      <w:hyperlink r:id="rId62">
        <w:r>
          <w:rPr>
            <w:rFonts w:ascii="Noto Sans" w:hAnsi="Noto Sans"/>
            <w:color w:val="17688C"/>
            <w:sz w:val="17"/>
            <w:u w:val="single"/>
          </w:rPr>
          <w:t>[R012]</w:t>
        </w:r>
      </w:hyperlink>
      <w:r>
        <w:t xml:space="preserve"> </w:t>
      </w:r>
    </w:p>
    <w:p>
      <w:pPr>
        <w:keepLines/>
      </w:pPr>
      <w:r>
        <w:t>Princeton даёт богатые описания и просмотр двух кодексов, но скачивание PDF упиралось в challenge. В HathiTrust сохранены официальные Full View и Limited Search, а не выдуманная фактическая выдача. ACO часто предлагает PDF и IIIF, однако такой скан ещё не является выверенным полнотекстовым XML или TEI. Для старых книг качество OCR и идентичность редакции остаются независимыми задачами.</w:t>
      </w:r>
      <w:r>
        <w:t xml:space="preserve"> </w:t>
      </w:r>
      <w:hyperlink r:id="rId50">
        <w:r>
          <w:rPr>
            <w:rFonts w:ascii="Noto Sans" w:hAnsi="Noto Sans"/>
            <w:color w:val="17688C"/>
            <w:sz w:val="17"/>
            <w:u w:val="single"/>
          </w:rPr>
          <w:t>[R009]</w:t>
        </w:r>
      </w:hyperlink>
      <w:r>
        <w:t xml:space="preserve"> </w:t>
      </w:r>
      <w:hyperlink r:id="rId60">
        <w:r>
          <w:rPr>
            <w:rFonts w:ascii="Noto Sans" w:hAnsi="Noto Sans"/>
            <w:color w:val="17688C"/>
            <w:sz w:val="17"/>
            <w:u w:val="single"/>
          </w:rPr>
          <w:t>[R020]</w:t>
        </w:r>
      </w:hyperlink>
      <w:r>
        <w:t xml:space="preserve"> </w:t>
      </w:r>
      <w:hyperlink r:id="rId56">
        <w:r>
          <w:rPr>
            <w:rFonts w:ascii="Noto Sans" w:hAnsi="Noto Sans"/>
            <w:color w:val="17688C"/>
            <w:sz w:val="17"/>
            <w:u w:val="single"/>
          </w:rPr>
          <w:t>[R031]</w:t>
        </w:r>
      </w:hyperlink>
      <w:r>
        <w:t xml:space="preserve"> </w:t>
      </w:r>
      <w:hyperlink r:id="rId12">
        <w:r>
          <w:rPr>
            <w:rFonts w:ascii="Noto Sans" w:hAnsi="Noto Sans"/>
            <w:color w:val="17688C"/>
            <w:sz w:val="17"/>
            <w:u w:val="single"/>
          </w:rPr>
          <w:t>[R042]</w:t>
        </w:r>
      </w:hyperlink>
      <w:r>
        <w:t xml:space="preserve"> </w:t>
      </w:r>
      <w:hyperlink r:id="rId13">
        <w:r>
          <w:rPr>
            <w:rFonts w:ascii="Noto Sans" w:hAnsi="Noto Sans"/>
            <w:color w:val="17688C"/>
            <w:sz w:val="17"/>
            <w:u w:val="single"/>
          </w:rPr>
          <w:t>[R043]</w:t>
        </w:r>
      </w:hyperlink>
      <w:r>
        <w:t xml:space="preserve"> </w:t>
      </w:r>
    </w:p>
    <w:p>
      <w:pPr>
        <w:pStyle w:val="Heading2"/>
      </w:pPr>
      <w:r>
        <w:t>Машиночитаемый вариант</w:t>
      </w:r>
    </w:p>
    <w:p>
      <w:pPr>
        <w:keepLines/>
      </w:pPr>
      <w:r>
        <w:t>OpenITI release 2025.1.9 — единственный зарегистрированный крупный машиночитаемый пакет. Его архив и метаданные сохранены одной записью. Наличие каждой основной книги T2-11, конкретные URI, происхождение редакций и применимость общей CC BY-NC-SA 4.0 к унаследованным текстам не доказаны автоматически. Поэтому release пригоден как дальнейшая поисковая инфраструктура, но не как заранее разрешённое зеркало всей строки.</w:t>
      </w:r>
      <w:r>
        <w:t xml:space="preserve"> </w:t>
      </w:r>
      <w:hyperlink r:id="rId84">
        <w:r>
          <w:rPr>
            <w:rFonts w:ascii="Noto Sans" w:hAnsi="Noto Sans"/>
            <w:color w:val="17688C"/>
            <w:sz w:val="17"/>
            <w:u w:val="single"/>
          </w:rPr>
          <w:t>[R006]</w:t>
        </w:r>
      </w:hyperlink>
      <w:r>
        <w:t xml:space="preserve"> </w:t>
      </w:r>
      <w:hyperlink r:id="rId85">
        <w:r>
          <w:rPr>
            <w:rFonts w:ascii="Noto Sans" w:hAnsi="Noto Sans"/>
            <w:color w:val="17688C"/>
            <w:sz w:val="17"/>
            <w:u w:val="single"/>
          </w:rPr>
          <w:t>[Лицензия и документация OpenITI]</w:t>
        </w:r>
      </w:hyperlink>
      <w:r>
        <w:t xml:space="preserve"> </w:t>
      </w:r>
    </w:p>
    <w:p>
      <w:pPr>
        <w:keepLines/>
      </w:pPr>
      <w:r>
        <w:t>Для ближайшей практической работы стоит развести три задачи: читать научные издания; готовить собственный выверенный текст из доказанно свободного оригинального слоя; искать корпусные совпадения в OpenITI после проверки конкретных файлов. Это разные правовые и филологические процессы. Каталоги Fihrist и Qalamos помогают идентифицировать свидетелей, но не заменяют сами изображения и не дают общей лицензии на них.</w:t>
      </w:r>
    </w:p>
    <w:p>
      <w:pPr>
        <w:pStyle w:val="Heading1"/>
        <w:pageBreakBefore/>
      </w:pPr>
      <w:r>
        <w:t>4. Карта прав и практического использования</w:t>
      </w:r>
    </w:p>
    <w:p>
      <w:pPr>
        <w:pStyle w:val="Subtitle"/>
      </w:pPr>
      <w:r>
        <w:t>Положительные рекомендации всегда ограничены компонентом</w:t>
      </w:r>
    </w:p>
    <w:p>
      <w:pPr>
        <w:pStyle w:val="Heading2"/>
      </w:pPr>
      <w:r>
        <w:t>Старые оригиналы и факсимиле</w:t>
      </w:r>
    </w:p>
    <w:p>
      <w:pPr>
        <w:keepLines/>
      </w:pPr>
      <w:r>
        <w:t>Потенциальный свободный старт ToS — старые арабские издания Maqāṣid, Muḥaṣṣal, Qisṭās и Iqtiṣād в ACO, а также строго ограниченный QDL-фрагмент Mulakhkhaṣ. У ACO положительные теги ограничены названной печатью и сканом по оценке учреждения; RIGHTS_REVIEW_REQUIRED требует учитывать юрисдикцию и не распространять вывод на новые редакции. У QDL объём ограничен 19 изображениями.</w:t>
      </w:r>
      <w:r>
        <w:t xml:space="preserve"> </w:t>
      </w:r>
      <w:hyperlink r:id="rId50">
        <w:r>
          <w:rPr>
            <w:rFonts w:ascii="Noto Sans" w:hAnsi="Noto Sans"/>
            <w:color w:val="17688C"/>
            <w:sz w:val="17"/>
            <w:u w:val="single"/>
          </w:rPr>
          <w:t>[R009]</w:t>
        </w:r>
      </w:hyperlink>
      <w:r>
        <w:t xml:space="preserve"> </w:t>
      </w:r>
      <w:hyperlink r:id="rId63">
        <w:r>
          <w:rPr>
            <w:rFonts w:ascii="Noto Sans" w:hAnsi="Noto Sans"/>
            <w:color w:val="17688C"/>
            <w:sz w:val="17"/>
            <w:u w:val="single"/>
          </w:rPr>
          <w:t>[R010]</w:t>
        </w:r>
      </w:hyperlink>
      <w:r>
        <w:t xml:space="preserve"> </w:t>
      </w:r>
      <w:hyperlink r:id="rId62">
        <w:r>
          <w:rPr>
            <w:rFonts w:ascii="Noto Sans" w:hAnsi="Noto Sans"/>
            <w:color w:val="17688C"/>
            <w:sz w:val="17"/>
            <w:u w:val="single"/>
          </w:rPr>
          <w:t>[R012]</w:t>
        </w:r>
      </w:hyperlink>
      <w:r>
        <w:t xml:space="preserve"> </w:t>
      </w:r>
      <w:hyperlink r:id="rId16">
        <w:r>
          <w:rPr>
            <w:rFonts w:ascii="Noto Sans" w:hAnsi="Noto Sans"/>
            <w:color w:val="17688C"/>
            <w:sz w:val="17"/>
            <w:u w:val="single"/>
          </w:rPr>
          <w:t>[R028]</w:t>
        </w:r>
      </w:hyperlink>
      <w:r>
        <w:t xml:space="preserve"> </w:t>
      </w:r>
      <w:hyperlink r:id="rId58">
        <w:r>
          <w:rPr>
            <w:rFonts w:ascii="Noto Sans" w:hAnsi="Noto Sans"/>
            <w:color w:val="17688C"/>
            <w:sz w:val="17"/>
            <w:u w:val="single"/>
          </w:rPr>
          <w:t>[R029]</w:t>
        </w:r>
      </w:hyperlink>
      <w:r>
        <w:t xml:space="preserve"> </w:t>
      </w:r>
    </w:p>
    <w:p>
      <w:pPr>
        <w:keepLines/>
      </w:pPr>
      <w:r>
        <w:t>Project Gutenberg даёт отдельный старый английский слой Munqidh. Он полезен для зеркалирования и индексации в границах установленного статуса и условий платформы, но не является исходным арабским текстом. Никакое разрешение на современный перевод Газали из этого не следует.</w:t>
      </w:r>
      <w:r>
        <w:t xml:space="preserve"> </w:t>
      </w:r>
      <w:hyperlink r:id="rId59">
        <w:r>
          <w:rPr>
            <w:rFonts w:ascii="Noto Sans" w:hAnsi="Noto Sans"/>
            <w:color w:val="17688C"/>
            <w:sz w:val="17"/>
            <w:u w:val="single"/>
          </w:rPr>
          <w:t>[R014]</w:t>
        </w:r>
      </w:hyperlink>
      <w:r>
        <w:t xml:space="preserve"> </w:t>
      </w:r>
    </w:p>
    <w:p>
      <w:pPr>
        <w:pStyle w:val="Heading2"/>
      </w:pPr>
      <w:r>
        <w:t>Некоммерческое использование с переработкой</w:t>
      </w:r>
    </w:p>
    <w:p>
      <w:pPr>
        <w:keepLines/>
      </w:pPr>
      <w:r>
        <w:t>Издание Масуди в Doubts on Avicenna имеет CC BY-NC 4.0. Для лицензированного арабского текста доступны некоммерческое повторное размещение, OCR, полнотекстовая индексация, embeddings и собственный перевод с атрибуцией и указанием изменений. Сторонние отдельно кредитованные материалы не включаются в разрешение по умолчанию. Это наиболее ясный найденный современный критический текст для собственного перевода ToS.</w:t>
      </w:r>
      <w:r>
        <w:t xml:space="preserve"> </w:t>
      </w:r>
      <w:hyperlink r:id="rId71">
        <w:r>
          <w:rPr>
            <w:rFonts w:ascii="Noto Sans" w:hAnsi="Noto Sans"/>
            <w:color w:val="17688C"/>
            <w:sz w:val="17"/>
            <w:u w:val="single"/>
          </w:rPr>
          <w:t>[R001]</w:t>
        </w:r>
      </w:hyperlink>
      <w:r>
        <w:t xml:space="preserve"> </w:t>
      </w:r>
    </w:p>
    <w:p>
      <w:pPr>
        <w:keepLines/>
      </w:pPr>
      <w:r>
        <w:t>CC BY-NC-SA 4.0 OpenITI дополнительно требует ShareAlike для действительно лицензированного производного материала. Но сначала необходимо установить правомерную основу конкретного файла: общая декларация корпуса не устраняет возможные права исходного современного редактора. В R006 ShareAlike записан как условие, а не как самостоятельное разрешение копировать весь архив.</w:t>
      </w:r>
      <w:r>
        <w:t xml:space="preserve"> </w:t>
      </w:r>
      <w:hyperlink r:id="rId84">
        <w:r>
          <w:rPr>
            <w:rFonts w:ascii="Noto Sans" w:hAnsi="Noto Sans"/>
            <w:color w:val="17688C"/>
            <w:sz w:val="17"/>
            <w:u w:val="single"/>
          </w:rPr>
          <w:t>[R006]</w:t>
        </w:r>
      </w:hyperlink>
      <w:r>
        <w:t xml:space="preserve"> </w:t>
      </w:r>
    </w:p>
    <w:p>
      <w:pPr>
        <w:pStyle w:val="Heading2"/>
      </w:pPr>
      <w:r>
        <w:t>Только неизменённое некоммерческое распространение</w:t>
      </w:r>
    </w:p>
    <w:p>
      <w:pPr>
        <w:keepLines/>
      </w:pPr>
      <w:r>
        <w:t>Статьи-издания Jawhar al-fard, al-Hayūlā wa-l-ṣūra и трактата Самарканди, а также заметка о Maṭālib имеют CC BY-NC-ND 4.0 на официальных страницах. Для них допустимым направлением обозначено неизменённое некоммерческое распространение с атрибуцией. Публикация исправленной транскрипции, перевода или извлечённого критического текста не разрешается одним этим тегом. OCR, публичный индекс и embeddings не объединены в blanket-разрешение.</w:t>
      </w:r>
      <w:r>
        <w:t xml:space="preserve"> </w:t>
      </w:r>
      <w:hyperlink r:id="rId19">
        <w:r>
          <w:rPr>
            <w:rFonts w:ascii="Noto Sans" w:hAnsi="Noto Sans"/>
            <w:color w:val="17688C"/>
            <w:sz w:val="17"/>
            <w:u w:val="single"/>
          </w:rPr>
          <w:t>[R065]</w:t>
        </w:r>
      </w:hyperlink>
      <w:r>
        <w:t xml:space="preserve"> </w:t>
      </w:r>
      <w:hyperlink r:id="rId21">
        <w:r>
          <w:rPr>
            <w:rFonts w:ascii="Noto Sans" w:hAnsi="Noto Sans"/>
            <w:color w:val="17688C"/>
            <w:sz w:val="17"/>
            <w:u w:val="single"/>
          </w:rPr>
          <w:t>[R070]</w:t>
        </w:r>
      </w:hyperlink>
      <w:r>
        <w:t xml:space="preserve"> </w:t>
      </w:r>
      <w:hyperlink r:id="rId33">
        <w:r>
          <w:rPr>
            <w:rFonts w:ascii="Noto Sans" w:hAnsi="Noto Sans"/>
            <w:color w:val="17688C"/>
            <w:sz w:val="17"/>
            <w:u w:val="single"/>
          </w:rPr>
          <w:t>[R071]</w:t>
        </w:r>
      </w:hyperlink>
      <w:r>
        <w:t xml:space="preserve"> </w:t>
      </w:r>
      <w:hyperlink r:id="rId65">
        <w:r>
          <w:rPr>
            <w:rFonts w:ascii="Noto Sans" w:hAnsi="Noto Sans"/>
            <w:color w:val="17688C"/>
            <w:sz w:val="17"/>
            <w:u w:val="single"/>
          </w:rPr>
          <w:t>[R072]</w:t>
        </w:r>
      </w:hyperlink>
      <w:r>
        <w:t xml:space="preserve"> </w:t>
      </w:r>
      <w:hyperlink r:id="rId86">
        <w:r>
          <w:rPr>
            <w:rFonts w:ascii="Noto Sans" w:hAnsi="Noto Sans"/>
            <w:color w:val="17688C"/>
            <w:sz w:val="17"/>
            <w:u w:val="single"/>
          </w:rPr>
          <w:t>[Условия CC BY-NC-ND 4.0]</w:t>
        </w:r>
      </w:hyperlink>
      <w:r>
        <w:t xml:space="preserve"> </w:t>
      </w:r>
    </w:p>
    <w:p>
      <w:pPr>
        <w:pStyle w:val="Heading2"/>
      </w:pPr>
      <w:r>
        <w:t>Чтение, скачивание, покупка и выдача без зеркала</w:t>
      </w:r>
    </w:p>
    <w:p>
      <w:pPr>
        <w:keepLines/>
      </w:pPr>
      <w:r>
        <w:t>К этой группе относятся современная Shamsiyya Street, редакции Dunyā, Nūranī, Jalālī и Ḥasanzāda Āmulī, большинство издательских покупок и переводы на авторских/институциональных сайтах без ясной лицензии. Ссылки и доступ сохранены, но возможность публичного копирования не установлена. R068 фиксирует потенциальную библиотечную выдачу, а не право распространять выданный экземпляр.</w:t>
      </w:r>
      <w:r>
        <w:t xml:space="preserve"> </w:t>
      </w:r>
      <w:hyperlink r:id="rId76">
        <w:r>
          <w:rPr>
            <w:rFonts w:ascii="Noto Sans" w:hAnsi="Noto Sans"/>
            <w:color w:val="17688C"/>
            <w:sz w:val="17"/>
            <w:u w:val="single"/>
          </w:rPr>
          <w:t>[R008]</w:t>
        </w:r>
      </w:hyperlink>
      <w:r>
        <w:t xml:space="preserve"> </w:t>
      </w:r>
      <w:hyperlink r:id="rId52">
        <w:r>
          <w:rPr>
            <w:rFonts w:ascii="Noto Sans" w:hAnsi="Noto Sans"/>
            <w:color w:val="17688C"/>
            <w:sz w:val="17"/>
            <w:u w:val="single"/>
          </w:rPr>
          <w:t>[R011]</w:t>
        </w:r>
      </w:hyperlink>
      <w:r>
        <w:t xml:space="preserve"> </w:t>
      </w:r>
      <w:hyperlink r:id="rId25">
        <w:r>
          <w:rPr>
            <w:rFonts w:ascii="Noto Sans" w:hAnsi="Noto Sans"/>
            <w:color w:val="17688C"/>
            <w:sz w:val="17"/>
            <w:u w:val="single"/>
          </w:rPr>
          <w:t>[R048]</w:t>
        </w:r>
      </w:hyperlink>
      <w:r>
        <w:t xml:space="preserve"> </w:t>
      </w:r>
      <w:hyperlink r:id="rId26">
        <w:r>
          <w:rPr>
            <w:rFonts w:ascii="Noto Sans" w:hAnsi="Noto Sans"/>
            <w:color w:val="17688C"/>
            <w:sz w:val="17"/>
            <w:u w:val="single"/>
          </w:rPr>
          <w:t>[R049]</w:t>
        </w:r>
      </w:hyperlink>
      <w:r>
        <w:t xml:space="preserve"> </w:t>
      </w:r>
      <w:hyperlink r:id="rId31">
        <w:r>
          <w:rPr>
            <w:rFonts w:ascii="Noto Sans" w:hAnsi="Noto Sans"/>
            <w:color w:val="17688C"/>
            <w:sz w:val="17"/>
            <w:u w:val="single"/>
          </w:rPr>
          <w:t>[R066]</w:t>
        </w:r>
      </w:hyperlink>
      <w:r>
        <w:t xml:space="preserve"> </w:t>
      </w:r>
      <w:hyperlink r:id="rId32">
        <w:r>
          <w:rPr>
            <w:rFonts w:ascii="Noto Sans" w:hAnsi="Noto Sans"/>
            <w:color w:val="17688C"/>
            <w:sz w:val="17"/>
            <w:u w:val="single"/>
          </w:rPr>
          <w:t>[R068]</w:t>
        </w:r>
      </w:hyperlink>
      <w:r>
        <w:t xml:space="preserve"> </w:t>
      </w:r>
    </w:p>
    <w:p>
      <w:pPr>
        <w:keepLines/>
      </w:pPr>
      <w:r>
        <w:t>Для навигационной статьи Mandolino установлена CC BY 4.0: свободнее можно использовать авторский исследовательский слой с атрибуцией. Это не разрешение копировать все процитированные в статье критические издания или рукописные фотографии.</w:t>
      </w:r>
      <w:r>
        <w:t xml:space="preserve"> </w:t>
      </w:r>
      <w:hyperlink r:id="rId42">
        <w:r>
          <w:rPr>
            <w:rFonts w:ascii="Noto Sans" w:hAnsi="Noto Sans"/>
            <w:color w:val="17688C"/>
            <w:sz w:val="17"/>
            <w:u w:val="single"/>
          </w:rPr>
          <w:t>[R076]</w:t>
        </w:r>
      </w:hyperlink>
      <w:r>
        <w:t xml:space="preserve"> </w:t>
      </w:r>
    </w:p>
    <w:p>
      <w:pPr>
        <w:pStyle w:val="Heading1"/>
        <w:pageBreakBefore/>
      </w:pPr>
      <w:r>
        <w:t>5. Характерные правовые тонкости</w:t>
      </w:r>
    </w:p>
    <w:p>
      <w:pPr>
        <w:pStyle w:val="Subtitle"/>
      </w:pPr>
      <w:r>
        <w:t>Где чаще всего возникает ложное разрешение</w:t>
      </w:r>
    </w:p>
    <w:p>
      <w:pPr>
        <w:pStyle w:val="Heading2"/>
      </w:pPr>
      <w:r>
        <w:t>Четыре независимых слоя</w:t>
      </w:r>
    </w:p>
    <w:p>
      <w:pPr>
        <w:keepLines/>
      </w:pPr>
      <w:r>
        <w:t>Средневековый текст, современная научная редакция, цифровое воспроизведение и условия сайта оцениваются отдельно. Это особенно важно для корпуса, где один PDF объединяет матн, реконструкцию чтений, перевод, введение, аппарат и поздние глоссы. Древность матна не освобождает новые интеллектуальные добавления; открытая лицензия метаданных не лицензирует фотографии.</w:t>
      </w:r>
    </w:p>
    <w:p>
      <w:pPr>
        <w:keepLines/>
      </w:pPr>
      <w:r>
        <w:t>Показательный случай — расширенная Shamsiyya: официальный полный PDF находится в свободном доступе, но содержит copyright и All rights reserved. Поэтому его ценность для чтения очень высока, а безусловная пригодность для зеркала отсутствует. Обратный случай — современное издание Масуди под CC BY-NC: новый научный слой действительно открыт, однако с некоммерческим ограничением.</w:t>
      </w:r>
      <w:r>
        <w:t xml:space="preserve"> </w:t>
      </w:r>
      <w:hyperlink r:id="rId71">
        <w:r>
          <w:rPr>
            <w:rFonts w:ascii="Noto Sans" w:hAnsi="Noto Sans"/>
            <w:color w:val="17688C"/>
            <w:sz w:val="17"/>
            <w:u w:val="single"/>
          </w:rPr>
          <w:t>[R001]</w:t>
        </w:r>
      </w:hyperlink>
      <w:r>
        <w:t xml:space="preserve"> </w:t>
      </w:r>
      <w:hyperlink r:id="rId76">
        <w:r>
          <w:rPr>
            <w:rFonts w:ascii="Noto Sans" w:hAnsi="Noto Sans"/>
            <w:color w:val="17688C"/>
            <w:sz w:val="17"/>
            <w:u w:val="single"/>
          </w:rPr>
          <w:t>[R008]</w:t>
        </w:r>
      </w:hyperlink>
      <w:r>
        <w:t xml:space="preserve"> </w:t>
      </w:r>
    </w:p>
    <w:p>
      <w:pPr>
        <w:pStyle w:val="Heading2"/>
      </w:pPr>
      <w:r>
        <w:t>Открытость старого скана не равна универсальному Public Domain</w:t>
      </w:r>
    </w:p>
    <w:p>
      <w:pPr>
        <w:keepLines/>
      </w:pPr>
      <w:r>
        <w:t>ACO отбирает материалы с учётом американской оценки Public Domain. В старых изданиях это даёт полезную положительную опору, но не всемирную гарантию. Для существенно более поздних печатных редакций общий statement не заменяет проверки редактора и аппарата. Поэтому 1955, 1980 и 1986/1987 годы не используются как автоматическое разрешение на перепубликацию.</w:t>
      </w:r>
      <w:r>
        <w:t xml:space="preserve"> </w:t>
      </w:r>
      <w:hyperlink r:id="rId52">
        <w:r>
          <w:rPr>
            <w:rFonts w:ascii="Noto Sans" w:hAnsi="Noto Sans"/>
            <w:color w:val="17688C"/>
            <w:sz w:val="17"/>
            <w:u w:val="single"/>
          </w:rPr>
          <w:t>[R011]</w:t>
        </w:r>
      </w:hyperlink>
      <w:r>
        <w:t xml:space="preserve"> </w:t>
      </w:r>
      <w:hyperlink r:id="rId25">
        <w:r>
          <w:rPr>
            <w:rFonts w:ascii="Noto Sans" w:hAnsi="Noto Sans"/>
            <w:color w:val="17688C"/>
            <w:sz w:val="17"/>
            <w:u w:val="single"/>
          </w:rPr>
          <w:t>[R048]</w:t>
        </w:r>
      </w:hyperlink>
      <w:r>
        <w:t xml:space="preserve"> </w:t>
      </w:r>
      <w:hyperlink r:id="rId26">
        <w:r>
          <w:rPr>
            <w:rFonts w:ascii="Noto Sans" w:hAnsi="Noto Sans"/>
            <w:color w:val="17688C"/>
            <w:sz w:val="17"/>
            <w:u w:val="single"/>
          </w:rPr>
          <w:t>[R049]</w:t>
        </w:r>
      </w:hyperlink>
      <w:r>
        <w:t xml:space="preserve"> </w:t>
      </w:r>
      <w:hyperlink r:id="rId31">
        <w:r>
          <w:rPr>
            <w:rFonts w:ascii="Noto Sans" w:hAnsi="Noto Sans"/>
            <w:color w:val="17688C"/>
            <w:sz w:val="17"/>
            <w:u w:val="single"/>
          </w:rPr>
          <w:t>[R066]</w:t>
        </w:r>
      </w:hyperlink>
      <w:r>
        <w:t xml:space="preserve"> </w:t>
      </w:r>
      <w:hyperlink r:id="rId87">
        <w:r>
          <w:rPr>
            <w:rFonts w:ascii="Noto Sans" w:hAnsi="Noto Sans"/>
            <w:color w:val="17688C"/>
            <w:sz w:val="17"/>
            <w:u w:val="single"/>
          </w:rPr>
          <w:t>[Описание отбора ACO]</w:t>
        </w:r>
      </w:hyperlink>
      <w:r>
        <w:t xml:space="preserve"> </w:t>
      </w:r>
    </w:p>
    <w:p>
      <w:pPr>
        <w:keepLines/>
      </w:pPr>
      <w:r>
        <w:t>No Known Copyright у Princeton и Public Domain Mark у QDL — разные формулировки. Ни одну из них нельзя переписать как CC0. У Princeton дополнительно проверена политика библиотеки, но строки R042–043 оставлены консервативными: авторизация массового зеркалирования не выведена из одной метки и неполностью проверенного download-пути.</w:t>
      </w:r>
      <w:r>
        <w:t xml:space="preserve"> </w:t>
      </w:r>
      <w:hyperlink r:id="rId62">
        <w:r>
          <w:rPr>
            <w:rFonts w:ascii="Noto Sans" w:hAnsi="Noto Sans"/>
            <w:color w:val="17688C"/>
            <w:sz w:val="17"/>
            <w:u w:val="single"/>
          </w:rPr>
          <w:t>[R012]</w:t>
        </w:r>
      </w:hyperlink>
      <w:r>
        <w:t xml:space="preserve"> </w:t>
      </w:r>
      <w:hyperlink r:id="rId12">
        <w:r>
          <w:rPr>
            <w:rFonts w:ascii="Noto Sans" w:hAnsi="Noto Sans"/>
            <w:color w:val="17688C"/>
            <w:sz w:val="17"/>
            <w:u w:val="single"/>
          </w:rPr>
          <w:t>[R042]</w:t>
        </w:r>
      </w:hyperlink>
      <w:r>
        <w:t xml:space="preserve"> </w:t>
      </w:r>
      <w:hyperlink r:id="rId13">
        <w:r>
          <w:rPr>
            <w:rFonts w:ascii="Noto Sans" w:hAnsi="Noto Sans"/>
            <w:color w:val="17688C"/>
            <w:sz w:val="17"/>
            <w:u w:val="single"/>
          </w:rPr>
          <w:t>[R043]</w:t>
        </w:r>
      </w:hyperlink>
      <w:r>
        <w:t xml:space="preserve"> </w:t>
      </w:r>
      <w:hyperlink r:id="rId88">
        <w:r>
          <w:rPr>
            <w:rFonts w:ascii="Noto Sans" w:hAnsi="Noto Sans"/>
            <w:color w:val="17688C"/>
            <w:sz w:val="17"/>
            <w:u w:val="single"/>
          </w:rPr>
          <w:t>[Princeton: copyright and permissions]</w:t>
        </w:r>
      </w:hyperlink>
      <w:r>
        <w:t xml:space="preserve"> </w:t>
      </w:r>
    </w:p>
    <w:p>
      <w:pPr>
        <w:pStyle w:val="Heading2"/>
      </w:pPr>
      <w:r>
        <w:t>Собственный перевод не должен зависеть от защищённого посредника</w:t>
      </w:r>
    </w:p>
    <w:p>
      <w:pPr>
        <w:keepLines/>
      </w:pPr>
      <w:r>
        <w:t>OWN_TRANSLATION_POSSIBLE дан шести записям: R001, R009, R010, R012, R028 и R029. В каждой названа конкретная арабская основа. Для R012 это только доступные извлечения, а не весь Mulakhkhaṣ; для R001 — лицензированное арабское издание, не право отменить NC. Английский перевод Inati, русский перевод Ishārāt и ND-издания не превращены в свободный исходный слой.</w:t>
      </w:r>
    </w:p>
    <w:p>
      <w:pPr>
        <w:pStyle w:val="Heading2"/>
      </w:pPr>
      <w:r>
        <w:t>Полнота и проверка — также часть правового вывода</w:t>
      </w:r>
    </w:p>
    <w:p>
      <w:pPr>
        <w:keepLines/>
      </w:pPr>
      <w:r>
        <w:t>Полная статья может содержать неполный трактат; один полный кодекс может содержать лишь участок tafsīr; один исправно скачиваемый том не равен комплекту. Отдельно оговорены лакуна Jawhar al-fard, выборки Heer, Michigan MS 464 и дополнительные разделы Maṭālib. Каталожная кнопка Full View либо Borrow показывает законный маршрут учреждения, но не подтверждает его доступность пользователю без региональных и регистрационных условий.</w:t>
      </w:r>
      <w:r>
        <w:t xml:space="preserve"> </w:t>
      </w:r>
      <w:hyperlink r:id="rId69">
        <w:r>
          <w:rPr>
            <w:rFonts w:ascii="Noto Sans" w:hAnsi="Noto Sans"/>
            <w:color w:val="17688C"/>
            <w:sz w:val="17"/>
            <w:u w:val="single"/>
          </w:rPr>
          <w:t>[R022]</w:t>
        </w:r>
      </w:hyperlink>
      <w:r>
        <w:t xml:space="preserve"> </w:t>
      </w:r>
      <w:hyperlink r:id="rId78">
        <w:r>
          <w:rPr>
            <w:rFonts w:ascii="Noto Sans" w:hAnsi="Noto Sans"/>
            <w:color w:val="17688C"/>
            <w:sz w:val="17"/>
            <w:u w:val="single"/>
          </w:rPr>
          <w:t>[R038]</w:t>
        </w:r>
      </w:hyperlink>
      <w:r>
        <w:t xml:space="preserve"> </w:t>
      </w:r>
      <w:hyperlink r:id="rId19">
        <w:r>
          <w:rPr>
            <w:rFonts w:ascii="Noto Sans" w:hAnsi="Noto Sans"/>
            <w:color w:val="17688C"/>
            <w:sz w:val="17"/>
            <w:u w:val="single"/>
          </w:rPr>
          <w:t>[R065]</w:t>
        </w:r>
      </w:hyperlink>
      <w:r>
        <w:t xml:space="preserve"> </w:t>
      </w:r>
      <w:hyperlink r:id="rId32">
        <w:r>
          <w:rPr>
            <w:rFonts w:ascii="Noto Sans" w:hAnsi="Noto Sans"/>
            <w:color w:val="17688C"/>
            <w:sz w:val="17"/>
            <w:u w:val="single"/>
          </w:rPr>
          <w:t>[R068]</w:t>
        </w:r>
      </w:hyperlink>
      <w:r>
        <w:t xml:space="preserve"> </w:t>
      </w:r>
      <w:hyperlink r:id="rId65">
        <w:r>
          <w:rPr>
            <w:rFonts w:ascii="Noto Sans" w:hAnsi="Noto Sans"/>
            <w:color w:val="17688C"/>
            <w:sz w:val="17"/>
            <w:u w:val="single"/>
          </w:rPr>
          <w:t>[R072]</w:t>
        </w:r>
      </w:hyperlink>
      <w:r>
        <w:t xml:space="preserve"> </w:t>
      </w:r>
    </w:p>
    <w:p>
      <w:pPr>
        <w:keepLines/>
      </w:pPr>
      <w:r>
        <w:t>Некоммерческий характер ToS сам по себе не даёт дополнительных прав. При дальнейшем изменении модели проекта, способов публикации или состава данных NC-условия необходимо оценить заново. В реестре неизвестность не заменена запретом на чтение, но блокирует автоматическое публичное использование.</w:t>
      </w:r>
    </w:p>
    <w:p>
      <w:pPr>
        <w:pStyle w:val="Heading1"/>
        <w:pageBreakBefore/>
      </w:pPr>
      <w:r>
        <w:t>6. Пробелы и дальнейший поиск</w:t>
      </w:r>
    </w:p>
    <w:p>
      <w:pPr>
        <w:pStyle w:val="Subtitle"/>
      </w:pPr>
      <w:r>
        <w:t>Что осталось за границей подтверждённого доступа</w:t>
      </w:r>
    </w:p>
    <w:p>
      <w:pPr>
        <w:pStyle w:val="Heading2"/>
      </w:pPr>
      <w:r>
        <w:t>Главные предметные пробелы</w:t>
      </w:r>
    </w:p>
    <w:p>
      <w:pPr>
        <w:keepLines/>
      </w:pPr>
      <w:r>
        <w:t>G001 — Ibn Ghaylān, Ḥudūth al-ʿālam: произведение и издание подтверждены, но полный файл, проверенная покупка или выдача не найдены. G002 — Kashf al-asrār Хунажи: есть библиографическая идентификация, но не подтверждённый полный цифровой текст. G004 — неучтённые разделы Maṭālib в Fatih 3145. Здесь нельзя говорить об отсутствии произведений; отсутствует завершённый путь к нужному материальному или издательскому слою.</w:t>
      </w:r>
    </w:p>
    <w:p>
      <w:pPr>
        <w:keepLines/>
      </w:pPr>
      <w:r>
        <w:t>G003 и G005 сохраняют ранние свидетели и дополнительные тома Mulakhkhaṣ / Ishārāt. G006 — отдельный чистый матн Mawāqif и старые редакции комментария. G007, G010–G011 — дополнительные логические и физико-богословские тексты Самарканди и Рази. Основные произведения имеют хотя бы один реестровый вход; пробелы касаются полноты, более свободной версии либо конкретного свидетеля.</w:t>
      </w:r>
    </w:p>
    <w:p>
      <w:pPr>
        <w:pStyle w:val="Heading2"/>
      </w:pPr>
      <w:r>
        <w:t>Ограниченный доступ и неоткрывшиеся источники</w:t>
      </w:r>
    </w:p>
    <w:p>
      <w:pPr>
        <w:keepLines/>
      </w:pPr>
      <w:r>
        <w:t>Покупка остаётся главным подтверждённым маршрутом для ряда современных изданий Рази, переводов Marmura, Yaqub, Inati, Shahrastānī и современного Maqāṣid. HathiTrust даёт Limited Search для отдельных печатных книг; IIUM ограничивает диссертационные полные тексты. Для Elder 1950 проверен переход Borrow к логину, но нет выполненной выдачи.</w:t>
      </w:r>
      <w:r>
        <w:t xml:space="preserve"> </w:t>
      </w:r>
      <w:hyperlink r:id="rId57">
        <w:r>
          <w:rPr>
            <w:rFonts w:ascii="Noto Sans" w:hAnsi="Noto Sans"/>
            <w:color w:val="17688C"/>
            <w:sz w:val="17"/>
            <w:u w:val="single"/>
          </w:rPr>
          <w:t>[R003]</w:t>
        </w:r>
      </w:hyperlink>
      <w:r>
        <w:t xml:space="preserve"> </w:t>
      </w:r>
      <w:hyperlink r:id="rId73">
        <w:r>
          <w:rPr>
            <w:rFonts w:ascii="Noto Sans" w:hAnsi="Noto Sans"/>
            <w:color w:val="17688C"/>
            <w:sz w:val="17"/>
            <w:u w:val="single"/>
          </w:rPr>
          <w:t>[R016]</w:t>
        </w:r>
      </w:hyperlink>
      <w:r>
        <w:t xml:space="preserve"> </w:t>
      </w:r>
      <w:hyperlink r:id="rId23">
        <w:r>
          <w:rPr>
            <w:rFonts w:ascii="Noto Sans" w:hAnsi="Noto Sans"/>
            <w:color w:val="17688C"/>
            <w:sz w:val="17"/>
            <w:u w:val="single"/>
          </w:rPr>
          <w:t>[R018]</w:t>
        </w:r>
      </w:hyperlink>
      <w:r>
        <w:t xml:space="preserve"> </w:t>
      </w:r>
      <w:hyperlink r:id="rId67">
        <w:r>
          <w:rPr>
            <w:rFonts w:ascii="Noto Sans" w:hAnsi="Noto Sans"/>
            <w:color w:val="17688C"/>
            <w:sz w:val="17"/>
            <w:u w:val="single"/>
          </w:rPr>
          <w:t>[R024]</w:t>
        </w:r>
      </w:hyperlink>
      <w:r>
        <w:t xml:space="preserve"> </w:t>
      </w:r>
      <w:hyperlink r:id="rId15">
        <w:r>
          <w:rPr>
            <w:rFonts w:ascii="Noto Sans" w:hAnsi="Noto Sans"/>
            <w:color w:val="17688C"/>
            <w:sz w:val="17"/>
            <w:u w:val="single"/>
          </w:rPr>
          <w:t>[R025]</w:t>
        </w:r>
      </w:hyperlink>
      <w:r>
        <w:t xml:space="preserve"> </w:t>
      </w:r>
      <w:hyperlink r:id="rId56">
        <w:r>
          <w:rPr>
            <w:rFonts w:ascii="Noto Sans" w:hAnsi="Noto Sans"/>
            <w:color w:val="17688C"/>
            <w:sz w:val="17"/>
            <w:u w:val="single"/>
          </w:rPr>
          <w:t>[R031]</w:t>
        </w:r>
      </w:hyperlink>
      <w:r>
        <w:t xml:space="preserve"> </w:t>
      </w:r>
      <w:hyperlink r:id="rId53">
        <w:r>
          <w:rPr>
            <w:rFonts w:ascii="Noto Sans" w:hAnsi="Noto Sans"/>
            <w:color w:val="17688C"/>
            <w:sz w:val="17"/>
            <w:u w:val="single"/>
          </w:rPr>
          <w:t>[R034]</w:t>
        </w:r>
      </w:hyperlink>
      <w:r>
        <w:t xml:space="preserve"> </w:t>
      </w:r>
      <w:hyperlink r:id="rId34">
        <w:r>
          <w:rPr>
            <w:rFonts w:ascii="Noto Sans" w:hAnsi="Noto Sans"/>
            <w:color w:val="17688C"/>
            <w:sz w:val="17"/>
            <w:u w:val="single"/>
          </w:rPr>
          <w:t>[R036]</w:t>
        </w:r>
      </w:hyperlink>
      <w:r>
        <w:t xml:space="preserve"> </w:t>
      </w:r>
      <w:hyperlink r:id="rId83">
        <w:r>
          <w:rPr>
            <w:rFonts w:ascii="Noto Sans" w:hAnsi="Noto Sans"/>
            <w:color w:val="17688C"/>
            <w:sz w:val="17"/>
            <w:u w:val="single"/>
          </w:rPr>
          <w:t>[R037]</w:t>
        </w:r>
      </w:hyperlink>
      <w:r>
        <w:t xml:space="preserve"> </w:t>
      </w:r>
      <w:hyperlink r:id="rId79">
        <w:r>
          <w:rPr>
            <w:rFonts w:ascii="Noto Sans" w:hAnsi="Noto Sans"/>
            <w:color w:val="17688C"/>
            <w:sz w:val="17"/>
            <w:u w:val="single"/>
          </w:rPr>
          <w:t>[R039]</w:t>
        </w:r>
      </w:hyperlink>
      <w:r>
        <w:t xml:space="preserve"> </w:t>
      </w:r>
      <w:hyperlink r:id="rId39">
        <w:r>
          <w:rPr>
            <w:rFonts w:ascii="Noto Sans" w:hAnsi="Noto Sans"/>
            <w:color w:val="17688C"/>
            <w:sz w:val="17"/>
            <w:u w:val="single"/>
          </w:rPr>
          <w:t>[R040]</w:t>
        </w:r>
      </w:hyperlink>
      <w:r>
        <w:t xml:space="preserve"> </w:t>
      </w:r>
      <w:hyperlink r:id="rId51">
        <w:r>
          <w:rPr>
            <w:rFonts w:ascii="Noto Sans" w:hAnsi="Noto Sans"/>
            <w:color w:val="17688C"/>
            <w:sz w:val="17"/>
            <w:u w:val="single"/>
          </w:rPr>
          <w:t>[R046]</w:t>
        </w:r>
      </w:hyperlink>
      <w:r>
        <w:t xml:space="preserve"> </w:t>
      </w:r>
      <w:hyperlink r:id="rId32">
        <w:r>
          <w:rPr>
            <w:rFonts w:ascii="Noto Sans" w:hAnsi="Noto Sans"/>
            <w:color w:val="17688C"/>
            <w:sz w:val="17"/>
            <w:u w:val="single"/>
          </w:rPr>
          <w:t>[R068]</w:t>
        </w:r>
      </w:hyperlink>
      <w:r>
        <w:t xml:space="preserve"> </w:t>
      </w:r>
    </w:p>
    <w:p>
      <w:pPr>
        <w:keepLines/>
      </w:pPr>
      <w:r>
        <w:t>Не завершены загрузки PDF Princeton; файл латинской печати 1506 остался на Loading; не открылись отдельные страницы UQU, PNU, Qalamos, NLI/Bodleian и издательская карточка Bloomsbury для Филопона. Их конкретные URL и требуемое действие сохранены в gaps. Техническая неудача чтения страницы не объявлена ни запретом правообладателя, ни отсутствием цифрового объекта.</w:t>
      </w:r>
    </w:p>
    <w:p>
      <w:pPr>
        <w:pStyle w:val="Heading2"/>
      </w:pPr>
      <w:r>
        <w:t>Внепериодные кандидаты и степень установленности</w:t>
      </w:r>
    </w:p>
    <w:p>
      <w:pPr>
        <w:keepLines/>
      </w:pPr>
      <w:r>
        <w:t>G012–G014 оставляют дальнейшую Tajrīd-линию, поздний комментарий к Hidāya и османскую Tahāfut-полемику; G015–G017 — еврейские и латинские продолжения; G027 — ранние фрагменты Филопона. Даты вне мастер-строки не являются причиной их исключения. Причина — незавершённая проверка точной версии, прямой связи, item-level доступа или прав.</w:t>
      </w:r>
    </w:p>
    <w:p>
      <w:pPr>
        <w:keepLines/>
      </w:pPr>
      <w:r>
        <w:t>Статус unverified_candidate применяется к не доведённым до надёжной объектной идентификации кандидатам: G008–G009, G012–G014 и G029. Названия из предварительной навигации требуют академического или каталожного подтверждения перед переносом в registry. Проверенные библиографические семейства с неоткрывшимся файлом обозначены иначе: это пробел доступа, а не сомнение в существовании текста.</w:t>
      </w:r>
    </w:p>
    <w:p>
      <w:pPr>
        <w:keepLines/>
      </w:pPr>
      <w:r>
        <w:t>G019 отмечает слабое покрытие русских переводов, G020 — старый перевод Shamsiyya, G021–G026 — корпусное происхождение, смешанные права и условия платформ. G028 оставляет целенаправленное расширение герменевтических текстов Газали, не превращая исследование в библиографию всех его сочинений.</w:t>
      </w:r>
    </w:p>
    <w:p>
      <w:pPr>
        <w:pStyle w:val="Heading1"/>
        <w:pageBreakBefore/>
      </w:pPr>
      <w:r>
        <w:t>6. Пробелы — адресные следующие проходы</w:t>
      </w:r>
    </w:p>
    <w:p>
      <w:pPr>
        <w:pStyle w:val="Subtitle"/>
      </w:pPr>
      <w:r>
        <w:t>Восемь направлений с наибольшей отдачей</w:t>
      </w:r>
    </w:p>
    <w:p>
      <w:pPr>
        <w:pStyle w:val="Heading2"/>
      </w:pPr>
      <w:r>
        <w:t>1. Восстановить состав Maṭālib, а не только найти ещё один PDF</w:t>
      </w:r>
    </w:p>
    <w:p>
      <w:pPr>
        <w:keepLines/>
      </w:pPr>
      <w:r>
        <w:t>Начать с Fatih 3145 и исследования R072: установить официальный viewer, диапазоны эпистемологии, логики и онтологии, затем проверить новые издания этих частей. Сопоставление с R015 должно отвечать на вопрос о составе, а не только на вопрос о числе томов. Приоритет: G004.</w:t>
      </w:r>
    </w:p>
    <w:p>
      <w:pPr>
        <w:pStyle w:val="Heading2"/>
      </w:pPr>
      <w:r>
        <w:t>2. Закрыть Ibn Ghaylān и Khūnajī</w:t>
      </w:r>
    </w:p>
    <w:p>
      <w:pPr>
        <w:keepLines/>
      </w:pPr>
      <w:r>
        <w:t>Для Ḥudūth al-ʿālam проверить издание Tehran 1998 и соответствующие библиотечные фонды; не подменять его совместно напечатанной Ḥukūma. Для Kashf al-asrār идти от El-Rouayheb 2010 и UQU-свидетеля к доступному оригиналу. Оба направления улучшают ядро сильнее, чем новые общие порталы. Приоритет: G001–G002.</w:t>
      </w:r>
    </w:p>
    <w:p>
      <w:pPr>
        <w:pStyle w:val="Heading2"/>
      </w:pPr>
      <w:r>
        <w:t>3. Довести комплект Ishārāt и ранние свидетели Mulakhkhaṣ</w:t>
      </w:r>
    </w:p>
    <w:p>
      <w:pPr>
        <w:keepLines/>
      </w:pPr>
      <w:r>
        <w:t>Проверить каждый дополнительный том ACO, редакторов, начало и конец текста; затем сверить конкретные ранние каталожные кандидаты. Развести слова Ибн Сины, комментарий Рази, ответ Туси и Muḥākamāt Кутб ад-Дина. Приоритет: G003, G005.</w:t>
      </w:r>
    </w:p>
    <w:p>
      <w:pPr>
        <w:pStyle w:val="Heading2"/>
      </w:pPr>
      <w:r>
        <w:t>4. Расширить техническую логику по подтверждённым семьям</w:t>
      </w:r>
    </w:p>
    <w:p>
      <w:pPr>
        <w:keepLines/>
      </w:pPr>
      <w:r>
        <w:t>Искать Qisṭās и Sharḥ Самарканди, его Bashārāt, Maṭāliʿ / Lawāmiʿ, точные произведения Ибн Васила и дополнительные комментарии Катиби. Сначала подтверждать заглавие и авторство, затем искать файл. Это уменьшает перекос к самым известным биографиям. Приоритет: G007–G009, G029.</w:t>
      </w:r>
    </w:p>
    <w:p>
      <w:pPr>
        <w:pStyle w:val="Heading2"/>
      </w:pPr>
      <w:r>
        <w:t>5. Пройти поздние прямые комментарии</w:t>
      </w:r>
    </w:p>
    <w:p>
      <w:pPr>
        <w:keepLines/>
      </w:pPr>
      <w:r>
        <w:t>Для Tajrīd, Hidāya и Tahāfut проверить конкретные Qūshjī / Dawwānī / Dashtakī, Ṣadrā и османские комментаторские версии. Не включать всю школу по одному имени: каждый новый объект должен вести к определённому матну или полемическому ответу. Приоритет: G012–G014.</w:t>
      </w:r>
    </w:p>
    <w:p>
      <w:pPr>
        <w:pStyle w:val="Heading2"/>
      </w:pPr>
      <w:r>
        <w:t>6. Проверить еврейскую и латинскую материальную передачу</w:t>
      </w:r>
    </w:p>
    <w:p>
      <w:pPr>
        <w:keepLines/>
      </w:pPr>
      <w:r>
        <w:t>Установить shelfmark и атрибуцию неоткрывшихся NLI/Bodleian объектов, отдельные переводы Maqāṣid, Narboni / Almosnino и латинские печати. Для Ben-Yehuda выяснить источник цифрового текста и предел разрешения; для латинских файлов найти библиотечный item вместо зависшего общего хранилища. Приоритет: G015–G017, G024.</w:t>
      </w:r>
    </w:p>
    <w:p>
      <w:pPr>
        <w:pStyle w:val="Heading2"/>
      </w:pPr>
      <w:r>
        <w:t>7. Подготовить малый чистый корпус для ToS</w:t>
      </w:r>
    </w:p>
    <w:p>
      <w:pPr>
        <w:keepLines/>
      </w:pPr>
      <w:r>
        <w:t>Начать не с массового зеркала OpenITI, а с R001, старых арабских ACO-изданий и QDL-фрагмента. Сохранить указание исходного слоя, атрибуцию, лицензию и ограничения объёма. Для OpenITI сопоставить конкретные URI и редакции с разрешениями; применять NC-SA только там, где основание подтверждено. Приоритет: G021–G023.</w:t>
      </w:r>
    </w:p>
    <w:p>
      <w:pPr>
        <w:pStyle w:val="Heading2"/>
      </w:pPr>
      <w:r>
        <w:t>8. Закрыть языковые и ранние трансмиссионные пробелы</w:t>
      </w:r>
    </w:p>
    <w:p>
      <w:pPr>
        <w:keepLines/>
      </w:pPr>
      <w:r>
        <w:t>Проверить русские научные переводы через издателей и институты, старую английскую Shamsiyya через исходную публикацию, а арабские фрагменты Филопона — через институциональные рукописи и критические издания. Эти проходы расширяют доступ без превращения T2-11 в общую историю всей традиции. Приоритет: G019–G020, G027.</w:t>
      </w:r>
    </w:p>
    <w:p>
      <w:pPr>
        <w:keepLines/>
      </w:pPr>
      <w:r>
        <w:t>Это направления будущего исследования, а не выполненные покупки, регистрации или обращения. Для каждого конкретный кандидат и первый проверяемый шаг уже сохранены в gaps.</w:t>
      </w:r>
    </w:p>
    <w:p>
      <w:pPr>
        <w:pStyle w:val="Heading1"/>
        <w:pageBreakBefore/>
      </w:pPr>
      <w:r>
        <w:t>7. Итоговая оценка</w:t>
      </w:r>
    </w:p>
    <w:p>
      <w:pPr>
        <w:pStyle w:val="Subtitle"/>
      </w:pPr>
      <w:r>
        <w:t>Пакет для исследовательской работы и последующего переноса</w:t>
      </w:r>
    </w:p>
    <w:p>
      <w:pPr>
        <w:pStyle w:val="Heading2"/>
      </w:pPr>
      <w:r>
        <w:t>Покрытие и ограничения</w:t>
      </w:r>
    </w:p>
    <w:p>
      <w:pPr>
        <w:keepLines/>
      </w:pPr>
      <w:r>
        <w:t>Основное ядро DR покрыто существенно: центральные произведения Газали и Рази, Shamsiyya, Ishārāt-комментарии, Mawāqif и Sharḥ имеют проверенные каталожные, издательские, рукописные или полнотекстовые входы. При этом часть корпуса доступна только в современных защищённых изданиях, а некоторые полные просмотры пока подтверждены на уровне официального каталога. Реестр не является исчерпывающим перечнем всех рукописей и комментариев.</w:t>
      </w:r>
    </w:p>
    <w:p>
      <w:pPr>
        <w:keepLines/>
      </w:pPr>
      <w:r>
        <w:t>Арабские оригиналы доступны заметно лучше, чем переводы всего корпуса на русский или английский. Сильные современные переводные входы найдены для Газали, Ishārāt, Shamsiyya, Muṣāraʿa и отдельных поздних учебных текстов. Персидская, еврейская и латинская передача представлены конкретными объектами, но требуют продолжения; невыясненные материалы не потеряны, а вынесены в 29 записей gaps.</w:t>
      </w:r>
    </w:p>
    <w:p>
      <w:pPr>
        <w:keepLines/>
      </w:pPr>
      <w:r>
        <w:t>Наиболее свободный первичный слой — старые арабские печати и конкретное факсимиле QDL; наиболее ясный современный открытый критический слой — Масуди под CC BY-NC 4.0. Дополнительные научные тексты под NC-ND ценны для неизменённого распространения. Главные ограничения сосредоточены в современном редакторском аппарате, переводах, неоднозначных платформенных statements, неполноте некоторых свидетелей и неустановленном происхождении корпусных транскрипций.</w:t>
      </w:r>
    </w:p>
    <w:p>
      <w:pPr>
        <w:pStyle w:val="Heading2"/>
      </w:pPr>
      <w:r>
        <w:t>Как передавать результат дальше</w:t>
      </w:r>
    </w:p>
    <w:p>
      <w:pPr>
        <w:keepLines/>
      </w:pPr>
      <w:r>
        <w:t>Пакет пригоден для Codex как исследовательский вход: простой уникальный record_id, одна строка на практически отличимый маршрут, раздельные дата произведения и данные версии, URL доступа и URL доказательства прав, явные coverage и verification_status. Нормализация работ и связей может опираться на эти записи, но должна сохранять ограничения источников.</w:t>
      </w:r>
    </w:p>
    <w:p>
      <w:pPr>
        <w:keepLines/>
      </w:pPr>
      <w:r>
        <w:t>Автоматическая операция должна проверять не один tos_use, а сочетание tos_use + rights_scope + coverage + rights_evidence_url + verification_status. MIRROR_OK для старого тома не относится к новому переводу; OWN_TRANSLATION_POSSIBLE для извлечения не относится ко всему трактату. RIGHTS_REVIEW_REQUIRED блокирует расширение положительного тега за доказанные пределы.</w:t>
      </w:r>
    </w:p>
    <w:p>
      <w:pPr>
        <w:keepLines/>
      </w:pPr>
      <w:r>
        <w:t>Практический итог: ToS уже может строить предметные библиографические карточки и вести пользователей к законному чтению, каталогам, preview, покупке и условной выдаче. Публикацию собственных файлов следует начинать с небольшого доказанно свободного или открыто лицензированного слоя, а не с объединения всех найденных загрузок.</w:t>
      </w:r>
    </w:p>
    <w:p>
      <w:pPr>
        <w:pStyle w:val="Heading2"/>
      </w:pPr>
      <w:r>
        <w:t>Состав поставки</w:t>
      </w:r>
    </w:p>
    <w:p>
      <w:pPr>
        <w:keepLines/>
      </w:pPr>
      <w:r>
        <w:t>ToS_Corpus_Rights_T2-11_registry.xlsx — 76 записей на registry и 29 записей на gaps. Основной лист содержит ровно 32 заданных поля, начиная с record_id. Вспомогательный лист содержит кандидатов, тип пробела, подтверждённые сведения, ссылки, следующий шаг и приоритет.</w:t>
      </w:r>
    </w:p>
    <w:p>
      <w:pPr>
        <w:keepLines/>
      </w:pPr>
      <w:r>
        <w:t>ToS_Corpus_Rights_T2-11_report.docx — настоящий отчёт. Полная детализация каждой версии, лицензии, доступности и ограничения остаётся в XLSX. Исходный DR и мастер-строка не изменены.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52676D"/>
        <w:sz w:val="16"/>
      </w:rPr>
      <w:t xml:space="preserve">Проверено 04.09.2026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6" w:color="B8C9CE"/>
      </w:pBdr>
    </w:pPr>
    <w:r>
      <w:rPr>
        <w:rFonts w:ascii="Noto Sans" w:hAnsi="Noto Sans"/>
        <w:color w:val="52676D"/>
        <w:sz w:val="16"/>
      </w:rPr>
      <w:t>TREE OF SOPHIA   /   T2-11                                    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90"/>
    </w:pPr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163E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" w:hAnsi="Noto Sans"/>
      <w:b/>
      <w:bCs/>
      <w:color w:val="163E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Noto Sans" w:hAnsi="Noto Sans"/>
      <w:color w:val="163E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/>
    </w:pPr>
    <w:rPr>
      <w:rFonts w:asciiTheme="majorHAnsi" w:eastAsiaTheme="majorEastAsia" w:hAnsiTheme="majorHAnsi" w:cstheme="majorBidi" w:ascii="Noto Sans" w:hAnsi="Noto Sans"/>
      <w:i/>
      <w:iCs/>
      <w:color w:val="4B62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90" w:line="240" w:lineRule="auto"/>
    </w:pPr>
    <w:rPr>
      <w:rFonts w:ascii="Noto Sans" w:hAnsi="Noto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hrist.org.uk/catalog/manuscript_12990" TargetMode="External"/><Relationship Id="rId12" Type="http://schemas.openxmlformats.org/officeDocument/2006/relationships/hyperlink" Target="https://digital-collections.princeton.edu/i/&#1575;&#1604;&#1575;&#1585;&#1576;&#1593;&#1608;&#1606;-&#1575;&#1589;&#1608;&#1604;-&#1575;&#1604;&#1583;&#1610;&#1606;-&#1601;&#1582;&#1585;-&#1575;&#1604;&#1583;&#1610;&#1606;/item/9b4eab8e-2eed-48c8-abbd-4afd0385c371" TargetMode="External"/><Relationship Id="rId13" Type="http://schemas.openxmlformats.org/officeDocument/2006/relationships/hyperlink" Target="https://digital-collections.princeton.edu/i/&#1603;&#1578;&#1575;&#1576;-&#1588;&#1585;&#1581;-&#1575;&#1604;&#1605;&#1608;&#1575;&#1602;&#1601;/item/ba4d14f8-9ba8-4634-a6dd-1535c80dc980" TargetMode="External"/><Relationship Id="rId14" Type="http://schemas.openxmlformats.org/officeDocument/2006/relationships/hyperlink" Target="https://catalog.hathitrust.org/Record/100220168" TargetMode="External"/><Relationship Id="rId15" Type="http://schemas.openxmlformats.org/officeDocument/2006/relationships/hyperlink" Target="https://catalog.hathitrust.org/Record/001914078" TargetMode="External"/><Relationship Id="rId16" Type="http://schemas.openxmlformats.org/officeDocument/2006/relationships/hyperlink" Target="https://sites.dlib.nyu.edu/viewer/books/columbia_aco004069/1?embed=1&amp;lang=en" TargetMode="External"/><Relationship Id="rId17" Type="http://schemas.openxmlformats.org/officeDocument/2006/relationships/hyperlink" Target="https://archive.org/details/ldpd_17688816_000" TargetMode="External"/><Relationship Id="rId18" Type="http://schemas.openxmlformats.org/officeDocument/2006/relationships/hyperlink" Target="https://alminhaj.com/AnZdqy" TargetMode="External"/><Relationship Id="rId19" Type="http://schemas.openxmlformats.org/officeDocument/2006/relationships/hyperlink" Target="https://www.nazariyat.org/en/issues/3/m0018" TargetMode="External"/><Relationship Id="rId20" Type="http://schemas.openxmlformats.org/officeDocument/2006/relationships/hyperlink" Target="https://torathyah.com.sa/product/%D8%A3%D8%B3%D8%A6%D9%84%D8%A9-%D9%86%D8%AC%D9%85-%D8%A7%D9%84%D8%AF%D9%8A%D9%86-%D8%A7%D9%84%D9%83%D8%A7%D8%AA%D8%A8%D9%8A/" TargetMode="External"/><Relationship Id="rId21" Type="http://schemas.openxmlformats.org/officeDocument/2006/relationships/hyperlink" Target="https://nazariyat.org/en/issues/1/m0003" TargetMode="External"/><Relationship Id="rId22" Type="http://schemas.openxmlformats.org/officeDocument/2006/relationships/hyperlink" Target="https://sites.dlib.nyu.edu/viewer/books/aub_aco002193/display?lang=en" TargetMode="External"/><Relationship Id="rId23" Type="http://schemas.openxmlformats.org/officeDocument/2006/relationships/hyperlink" Target="https://www.al-ilmiyah.com/files/bookpage/9782745132529.html" TargetMode="External"/><Relationship Id="rId24" Type="http://schemas.openxmlformats.org/officeDocument/2006/relationships/hyperlink" Target="https://search.worldcat.org/de/title/kasf-al-asrar-an-gawamid-al-afkar/oclc/745478785" TargetMode="External"/><Relationship Id="rId25" Type="http://schemas.openxmlformats.org/officeDocument/2006/relationships/hyperlink" Target="https://sites.dlib.nyu.edu/viewer/books/princeton_aco001228/1?embed=1&amp;lang=en" TargetMode="External"/><Relationship Id="rId26" Type="http://schemas.openxmlformats.org/officeDocument/2006/relationships/hyperlink" Target="https://sites.dlib.nyu.edu/viewer/books/princeton_aco000559/1?embed=1&amp;lang=en" TargetMode="External"/><Relationship Id="rId27" Type="http://schemas.openxmlformats.org/officeDocument/2006/relationships/hyperlink" Target="https://catalog.hathitrust.org/Record/102861172" TargetMode="External"/><Relationship Id="rId28" Type="http://schemas.openxmlformats.org/officeDocument/2006/relationships/hyperlink" Target="https://catalog.hathitrust.org/Record/102868840" TargetMode="External"/><Relationship Id="rId29" Type="http://schemas.openxmlformats.org/officeDocument/2006/relationships/hyperlink" Target="https://sites.dlib.nyu.edu/viewer/books/columbia_aco001878/1?embed=1&amp;lang=ar" TargetMode="External"/><Relationship Id="rId30" Type="http://schemas.openxmlformats.org/officeDocument/2006/relationships/hyperlink" Target="https://sites.dlib.nyu.edu/viewer/books/princeton_aco001093/1?embed=1&amp;lang=ar" TargetMode="External"/><Relationship Id="rId31" Type="http://schemas.openxmlformats.org/officeDocument/2006/relationships/hyperlink" Target="https://sites.dlib.nyu.edu/viewer/books/columbia_aco002001/1?embed=1&amp;lang=en" TargetMode="External"/><Relationship Id="rId32" Type="http://schemas.openxmlformats.org/officeDocument/2006/relationships/hyperlink" Target="https://openlibrary.org/books/OL6067388M" TargetMode="External"/><Relationship Id="rId33" Type="http://schemas.openxmlformats.org/officeDocument/2006/relationships/hyperlink" Target="https://nazariyat.org/en/issues/cilt-8-sayi-2/tarik-tanribilir-ismail-sik" TargetMode="External"/><Relationship Id="rId34" Type="http://schemas.openxmlformats.org/officeDocument/2006/relationships/hyperlink" Target="https://cup.columbia.edu/book/ibn-sinas-remarks-and-admonitions-physics-and-metaphysics/9780231166164/" TargetMode="External"/><Relationship Id="rId35" Type="http://schemas.openxmlformats.org/officeDocument/2006/relationships/hyperlink" Target="https://archive.org/details/kitbalishrtwaalt00avic" TargetMode="External"/><Relationship Id="rId36" Type="http://schemas.openxmlformats.org/officeDocument/2006/relationships/hyperlink" Target="https://press.uchicago.edu/ucp/books/book/distributed/P/bo10581412.html" TargetMode="External"/><Relationship Id="rId37" Type="http://schemas.openxmlformats.org/officeDocument/2006/relationships/hyperlink" Target="https://api.pageplace.de/preview/DT0400.9781317366119_A25903373/preview-9781317366119_A25903373.pdf" TargetMode="External"/><Relationship Id="rId38" Type="http://schemas.openxmlformats.org/officeDocument/2006/relationships/hyperlink" Target="https://plato.stanford.edu/entries/al-ghazali/" TargetMode="External"/><Relationship Id="rId39" Type="http://schemas.openxmlformats.org/officeDocument/2006/relationships/hyperlink" Target="https://studentrepo.iium.edu.my/entities/publication/fd6d1e39-b419-4b98-a45c-7ea76212081b" TargetMode="External"/><Relationship Id="rId40" Type="http://schemas.openxmlformats.org/officeDocument/2006/relationships/hyperlink" Target="https://www.garnetpublishing.co.uk/product/a-guide-to-conclusive-proofs-for-the-principles-of-belief-kitab-al-irshad-ila-qawati-al-adilla-fi-usul-ati-tiqad-2022-edition/" TargetMode="External"/><Relationship Id="rId41" Type="http://schemas.openxmlformats.org/officeDocument/2006/relationships/hyperlink" Target="https://figshare.utas.edu.au/articles/book/Philoponus_Against_Proclus_on_the_Eternity_of_the_World_1-5/23041475" TargetMode="External"/><Relationship Id="rId42" Type="http://schemas.openxmlformats.org/officeDocument/2006/relationships/hyperlink" Target="https://journals.uco.es/mediterranea/article/view/16628" TargetMode="External"/><Relationship Id="rId43" Type="http://schemas.openxmlformats.org/officeDocument/2006/relationships/hyperlink" Target="https://www.gibbtrust.org/averroes-tahafut-al-tahafut-the-incoherence-of-the-incoherence/" TargetMode="External"/><Relationship Id="rId44" Type="http://schemas.openxmlformats.org/officeDocument/2006/relationships/hyperlink" Target="https://academy.ac.il/ShopEng/Entry.aspx?entryId=21345&amp;nodeId=1534" TargetMode="External"/><Relationship Id="rId45" Type="http://schemas.openxmlformats.org/officeDocument/2006/relationships/hyperlink" Target="https://benyehuda.org/read/47961" TargetMode="External"/><Relationship Id="rId46" Type="http://schemas.openxmlformats.org/officeDocument/2006/relationships/hyperlink" Target="https://drive.google.com/file/d/16ON1kIa8xfwrBAGcs3DzroaQIjyqMNC_/view?usp=drive_copy" TargetMode="External"/><Relationship Id="rId47" Type="http://schemas.openxmlformats.org/officeDocument/2006/relationships/hyperlink" Target="https://www.al-ilmiyah.com/files/bookpage/9782745122629.html" TargetMode="External"/><Relationship Id="rId48" Type="http://schemas.openxmlformats.org/officeDocument/2006/relationships/hyperlink" Target="https://catalog.hathitrust.org/Record/005984416" TargetMode="External"/><Relationship Id="rId49" Type="http://schemas.openxmlformats.org/officeDocument/2006/relationships/hyperlink" Target="https://catalog.hathitrust.org/Record/102866427" TargetMode="External"/><Relationship Id="rId50" Type="http://schemas.openxmlformats.org/officeDocument/2006/relationships/hyperlink" Target="https://sites.dlib.nyu.edu/viewer/books/princeton_aco000626/1?embed=1&amp;lang=ar" TargetMode="External"/><Relationship Id="rId51" Type="http://schemas.openxmlformats.org/officeDocument/2006/relationships/hyperlink" Target="https://www.vitalsource.com/za/products/english-translation-and-commentary-of-al-gazali-s-marco-signori-v9783112206591" TargetMode="External"/><Relationship Id="rId52" Type="http://schemas.openxmlformats.org/officeDocument/2006/relationships/hyperlink" Target="https://sites.dlib.nyu.edu/viewer/books/auc_aco000043/1?embed=1&amp;lang=en" TargetMode="External"/><Relationship Id="rId53" Type="http://schemas.openxmlformats.org/officeDocument/2006/relationships/hyperlink" Target="https://press.uchicago.edu/ucp/books/book/distributed/I/bo3624354.html" TargetMode="External"/><Relationship Id="rId54" Type="http://schemas.openxmlformats.org/officeDocument/2006/relationships/hyperlink" Target="https://wellcomecollection.org/works/gbgbe8e5" TargetMode="External"/><Relationship Id="rId55" Type="http://schemas.openxmlformats.org/officeDocument/2006/relationships/hyperlink" Target="https://www.al-ilmiyah.com/files/bookpage/9782745159700.html" TargetMode="External"/><Relationship Id="rId56" Type="http://schemas.openxmlformats.org/officeDocument/2006/relationships/hyperlink" Target="https://catalog.hathitrust.org/Record/011815236" TargetMode="External"/><Relationship Id="rId57" Type="http://schemas.openxmlformats.org/officeDocument/2006/relationships/hyperlink" Target="https://press.uchicago.edu/ucp/books/book/chicago/A/bo16220536.html" TargetMode="External"/><Relationship Id="rId58" Type="http://schemas.openxmlformats.org/officeDocument/2006/relationships/hyperlink" Target="https://sites.dlib.nyu.edu/viewer/books/princeton_aco003852/1?embed=1&amp;lang=en" TargetMode="External"/><Relationship Id="rId59" Type="http://schemas.openxmlformats.org/officeDocument/2006/relationships/hyperlink" Target="https://www.gutenberg.org/ebooks/58977" TargetMode="External"/><Relationship Id="rId60" Type="http://schemas.openxmlformats.org/officeDocument/2006/relationships/hyperlink" Target="https://catalog.hathitrust.org/Record/103048904" TargetMode="External"/><Relationship Id="rId61" Type="http://schemas.openxmlformats.org/officeDocument/2006/relationships/hyperlink" Target="https://alminhaj.com/gyoXDRK" TargetMode="External"/><Relationship Id="rId62" Type="http://schemas.openxmlformats.org/officeDocument/2006/relationships/hyperlink" Target="https://www.qdl.qa/en/archive/81055/vdc_100023515410.0x000090" TargetMode="External"/><Relationship Id="rId63" Type="http://schemas.openxmlformats.org/officeDocument/2006/relationships/hyperlink" Target="https://sites.dlib.nyu.edu/viewer/books/columbia_aco000733/1?embed=1&amp;lang=en" TargetMode="External"/><Relationship Id="rId64" Type="http://schemas.openxmlformats.org/officeDocument/2006/relationships/hyperlink" Target="https://www.al-ilmiyah.com/files/bookpage/9782745126634.html" TargetMode="External"/><Relationship Id="rId65" Type="http://schemas.openxmlformats.org/officeDocument/2006/relationships/hyperlink" Target="https://nazariyat.org/en/issues/cilt-6-sayi-2/el-metalibul-aliye-nin-kayip-ciltlerinin-pesinde" TargetMode="External"/><Relationship Id="rId66" Type="http://schemas.openxmlformats.org/officeDocument/2006/relationships/hyperlink" Target="https://www.al-ilmiyah.com/files/bookpage/9782745161871.html" TargetMode="External"/><Relationship Id="rId67" Type="http://schemas.openxmlformats.org/officeDocument/2006/relationships/hyperlink" Target="https://catalog.hathitrust.org/Record/002815226" TargetMode="External"/><Relationship Id="rId68" Type="http://schemas.openxmlformats.org/officeDocument/2006/relationships/hyperlink" Target="https://catalog.hathitrust.org/Record/103366682" TargetMode="External"/><Relationship Id="rId69" Type="http://schemas.openxmlformats.org/officeDocument/2006/relationships/hyperlink" Target="https://catalog.hathitrust.org/Record/006806214" TargetMode="External"/><Relationship Id="rId70" Type="http://schemas.openxmlformats.org/officeDocument/2006/relationships/hyperlink" Target="https://www.altafsir.com/Tafasir.asp?LanguageId=1&amp;UserProfile=0&amp;tAyahNo=7&amp;tDisplay=yes&amp;tMadhNo=1&amp;tSoraNo=1&amp;tTafsirNo=4" TargetMode="External"/><Relationship Id="rId71" Type="http://schemas.openxmlformats.org/officeDocument/2006/relationships/hyperlink" Target="https://www.jstor.org/stable/10.1163/j.ctv2gjwxrx" TargetMode="External"/><Relationship Id="rId72" Type="http://schemas.openxmlformats.org/officeDocument/2006/relationships/hyperlink" Target="https://aco.dlib.nyu.edu/book/nyu_aco001624/1" TargetMode="External"/><Relationship Id="rId73" Type="http://schemas.openxmlformats.org/officeDocument/2006/relationships/hyperlink" Target="https://www.al-ilmiyah.com/files/bookpage/9782745194602.html" TargetMode="External"/><Relationship Id="rId74" Type="http://schemas.openxmlformats.org/officeDocument/2006/relationships/hyperlink" Target="https://lk.ivran.ru/media/215365.pdf" TargetMode="External"/><Relationship Id="rId75" Type="http://schemas.openxmlformats.org/officeDocument/2006/relationships/hyperlink" Target="https://nyupress.org/9781479819546/the-rules-of-logic/" TargetMode="External"/><Relationship Id="rId76" Type="http://schemas.openxmlformats.org/officeDocument/2006/relationships/hyperlink" Target="https://www.libraryofarabicliterature.org/books/9781479827527/najm-al-din-al-katibis-al-risalah-al-shamsiyyah/" TargetMode="External"/><Relationship Id="rId77" Type="http://schemas.openxmlformats.org/officeDocument/2006/relationships/hyperlink" Target="https://aco.dlib.nyu.edu/book/columbia_aco001292/1" TargetMode="External"/><Relationship Id="rId78" Type="http://schemas.openxmlformats.org/officeDocument/2006/relationships/hyperlink" Target="https://faculty.washington.edu/heer/" TargetMode="External"/><Relationship Id="rId79" Type="http://schemas.openxmlformats.org/officeDocument/2006/relationships/hyperlink" Target="https://studentrepo.iium.edu.my/entities/publication/65d23406-c5f4-4f5d-a98b-cc5cac9e46d3" TargetMode="External"/><Relationship Id="rId80" Type="http://schemas.openxmlformats.org/officeDocument/2006/relationships/hyperlink" Target="https://catalog.hathitrust.org/Record/102811683" TargetMode="External"/><Relationship Id="rId81" Type="http://schemas.openxmlformats.org/officeDocument/2006/relationships/hyperlink" Target="https://catalog.hathitrust.org/Record/102868956" TargetMode="External"/><Relationship Id="rId82" Type="http://schemas.openxmlformats.org/officeDocument/2006/relationships/hyperlink" Target="https://al-islam.org/message-thaqalayn/vol-15-no-4-winter-2014/allamah-al-hilli-imamate-his-kashf-al-murad-1/allamah-al" TargetMode="External"/><Relationship Id="rId83" Type="http://schemas.openxmlformats.org/officeDocument/2006/relationships/hyperlink" Target="https://www.iis.ac.uk/publications-listing/struggling-with-the-philosopher/" TargetMode="External"/><Relationship Id="rId84" Type="http://schemas.openxmlformats.org/officeDocument/2006/relationships/hyperlink" Target="https://zenodo.org/records/17767721" TargetMode="External"/><Relationship Id="rId85" Type="http://schemas.openxmlformats.org/officeDocument/2006/relationships/hyperlink" Target="https://openiti.org/documentation/" TargetMode="External"/><Relationship Id="rId86" Type="http://schemas.openxmlformats.org/officeDocument/2006/relationships/hyperlink" Target="https://creativecommons.org/licenses/by-nc-nd/4.0/" TargetMode="External"/><Relationship Id="rId87" Type="http://schemas.openxmlformats.org/officeDocument/2006/relationships/hyperlink" Target="https://aco.dlib.nyu.edu/about" TargetMode="External"/><Relationship Id="rId88" Type="http://schemas.openxmlformats.org/officeDocument/2006/relationships/hyperlink" Target="https://library.princeton.edu/about/policies/copyright-and-permissions-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T2-11</dc:title>
  <dc:subject>Пост-авиценновская философия и поздний kalām: корпус, законный доступ и права</dc:subject>
  <dc:creator>Tree of Sophia</dc:creator>
  <cp:keywords>ToS; T2-11; corpus; rights; al-Ghazali; al-Razi; manuscripts</cp:keywords>
  <dc:description>Самостоятельный исследовательский отчёт. Детализация — в парном 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