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br/>
        <w:t>Registry</w:t>
      </w:r>
    </w:p>
    <w:p>
      <w:pPr>
        <w:pStyle w:val="Subtitle"/>
      </w:pPr>
      <w:r>
        <w:t>T2-55 — Центральномексиканские</w:t>
        <w:br/>
        <w:t>pictorial-codical системы знания</w:t>
      </w:r>
    </w:p>
    <w:p>
      <w:pPr>
        <w:pStyle w:val="SourceNote"/>
      </w:pPr>
      <w:r>
        <w:t>Исследовательский отчёт • проверка 5 сентября 2026 года</w:t>
      </w:r>
    </w:p>
    <w:p>
      <w:pPr>
        <w:pStyle w:val="Heading1"/>
      </w:pPr>
      <w:r>
        <w:t>1. Паспорт</w:t>
      </w:r>
    </w:p>
    <w:tbl>
      <w:tblPr>
        <w:tblW w:type="auto" w:w="0"/>
        <w:jc w:val="center"/>
        <w:tblLayout w:type="fixed"/>
        <w:tblLook w:firstColumn="1" w:firstRow="1" w:lastColumn="0" w:lastRow="0" w:noHBand="0" w:noVBand="1" w:val="04A0"/>
      </w:tblPr>
      <w:tblGrid>
        <w:gridCol w:w="2438"/>
        <w:gridCol w:w="7257"/>
      </w:tblGrid>
      <w:tr>
        <w:trPr>
          <w:tblHeader/>
        </w:trPr>
        <w:tc>
          <w:tcPr>
            <w:tcW w:type="dxa" w:w="2438"/>
            <w:shd w:fill="173E50"/>
          </w:tcPr>
          <w:p>
            <w:r>
              <w:rPr>
                <w:b/>
                <w:color w:val="FFFFFF"/>
                <w:sz w:val="20"/>
              </w:rPr>
              <w:t>Параметр</w:t>
            </w:r>
          </w:p>
        </w:tc>
        <w:tc>
          <w:tcPr>
            <w:tcW w:type="dxa" w:w="7257"/>
            <w:shd w:fill="173E50"/>
          </w:tcPr>
          <w:p>
            <w:r>
              <w:rPr>
                <w:b/>
                <w:color w:val="FFFFFF"/>
                <w:sz w:val="20"/>
              </w:rPr>
              <w:t>Значение</w:t>
            </w:r>
          </w:p>
        </w:tc>
      </w:tr>
      <w:tr>
        <w:trPr>
          <w:cantSplit/>
        </w:trPr>
        <w:tc>
          <w:tcPr>
            <w:tcW w:type="dxa" w:w="2438"/>
            <w:vAlign w:val="top"/>
            <w:shd w:fill="EFF5F7"/>
          </w:tcPr>
          <w:p>
            <w:pPr>
              <w:spacing w:after="100" w:before="80"/>
            </w:pPr>
            <w:r>
              <w:rPr>
                <w:sz w:val="20"/>
              </w:rPr>
              <w:t>Мастер-строка</w:t>
            </w:r>
          </w:p>
        </w:tc>
        <w:tc>
          <w:tcPr>
            <w:tcW w:type="dxa" w:w="7257"/>
            <w:vAlign w:val="top"/>
            <w:shd w:fill="EFF5F7"/>
          </w:tcPr>
          <w:p>
            <w:pPr>
              <w:spacing w:after="100" w:before="80"/>
            </w:pPr>
            <w:r>
              <w:rPr>
                <w:sz w:val="20"/>
              </w:rPr>
              <w:t>Таблица II · T2-55 · исходный статус B · исходная уверенность 2/5</w:t>
            </w:r>
          </w:p>
        </w:tc>
      </w:tr>
      <w:tr>
        <w:trPr>
          <w:cantSplit/>
        </w:trPr>
        <w:tc>
          <w:tcPr>
            <w:tcW w:type="dxa" w:w="2438"/>
            <w:vAlign w:val="top"/>
          </w:tcPr>
          <w:p>
            <w:pPr>
              <w:spacing w:after="100" w:before="80"/>
            </w:pPr>
            <w:r>
              <w:rPr>
                <w:sz w:val="20"/>
              </w:rPr>
              <w:t>Исторический фокус</w:t>
            </w:r>
          </w:p>
        </w:tc>
        <w:tc>
          <w:tcPr>
            <w:tcW w:type="dxa" w:w="7257"/>
            <w:vAlign w:val="top"/>
          </w:tcPr>
          <w:p>
            <w:pPr>
              <w:spacing w:after="100" w:before="80"/>
            </w:pPr>
            <w:r>
              <w:rPr>
                <w:sz w:val="20"/>
              </w:rPr>
              <w:t>Формирование XIII–XV вв.; фиксация XIII–XVI вв.; редакция и комментарий XV–XVI вв.</w:t>
            </w:r>
          </w:p>
        </w:tc>
      </w:tr>
      <w:tr>
        <w:trPr>
          <w:cantSplit/>
        </w:trPr>
        <w:tc>
          <w:tcPr>
            <w:tcW w:type="dxa" w:w="2438"/>
            <w:vAlign w:val="top"/>
            <w:shd w:fill="EFF5F7"/>
          </w:tcPr>
          <w:p>
            <w:pPr>
              <w:spacing w:after="100" w:before="80"/>
            </w:pPr>
            <w:r>
              <w:rPr>
                <w:sz w:val="20"/>
              </w:rPr>
              <w:t>Основной результат</w:t>
            </w:r>
          </w:p>
        </w:tc>
        <w:tc>
          <w:tcPr>
            <w:tcW w:type="dxa" w:w="7257"/>
            <w:vAlign w:val="top"/>
            <w:shd w:fill="EFF5F7"/>
          </w:tcPr>
          <w:p>
            <w:pPr>
              <w:spacing w:after="100" w:before="80"/>
            </w:pPr>
            <w:r>
              <w:rPr>
                <w:sz w:val="20"/>
              </w:rPr>
              <w:t>77 записей в registry; 34 записи в gaps. Несколько путей могут вести к одному кодексу.</w:t>
            </w:r>
          </w:p>
        </w:tc>
      </w:tr>
      <w:tr>
        <w:trPr>
          <w:cantSplit/>
        </w:trPr>
        <w:tc>
          <w:tcPr>
            <w:tcW w:type="dxa" w:w="2438"/>
            <w:vAlign w:val="top"/>
          </w:tcPr>
          <w:p>
            <w:pPr>
              <w:spacing w:after="100" w:before="80"/>
            </w:pPr>
            <w:r>
              <w:rPr>
                <w:sz w:val="20"/>
              </w:rPr>
              <w:t>Объектный охват</w:t>
            </w:r>
          </w:p>
        </w:tc>
        <w:tc>
          <w:tcPr>
            <w:tcW w:type="dxa" w:w="7257"/>
            <w:vAlign w:val="top"/>
          </w:tcPr>
          <w:p>
            <w:pPr>
              <w:spacing w:after="100" w:before="80"/>
            </w:pPr>
            <w:r>
              <w:rPr>
                <w:sz w:val="20"/>
              </w:rPr>
              <w:t>Примерно три с половиной десятка кодикальных произведений и комплексов: 37 именованных рукописей/частей; дополнительно два ранних эпиграфических входа.</w:t>
            </w:r>
          </w:p>
        </w:tc>
      </w:tr>
    </w:tbl>
    <w:p>
      <w:pPr>
        <w:spacing w:after="0"/>
      </w:pPr>
    </w:p>
    <w:p>
      <w:r>
        <w:t>Использован документ «ToS Deep Research_ T2-55 — Центральномексиканские pictorial-codical системы знания(1).docx». Его паспорт, перечни якорей и источников служили исходной картой: особенно с. 1–2, 11–17 и 43–47. Название строки, статус и исторические границы оставлены исходными. Внешнее расширение корпуса изложено отдельно ниже.</w:t>
      </w:r>
    </w:p>
    <w:p>
      <w:r>
        <w:t>Ядром считались пять ритуально-календарных книг группы Borgia и три миштекских историко-династических якоря. Искались оригинальные свидетели, полные и частичные факсимиле, исторические комментарии, современные научные издания, переводы, музейные и библиотечные карточки, глифические словари и технические способы доступа. Майяские кодексы и кыпу не включались как собственный корпус этой строки.</w:t>
      </w:r>
    </w:p>
    <w:p>
      <w:r>
        <w:t>Поиск вёлся на испанском, английском и русском, а также по немецким, французским и итальянским названиям изданий и коллекций; использовались варианты названий Nahuatl и Ñuu Dzavui. Для доступа приоритет получали учреждения-хранители, FAMSI/ADEVA, Amoxcalli, официальные издатели и институциональные загрузки Internet Archive. Для идентификации — каталоги, титульные сведения и критические издания; для прав — уведомления конкретного объекта и применимые условия.</w:t>
      </w:r>
    </w:p>
    <w:p>
      <w:pPr>
        <w:pStyle w:val="SourceNote"/>
      </w:pPr>
      <w:r>
        <w:t>Ссылки вида [R020] открывают источник соответствующей записи; её полный ID в XLSX — T2-55-R020. Поля verification_status и notes различают открытую страницу, работающую галерею, предложенный файл, непроверенный файл и технически заблокированный адрес. Пустой rights_evidence_url означает отсутствие подходящего подтверждения, а не отсутствие авторских прав.</w:t>
      </w:r>
    </w:p>
    <w:p>
      <w:r>
        <w:t>Слабые указатели не стали доказательством доступа или лицензии: русские переводы Seler, новая работа о Tonalamatl и музейные кальки оставлены неподтверждёнными кандидатами. Адрес оригинала Vindobonensis, обнаруженный через навигационный пересказ, также оставлен на проверку в gaps. Основные сведения отчёта опираются на исходный DR и указанные институциональные источники.</w:t>
      </w:r>
    </w:p>
    <w:p>
      <w:pPr>
        <w:pStyle w:val="Heading1"/>
        <w:pageBreakBefore/>
      </w:pPr>
      <w:r>
        <w:t>2. Охват корпуса</w:t>
      </w:r>
    </w:p>
    <w:p>
      <w:pPr>
        <w:pStyle w:val="Heading2"/>
      </w:pPr>
      <w:r>
        <w:t>Из исходного DR в реестр</w:t>
      </w:r>
    </w:p>
    <w:p>
      <w:r>
        <w:t>Borgia, Vaticanus B, Cospi, Fejérváry-Mayer и Laud получили предметные входы к факсимиле, а не только ссылку на общий портал. Для Borgia, Vaticanus B и Cospi сохранены также отдельные пути к цифровым оригиналам. Для Laud найден Digital Bodleian, но проверка интерфейса и индивидуального разрешения не завершена. Музейный каталог Fejérváry-Mayer сохранён с отметкой о 403, не выданной за исчезновение объекта.</w:t>
      </w:r>
      <w:r>
        <w:t xml:space="preserve"> </w:t>
      </w:r>
      <w:hyperlink r:id="rId11">
        <w:r>
          <w:rPr>
            <w:color w:val="216E8A"/>
            <w:sz w:val="18"/>
          </w:rPr>
          <w:t>[R001]</w:t>
        </w:r>
      </w:hyperlink>
      <w:r>
        <w:t xml:space="preserve"> </w:t>
      </w:r>
      <w:hyperlink r:id="rId12">
        <w:r>
          <w:rPr>
            <w:color w:val="216E8A"/>
            <w:sz w:val="18"/>
          </w:rPr>
          <w:t>[R002]</w:t>
        </w:r>
      </w:hyperlink>
      <w:r>
        <w:t xml:space="preserve"> </w:t>
      </w:r>
      <w:hyperlink r:id="rId13">
        <w:r>
          <w:rPr>
            <w:color w:val="216E8A"/>
            <w:sz w:val="18"/>
          </w:rPr>
          <w:t>[R003]</w:t>
        </w:r>
      </w:hyperlink>
      <w:r>
        <w:t xml:space="preserve"> </w:t>
      </w:r>
      <w:hyperlink r:id="rId14">
        <w:r>
          <w:rPr>
            <w:color w:val="216E8A"/>
            <w:sz w:val="18"/>
          </w:rPr>
          <w:t>[R004]</w:t>
        </w:r>
      </w:hyperlink>
      <w:r>
        <w:t xml:space="preserve"> </w:t>
      </w:r>
      <w:hyperlink r:id="rId15">
        <w:r>
          <w:rPr>
            <w:color w:val="216E8A"/>
            <w:sz w:val="18"/>
          </w:rPr>
          <w:t>[R005]</w:t>
        </w:r>
      </w:hyperlink>
      <w:r>
        <w:t xml:space="preserve"> </w:t>
      </w:r>
      <w:hyperlink r:id="rId16">
        <w:r>
          <w:rPr>
            <w:color w:val="216E8A"/>
            <w:sz w:val="18"/>
          </w:rPr>
          <w:t>[R008]</w:t>
        </w:r>
      </w:hyperlink>
      <w:r>
        <w:t xml:space="preserve"> </w:t>
      </w:r>
      <w:hyperlink r:id="rId17">
        <w:r>
          <w:rPr>
            <w:color w:val="216E8A"/>
            <w:sz w:val="18"/>
          </w:rPr>
          <w:t>[R009]</w:t>
        </w:r>
      </w:hyperlink>
      <w:r>
        <w:t xml:space="preserve"> </w:t>
      </w:r>
      <w:hyperlink r:id="rId18">
        <w:r>
          <w:rPr>
            <w:color w:val="216E8A"/>
            <w:sz w:val="18"/>
          </w:rPr>
          <w:t>[R010]</w:t>
        </w:r>
      </w:hyperlink>
      <w:r>
        <w:t xml:space="preserve"> </w:t>
      </w:r>
      <w:hyperlink r:id="rId19">
        <w:r>
          <w:rPr>
            <w:color w:val="216E8A"/>
            <w:sz w:val="18"/>
          </w:rPr>
          <w:t>[R011]</w:t>
        </w:r>
      </w:hyperlink>
      <w:r>
        <w:t xml:space="preserve"> </w:t>
      </w:r>
      <w:hyperlink r:id="rId20">
        <w:r>
          <w:rPr>
            <w:color w:val="216E8A"/>
            <w:sz w:val="18"/>
          </w:rPr>
          <w:t>[R077]</w:t>
        </w:r>
      </w:hyperlink>
    </w:p>
    <w:p>
      <w:r>
        <w:t>Для Tonindeye/Zouche-Nuttall разделены факсимиле ADEVA, историческое издание 1902 года, современное испанское научное издание и карточка оригинала British Museum. Для Vindobonensis разделены факсимиле и современная интерпретация. Colombino представлен мексиканским цифровым входом и библиотечным экземпляром издания Caso/Smith 1966 года; полнота доступной сетевой репродукции требует дальнейшей проверки.</w:t>
      </w:r>
      <w:r>
        <w:t xml:space="preserve"> </w:t>
      </w:r>
      <w:hyperlink r:id="rId21">
        <w:r>
          <w:rPr>
            <w:color w:val="216E8A"/>
            <w:sz w:val="18"/>
          </w:rPr>
          <w:t>[R006]</w:t>
        </w:r>
      </w:hyperlink>
      <w:r>
        <w:t xml:space="preserve"> </w:t>
      </w:r>
      <w:hyperlink r:id="rId22">
        <w:r>
          <w:rPr>
            <w:color w:val="216E8A"/>
            <w:sz w:val="18"/>
          </w:rPr>
          <w:t>[R007]</w:t>
        </w:r>
      </w:hyperlink>
      <w:r>
        <w:t xml:space="preserve"> </w:t>
      </w:r>
      <w:hyperlink r:id="rId23">
        <w:r>
          <w:rPr>
            <w:color w:val="216E8A"/>
            <w:sz w:val="18"/>
          </w:rPr>
          <w:t>[R012]</w:t>
        </w:r>
      </w:hyperlink>
      <w:r>
        <w:t xml:space="preserve"> </w:t>
      </w:r>
      <w:hyperlink r:id="rId24">
        <w:r>
          <w:rPr>
            <w:color w:val="216E8A"/>
            <w:sz w:val="18"/>
          </w:rPr>
          <w:t>[R020]</w:t>
        </w:r>
      </w:hyperlink>
      <w:r>
        <w:t xml:space="preserve"> </w:t>
      </w:r>
      <w:hyperlink r:id="rId25">
        <w:r>
          <w:rPr>
            <w:color w:val="216E8A"/>
            <w:sz w:val="18"/>
          </w:rPr>
          <w:t>[R061]</w:t>
        </w:r>
      </w:hyperlink>
      <w:r>
        <w:t xml:space="preserve"> </w:t>
      </w:r>
      <w:hyperlink r:id="rId26">
        <w:r>
          <w:rPr>
            <w:color w:val="216E8A"/>
            <w:sz w:val="18"/>
          </w:rPr>
          <w:t>[R062]</w:t>
        </w:r>
      </w:hyperlink>
      <w:r>
        <w:t xml:space="preserve"> </w:t>
      </w:r>
      <w:hyperlink r:id="rId27">
        <w:r>
          <w:rPr>
            <w:color w:val="216E8A"/>
            <w:sz w:val="18"/>
          </w:rPr>
          <w:t>[R067]</w:t>
        </w:r>
      </w:hyperlink>
      <w:r>
        <w:t xml:space="preserve"> </w:t>
      </w:r>
      <w:hyperlink r:id="rId28">
        <w:r>
          <w:rPr>
            <w:color w:val="216E8A"/>
            <w:sz w:val="18"/>
          </w:rPr>
          <w:t>[R076]</w:t>
        </w:r>
      </w:hyperlink>
    </w:p>
    <w:p>
      <w:pPr>
        <w:pStyle w:val="Heading2"/>
      </w:pPr>
      <w:r>
        <w:t>Добавлено живым поиском</w:t>
      </w:r>
    </w:p>
    <w:p>
      <w:r>
        <w:t>Прямые родственники миштекского корпуса — Becker I и II, Egerton 2895, Bodley, Selden/Añute и Tulane/Hamelulpan. Becker I и Colombino рассматриваются в литературе как части комплекса Colombino–Becker; сверка их соединения и цифровой полноты вынесена отдельно. Becker II нельзя автоматически включать в этот же памятник. Издательский пакет Becker I–II поэтому занимает одну запись доступа, а не притворяется одним древним произведением.</w:t>
      </w:r>
      <w:r>
        <w:t xml:space="preserve"> </w:t>
      </w:r>
      <w:hyperlink r:id="rId29">
        <w:r>
          <w:rPr>
            <w:color w:val="216E8A"/>
            <w:sz w:val="18"/>
          </w:rPr>
          <w:t>[R013]</w:t>
        </w:r>
      </w:hyperlink>
      <w:r>
        <w:t xml:space="preserve"> </w:t>
      </w:r>
      <w:hyperlink r:id="rId30">
        <w:r>
          <w:rPr>
            <w:color w:val="216E8A"/>
            <w:sz w:val="18"/>
          </w:rPr>
          <w:t>[R014]</w:t>
        </w:r>
      </w:hyperlink>
      <w:r>
        <w:t xml:space="preserve"> </w:t>
      </w:r>
      <w:hyperlink r:id="rId31">
        <w:r>
          <w:rPr>
            <w:color w:val="216E8A"/>
            <w:sz w:val="18"/>
          </w:rPr>
          <w:t>[R018]</w:t>
        </w:r>
      </w:hyperlink>
      <w:r>
        <w:t xml:space="preserve"> </w:t>
      </w:r>
      <w:hyperlink r:id="rId32">
        <w:r>
          <w:rPr>
            <w:color w:val="216E8A"/>
            <w:sz w:val="18"/>
          </w:rPr>
          <w:t>[R019]</w:t>
        </w:r>
      </w:hyperlink>
      <w:r>
        <w:t xml:space="preserve"> </w:t>
      </w:r>
      <w:hyperlink r:id="rId33">
        <w:r>
          <w:rPr>
            <w:color w:val="216E8A"/>
            <w:sz w:val="18"/>
          </w:rPr>
          <w:t>[R048]</w:t>
        </w:r>
      </w:hyperlink>
      <w:r>
        <w:t xml:space="preserve"> </w:t>
      </w:r>
      <w:hyperlink r:id="rId34">
        <w:r>
          <w:rPr>
            <w:color w:val="216E8A"/>
            <w:sz w:val="18"/>
          </w:rPr>
          <w:t>[R071]</w:t>
        </w:r>
      </w:hyperlink>
    </w:p>
    <w:p>
      <w:r>
        <w:t>Ритуально-календарное и колониальное расширение включает Borbonicus, Tonalamatl Aubin, Aubin Ms. 20, Telleriano-Remensis, Vaticanus A/Ríos, Magliabechiano, Ixtlilxochitl и Tudela. Они сохраняют или переорганизуют календарные, ритуальные и графические репертуары, но не названы все вместе ни «ацтекскими», ни непосредственными копиями Borgia. Для Tudela пригодный официальный адрес установлен, однако его содержание не открылось инструменту.</w:t>
      </w:r>
      <w:r>
        <w:t xml:space="preserve"> </w:t>
      </w:r>
      <w:hyperlink r:id="rId35">
        <w:r>
          <w:rPr>
            <w:color w:val="216E8A"/>
            <w:sz w:val="18"/>
          </w:rPr>
          <w:t>[R015]</w:t>
        </w:r>
      </w:hyperlink>
      <w:r>
        <w:t xml:space="preserve"> </w:t>
      </w:r>
      <w:hyperlink r:id="rId36">
        <w:r>
          <w:rPr>
            <w:color w:val="216E8A"/>
            <w:sz w:val="18"/>
          </w:rPr>
          <w:t>[R016]</w:t>
        </w:r>
      </w:hyperlink>
      <w:r>
        <w:t xml:space="preserve"> </w:t>
      </w:r>
      <w:hyperlink r:id="rId37">
        <w:r>
          <w:rPr>
            <w:color w:val="216E8A"/>
            <w:sz w:val="18"/>
          </w:rPr>
          <w:t>[R017]</w:t>
        </w:r>
      </w:hyperlink>
      <w:r>
        <w:t xml:space="preserve"> </w:t>
      </w:r>
      <w:hyperlink r:id="rId38">
        <w:r>
          <w:rPr>
            <w:color w:val="216E8A"/>
            <w:sz w:val="18"/>
          </w:rPr>
          <w:t>[R027]</w:t>
        </w:r>
      </w:hyperlink>
      <w:r>
        <w:t xml:space="preserve"> </w:t>
      </w:r>
      <w:hyperlink r:id="rId39">
        <w:r>
          <w:rPr>
            <w:color w:val="216E8A"/>
            <w:sz w:val="18"/>
          </w:rPr>
          <w:t>[R028]</w:t>
        </w:r>
      </w:hyperlink>
      <w:r>
        <w:t xml:space="preserve"> </w:t>
      </w:r>
      <w:hyperlink r:id="rId40">
        <w:r>
          <w:rPr>
            <w:color w:val="216E8A"/>
            <w:sz w:val="18"/>
          </w:rPr>
          <w:t>[R034]</w:t>
        </w:r>
      </w:hyperlink>
      <w:r>
        <w:t xml:space="preserve"> </w:t>
      </w:r>
      <w:hyperlink r:id="rId41">
        <w:r>
          <w:rPr>
            <w:color w:val="216E8A"/>
            <w:sz w:val="18"/>
          </w:rPr>
          <w:t>[R035]</w:t>
        </w:r>
      </w:hyperlink>
      <w:r>
        <w:t xml:space="preserve"> </w:t>
      </w:r>
      <w:hyperlink r:id="rId42">
        <w:r>
          <w:rPr>
            <w:color w:val="216E8A"/>
            <w:sz w:val="18"/>
          </w:rPr>
          <w:t>[R042]</w:t>
        </w:r>
      </w:hyperlink>
      <w:r>
        <w:t xml:space="preserve"> </w:t>
      </w:r>
      <w:hyperlink r:id="rId43">
        <w:r>
          <w:rPr>
            <w:color w:val="216E8A"/>
            <w:sz w:val="18"/>
          </w:rPr>
          <w:t>[R073]</w:t>
        </w:r>
      </w:hyperlink>
    </w:p>
    <w:p>
      <w:r>
        <w:t>Историко-политическая и административная линия расширена за счёт Xolotl, Quinatzin, Historia Tolteca-Chichimeca, Aubin 1576, Azcatitlan, Codex en Cruz, двух разных Mexicanus, Teozacoalco, Mendoza, Matrícula и Boturini. Fernández Leal и Porfirio Díaz представляют сопредельную куикатекскую традицию; Bancroft прямо связывает два последних памятника. Для каждого оставлены собственные ограничения полноты и проверки.</w:t>
      </w:r>
      <w:r>
        <w:t xml:space="preserve"> </w:t>
      </w:r>
      <w:hyperlink r:id="rId44">
        <w:r>
          <w:rPr>
            <w:color w:val="216E8A"/>
            <w:sz w:val="18"/>
          </w:rPr>
          <w:t>[R036]</w:t>
        </w:r>
      </w:hyperlink>
      <w:r>
        <w:t xml:space="preserve"> </w:t>
      </w:r>
      <w:hyperlink r:id="rId45">
        <w:r>
          <w:rPr>
            <w:color w:val="216E8A"/>
            <w:sz w:val="18"/>
          </w:rPr>
          <w:t>[R037]</w:t>
        </w:r>
      </w:hyperlink>
      <w:r>
        <w:t xml:space="preserve"> </w:t>
      </w:r>
      <w:hyperlink r:id="rId46">
        <w:r>
          <w:rPr>
            <w:color w:val="216E8A"/>
            <w:sz w:val="18"/>
          </w:rPr>
          <w:t>[R038]</w:t>
        </w:r>
      </w:hyperlink>
      <w:r>
        <w:t xml:space="preserve"> </w:t>
      </w:r>
      <w:hyperlink r:id="rId47">
        <w:r>
          <w:rPr>
            <w:color w:val="216E8A"/>
            <w:sz w:val="18"/>
          </w:rPr>
          <w:t>[R039]</w:t>
        </w:r>
      </w:hyperlink>
      <w:r>
        <w:t xml:space="preserve"> </w:t>
      </w:r>
      <w:hyperlink r:id="rId48">
        <w:r>
          <w:rPr>
            <w:color w:val="216E8A"/>
            <w:sz w:val="18"/>
          </w:rPr>
          <w:t>[R040]</w:t>
        </w:r>
      </w:hyperlink>
      <w:r>
        <w:t xml:space="preserve"> </w:t>
      </w:r>
      <w:hyperlink r:id="rId49">
        <w:r>
          <w:rPr>
            <w:color w:val="216E8A"/>
            <w:sz w:val="18"/>
          </w:rPr>
          <w:t>[R041]</w:t>
        </w:r>
      </w:hyperlink>
      <w:r>
        <w:t xml:space="preserve"> </w:t>
      </w:r>
      <w:hyperlink r:id="rId50">
        <w:r>
          <w:rPr>
            <w:color w:val="216E8A"/>
            <w:sz w:val="18"/>
          </w:rPr>
          <w:t>[R043]</w:t>
        </w:r>
      </w:hyperlink>
      <w:r>
        <w:t xml:space="preserve"> </w:t>
      </w:r>
      <w:hyperlink r:id="rId51">
        <w:r>
          <w:rPr>
            <w:color w:val="216E8A"/>
            <w:sz w:val="18"/>
          </w:rPr>
          <w:t>[R044]</w:t>
        </w:r>
      </w:hyperlink>
      <w:r>
        <w:t xml:space="preserve"> </w:t>
      </w:r>
      <w:hyperlink r:id="rId52">
        <w:r>
          <w:rPr>
            <w:color w:val="216E8A"/>
            <w:sz w:val="18"/>
          </w:rPr>
          <w:t>[R049]</w:t>
        </w:r>
      </w:hyperlink>
      <w:r>
        <w:t xml:space="preserve"> </w:t>
      </w:r>
      <w:hyperlink r:id="rId53">
        <w:r>
          <w:rPr>
            <w:color w:val="216E8A"/>
            <w:sz w:val="18"/>
          </w:rPr>
          <w:t>[R050]</w:t>
        </w:r>
      </w:hyperlink>
      <w:r>
        <w:t xml:space="preserve"> </w:t>
      </w:r>
      <w:hyperlink r:id="rId54">
        <w:r>
          <w:rPr>
            <w:color w:val="216E8A"/>
            <w:sz w:val="18"/>
          </w:rPr>
          <w:t>[R051]</w:t>
        </w:r>
      </w:hyperlink>
      <w:r>
        <w:t xml:space="preserve"> </w:t>
      </w:r>
      <w:hyperlink r:id="rId55">
        <w:r>
          <w:rPr>
            <w:color w:val="216E8A"/>
            <w:sz w:val="18"/>
          </w:rPr>
          <w:t>[R052]</w:t>
        </w:r>
      </w:hyperlink>
      <w:r>
        <w:t xml:space="preserve"> </w:t>
      </w:r>
      <w:hyperlink r:id="rId56">
        <w:r>
          <w:rPr>
            <w:color w:val="216E8A"/>
            <w:sz w:val="18"/>
          </w:rPr>
          <w:t>[R068]</w:t>
        </w:r>
      </w:hyperlink>
      <w:r>
        <w:t xml:space="preserve"> </w:t>
      </w:r>
      <w:hyperlink r:id="rId57">
        <w:r>
          <w:rPr>
            <w:color w:val="216E8A"/>
            <w:sz w:val="18"/>
          </w:rPr>
          <w:t>[R072]</w:t>
        </w:r>
      </w:hyperlink>
    </w:p>
    <w:p>
      <w:pPr>
        <w:pStyle w:val="Heading2"/>
      </w:pPr>
      <w:r>
        <w:t>Ранний проход: antecedent, а не общая предыстория</w:t>
      </w:r>
    </w:p>
    <w:p>
      <w:r>
        <w:t>Выбраны два конкретных эпиграфических входа ñuiñe: комплекс Puente Colosal/Ndaxagua в отчёте Javier Urcid и памятник CAJ.2 с Cerro de la Caja в публикации CIESAS. Их отношение к строке — региональные календарные знаки, памятная запись и топонимические конвенции Mixteca. Доступны современные описания, рисунки и фотографии; не установлен открытый древний «текст», который можно свободно выгрузить.</w:t>
      </w:r>
      <w:r>
        <w:t xml:space="preserve"> </w:t>
      </w:r>
      <w:hyperlink r:id="rId58">
        <w:r>
          <w:rPr>
            <w:color w:val="216E8A"/>
            <w:sz w:val="18"/>
          </w:rPr>
          <w:t>[R046]</w:t>
        </w:r>
      </w:hyperlink>
      <w:r>
        <w:t xml:space="preserve"> </w:t>
      </w:r>
      <w:hyperlink r:id="rId59">
        <w:r>
          <w:rPr>
            <w:color w:val="216E8A"/>
            <w:sz w:val="18"/>
          </w:rPr>
          <w:t>[R047]</w:t>
        </w:r>
      </w:hyperlink>
    </w:p>
    <w:p>
      <w:r>
        <w:t>Публикации охватывают преимущественно классические и переходные раннепостклассические слои, предшествующие XIII веку. Это аргументированные сопоставительные предшественники, но не доказательство прямой линии «CAJ.2 → Borgia». Для TEQ.32a/TEQ.2 и конкретных параллелей знакам Vindobonensis и Bodley найдено направление проверки, а не готовое утверждение о происхождении; оно остаётся в G13–G14.</w:t>
      </w:r>
      <w:r>
        <w:t xml:space="preserve"> </w:t>
      </w:r>
      <w:hyperlink r:id="rId58">
        <w:r>
          <w:rPr>
            <w:color w:val="216E8A"/>
            <w:sz w:val="18"/>
          </w:rPr>
          <w:t>[R046]</w:t>
        </w:r>
      </w:hyperlink>
      <w:r>
        <w:t xml:space="preserve"> </w:t>
      </w:r>
      <w:hyperlink r:id="rId59">
        <w:r>
          <w:rPr>
            <w:color w:val="216E8A"/>
            <w:sz w:val="18"/>
          </w:rPr>
          <w:t>[R047]</w:t>
        </w:r>
      </w:hyperlink>
    </w:p>
    <w:p>
      <w:pPr>
        <w:pStyle w:val="Heading2"/>
      </w:pPr>
      <w:r>
        <w:t>Поздний проход: продолжение, сохранение и чтение</w:t>
      </w:r>
    </w:p>
    <w:p>
      <w:r>
        <w:t>Продолжением династической записи выступают колониальные генеалогии Egerton, Selden и Tulane; карта Teozacoalco 1580 года соединяет территорию и родословия. У Tulane отдельно отмечены глоссы 1801 года, связанные с более поздним использованием памятника в земельных притязаниях. Здесь более поздняя дата не ослабляет связь с письменной семейной памятью исходного ядра.</w:t>
      </w:r>
      <w:r>
        <w:t xml:space="preserve"> </w:t>
      </w:r>
      <w:hyperlink r:id="rId30">
        <w:r>
          <w:rPr>
            <w:color w:val="216E8A"/>
            <w:sz w:val="18"/>
          </w:rPr>
          <w:t>[R014]</w:t>
        </w:r>
      </w:hyperlink>
      <w:r>
        <w:t xml:space="preserve"> </w:t>
      </w:r>
      <w:hyperlink r:id="rId32">
        <w:r>
          <w:rPr>
            <w:color w:val="216E8A"/>
            <w:sz w:val="18"/>
          </w:rPr>
          <w:t>[R019]</w:t>
        </w:r>
      </w:hyperlink>
      <w:r>
        <w:t xml:space="preserve"> </w:t>
      </w:r>
      <w:hyperlink r:id="rId33">
        <w:r>
          <w:rPr>
            <w:color w:val="216E8A"/>
            <w:sz w:val="18"/>
          </w:rPr>
          <w:t>[R048]</w:t>
        </w:r>
      </w:hyperlink>
      <w:r>
        <w:t xml:space="preserve"> </w:t>
      </w:r>
      <w:hyperlink r:id="rId52">
        <w:r>
          <w:rPr>
            <w:color w:val="216E8A"/>
            <w:sz w:val="18"/>
          </w:rPr>
          <w:t>[R049]</w:t>
        </w:r>
      </w:hyperlink>
    </w:p>
    <w:p>
      <w:r>
        <w:t>Xolotl, Quinatzin и Codex en Cruz документируют иной региональный режим исторической и политической памяти; Mendoza и Matrícula — административное переоформление графического учёта. Florentine Codex включён как названный в DR канал сохранения календарных и ритуальных знаний, а не как доказанная копия Borgia. У этого канала отдельно учтены оригинал, современный цифровой проект и английское издание.</w:t>
      </w:r>
      <w:r>
        <w:t xml:space="preserve"> </w:t>
      </w:r>
      <w:hyperlink r:id="rId44">
        <w:r>
          <w:rPr>
            <w:color w:val="216E8A"/>
            <w:sz w:val="18"/>
          </w:rPr>
          <w:t>[R036]</w:t>
        </w:r>
      </w:hyperlink>
      <w:r>
        <w:t xml:space="preserve"> </w:t>
      </w:r>
      <w:hyperlink r:id="rId45">
        <w:r>
          <w:rPr>
            <w:color w:val="216E8A"/>
            <w:sz w:val="18"/>
          </w:rPr>
          <w:t>[R037]</w:t>
        </w:r>
      </w:hyperlink>
      <w:r>
        <w:t xml:space="preserve"> </w:t>
      </w:r>
      <w:hyperlink r:id="rId49">
        <w:r>
          <w:rPr>
            <w:color w:val="216E8A"/>
            <w:sz w:val="18"/>
          </w:rPr>
          <w:t>[R041]</w:t>
        </w:r>
      </w:hyperlink>
      <w:r>
        <w:t xml:space="preserve"> </w:t>
      </w:r>
      <w:hyperlink r:id="rId53">
        <w:r>
          <w:rPr>
            <w:color w:val="216E8A"/>
            <w:sz w:val="18"/>
          </w:rPr>
          <w:t>[R050]</w:t>
        </w:r>
      </w:hyperlink>
      <w:r>
        <w:t xml:space="preserve"> </w:t>
      </w:r>
      <w:hyperlink r:id="rId55">
        <w:r>
          <w:rPr>
            <w:color w:val="216E8A"/>
            <w:sz w:val="18"/>
          </w:rPr>
          <w:t>[R052]</w:t>
        </w:r>
      </w:hyperlink>
      <w:r>
        <w:t xml:space="preserve"> </w:t>
      </w:r>
      <w:hyperlink r:id="rId60">
        <w:r>
          <w:rPr>
            <w:color w:val="216E8A"/>
            <w:sz w:val="18"/>
          </w:rPr>
          <w:t>[R054]</w:t>
        </w:r>
      </w:hyperlink>
      <w:r>
        <w:t xml:space="preserve"> </w:t>
      </w:r>
      <w:hyperlink r:id="rId61">
        <w:r>
          <w:rPr>
            <w:color w:val="216E8A"/>
            <w:sz w:val="18"/>
          </w:rPr>
          <w:t>[R055]</w:t>
        </w:r>
      </w:hyperlink>
      <w:r>
        <w:t xml:space="preserve"> </w:t>
      </w:r>
      <w:hyperlink r:id="rId62">
        <w:r>
          <w:rPr>
            <w:color w:val="216E8A"/>
            <w:sz w:val="18"/>
          </w:rPr>
          <w:t>[R058]</w:t>
        </w:r>
      </w:hyperlink>
    </w:p>
    <w:p>
      <w:r>
        <w:t>Передача включает не только XVI век: копию Aubin, выполненную León y Gama в XVIII веке; факсимиле Loubat XIX–начала XX века; немецкие комментарии Seler и английскую версию Keane; научные издания XX века. Современные Time and the Ancestors и исследование глосс Borbonicus включены из-за непосредственной работы с изображениями и пояснительными слоями кодексов, а не ради общей библиографии культуры.</w:t>
      </w:r>
      <w:r>
        <w:t xml:space="preserve"> </w:t>
      </w:r>
      <w:hyperlink r:id="rId63">
        <w:r>
          <w:rPr>
            <w:color w:val="216E8A"/>
            <w:sz w:val="18"/>
          </w:rPr>
          <w:t>[R022]</w:t>
        </w:r>
      </w:hyperlink>
      <w:r>
        <w:t xml:space="preserve"> </w:t>
      </w:r>
      <w:hyperlink r:id="rId64">
        <w:r>
          <w:rPr>
            <w:color w:val="216E8A"/>
            <w:sz w:val="18"/>
          </w:rPr>
          <w:t>[R031]</w:t>
        </w:r>
      </w:hyperlink>
      <w:r>
        <w:t xml:space="preserve"> </w:t>
      </w:r>
      <w:hyperlink r:id="rId64">
        <w:r>
          <w:rPr>
            <w:color w:val="216E8A"/>
            <w:sz w:val="18"/>
          </w:rPr>
          <w:t>[R033]</w:t>
        </w:r>
      </w:hyperlink>
      <w:r>
        <w:t xml:space="preserve"> </w:t>
      </w:r>
      <w:hyperlink r:id="rId47">
        <w:r>
          <w:rPr>
            <w:color w:val="216E8A"/>
            <w:sz w:val="18"/>
          </w:rPr>
          <w:t>[R039]</w:t>
        </w:r>
      </w:hyperlink>
      <w:r>
        <w:t xml:space="preserve"> </w:t>
      </w:r>
      <w:hyperlink r:id="rId65">
        <w:r>
          <w:rPr>
            <w:color w:val="216E8A"/>
            <w:sz w:val="18"/>
          </w:rPr>
          <w:t>[R064]</w:t>
        </w:r>
      </w:hyperlink>
      <w:r>
        <w:t xml:space="preserve"> </w:t>
      </w:r>
      <w:hyperlink r:id="rId66">
        <w:r>
          <w:rPr>
            <w:color w:val="216E8A"/>
            <w:sz w:val="18"/>
          </w:rPr>
          <w:t>[R065]</w:t>
        </w:r>
      </w:hyperlink>
      <w:r>
        <w:t xml:space="preserve"> </w:t>
      </w:r>
      <w:hyperlink r:id="rId67">
        <w:r>
          <w:rPr>
            <w:color w:val="216E8A"/>
            <w:sz w:val="18"/>
          </w:rPr>
          <w:t>[R066]</w:t>
        </w:r>
      </w:hyperlink>
    </w:p>
    <w:p>
      <w:pPr>
        <w:pStyle w:val="Heading2"/>
      </w:pPr>
      <w:r>
        <w:t>Как читать количественный итог</w:t>
      </w:r>
    </w:p>
    <w:p>
      <w:r>
        <w:t>В registry 77 записей доступа: 18 core, 7 same_corpus_or_tradition, 2 antecedent, 11 continuation, 16 commentary_or_reception, 18 transmission_or_preservation, 2 boundary, 2 infrastructure и 1 secondary_navigation. Это классификация маршрутов и версий, не число независимых произведений. Специальные supporting-записи не добавлялись ради заполнения рубрики.</w:t>
      </w:r>
    </w:p>
    <w:p>
      <w:r>
        <w:t>Объектный подсчёт отделён от ссылочного: 37 именованных кодикальных рукописей и частей дают приблизительно 36–37 произведений/комплексов в зависимости от объединения Colombino–Becker; ещё два объекта — ранние эпиграфические входы. Книга Florentine Codex считается одним составным корпусом, а не двенадцатью найденными книгами. Порталы и библиографический указатель не прибавлены к первичным произведениям. Gaps содержит 34 задачи и ограничения, не 34 «несуществующих текста».</w:t>
      </w:r>
    </w:p>
    <w:p>
      <w:pPr>
        <w:pStyle w:val="SourceNote"/>
      </w:pPr>
      <w:r>
        <w:t>Полнота визуального доступа неодинакова: complete_work_or_corpus у печатного комплекта означает комплект в библиотеке или у издателя, а не полный текст на странице каталога. single_witness означает один доступный свидетель; substantial_part и selected_sections не обещают восстановить утраченные части или весь исторический корпус.</w:t>
      </w:r>
    </w:p>
    <w:p>
      <w:pPr>
        <w:pStyle w:val="Heading1"/>
        <w:pageBreakBefore/>
      </w:pPr>
      <w:r>
        <w:t>3. Лучшие пути доступа</w:t>
      </w:r>
    </w:p>
    <w:p>
      <w:pPr>
        <w:pStyle w:val="Heading2"/>
      </w:pPr>
      <w:r>
        <w:t>Ритуально-дивинаторное ядро</w:t>
      </w:r>
    </w:p>
    <w:p>
      <w:r>
        <w:t>Borgia. Наиболее практичный бесплатный вход — факсимиле FAMSI/ADEVA, с альтернативным историческим воспроизведением Loubat. Для исследования оригинала сохранён DigiVatLib: повторная проверка не позволила подтвердить работу просмотрщика и manifests. Немецкий Seler доступен отдельным комментаторским пакетом; крупные PDF не все удалось открыть, поэтому его техническую комплектность следует сверять. Предпочтительный современный испанский ориентир — Los templos del cielo y de la oscuridad, 1993; UPAEP подтверждает экземпляры для чтения на месте.</w:t>
      </w:r>
      <w:r>
        <w:t xml:space="preserve"> </w:t>
      </w:r>
      <w:hyperlink r:id="rId11">
        <w:r>
          <w:rPr>
            <w:color w:val="216E8A"/>
            <w:sz w:val="18"/>
          </w:rPr>
          <w:t>[R001]</w:t>
        </w:r>
      </w:hyperlink>
      <w:r>
        <w:t xml:space="preserve"> </w:t>
      </w:r>
      <w:hyperlink r:id="rId16">
        <w:r>
          <w:rPr>
            <w:color w:val="216E8A"/>
            <w:sz w:val="18"/>
          </w:rPr>
          <w:t>[R008]</w:t>
        </w:r>
      </w:hyperlink>
      <w:r>
        <w:t xml:space="preserve"> </w:t>
      </w:r>
      <w:hyperlink r:id="rId63">
        <w:r>
          <w:rPr>
            <w:color w:val="216E8A"/>
            <w:sz w:val="18"/>
          </w:rPr>
          <w:t>[R022]</w:t>
        </w:r>
      </w:hyperlink>
      <w:r>
        <w:t xml:space="preserve"> </w:t>
      </w:r>
      <w:hyperlink r:id="rId64">
        <w:r>
          <w:rPr>
            <w:color w:val="216E8A"/>
            <w:sz w:val="18"/>
          </w:rPr>
          <w:t>[R031]</w:t>
        </w:r>
      </w:hyperlink>
      <w:r>
        <w:t xml:space="preserve"> </w:t>
      </w:r>
      <w:hyperlink r:id="rId68">
        <w:r>
          <w:rPr>
            <w:color w:val="216E8A"/>
            <w:sz w:val="18"/>
          </w:rPr>
          <w:t>[R056]</w:t>
        </w:r>
      </w:hyperlink>
    </w:p>
    <w:p>
      <w:r>
        <w:t>Vaticanus B. Для просмотра и скачивания удобен FAMSI/ADEVA; для альтернативной репродукции — историческая серия Loubat. Научный испанский вход — Manual del adivino. Из старых переводных чтений найден английский комментарий Seler/Keane через Michigan–Google/Internet Archive: в метаданных расходятся 1902/1903 и число страниц, поэтому он не объявлен полным комплектом. Полного старого «буквального перевода кодекса» эта запись не обещает.</w:t>
      </w:r>
      <w:r>
        <w:t xml:space="preserve"> </w:t>
      </w:r>
      <w:hyperlink r:id="rId12">
        <w:r>
          <w:rPr>
            <w:color w:val="216E8A"/>
            <w:sz w:val="18"/>
          </w:rPr>
          <w:t>[R002]</w:t>
        </w:r>
      </w:hyperlink>
      <w:r>
        <w:t xml:space="preserve"> </w:t>
      </w:r>
      <w:hyperlink r:id="rId17">
        <w:r>
          <w:rPr>
            <w:color w:val="216E8A"/>
            <w:sz w:val="18"/>
          </w:rPr>
          <w:t>[R009]</w:t>
        </w:r>
      </w:hyperlink>
      <w:r>
        <w:t xml:space="preserve"> </w:t>
      </w:r>
      <w:hyperlink r:id="rId69">
        <w:r>
          <w:rPr>
            <w:color w:val="216E8A"/>
            <w:sz w:val="18"/>
          </w:rPr>
          <w:t>[R030]</w:t>
        </w:r>
      </w:hyperlink>
      <w:r>
        <w:t xml:space="preserve"> </w:t>
      </w:r>
      <w:hyperlink r:id="rId70">
        <w:r>
          <w:rPr>
            <w:color w:val="216E8A"/>
            <w:sz w:val="18"/>
          </w:rPr>
          <w:t>[R059]</w:t>
        </w:r>
      </w:hyperlink>
      <w:r>
        <w:t xml:space="preserve"> </w:t>
      </w:r>
      <w:hyperlink r:id="rId67">
        <w:r>
          <w:rPr>
            <w:color w:val="216E8A"/>
            <w:sz w:val="18"/>
          </w:rPr>
          <w:t>[R066]</w:t>
        </w:r>
      </w:hyperlink>
    </w:p>
    <w:p>
      <w:r>
        <w:t>Cospi. Лучший подтверждённый вход к цифровому оригиналу — Biblioteca Universitaria di Bologna, с предметной страницей и IIIF-манифестом. Полную оцифровку подтверждает университетская карточка; сам JSON-манифест инструментом не разобран. FAMSI даёт отдельную факсимильную версию для исследования. Современный комментарий Calendario de pronósticos y ofrendas сохранён библиографически; свободного распространения этого текста не установлено.</w:t>
      </w:r>
      <w:r>
        <w:t xml:space="preserve"> </w:t>
      </w:r>
      <w:hyperlink r:id="rId13">
        <w:r>
          <w:rPr>
            <w:color w:val="216E8A"/>
            <w:sz w:val="18"/>
          </w:rPr>
          <w:t>[R003]</w:t>
        </w:r>
      </w:hyperlink>
      <w:r>
        <w:t xml:space="preserve"> </w:t>
      </w:r>
      <w:hyperlink r:id="rId18">
        <w:r>
          <w:rPr>
            <w:color w:val="216E8A"/>
            <w:sz w:val="18"/>
          </w:rPr>
          <w:t>[R010]</w:t>
        </w:r>
      </w:hyperlink>
      <w:r>
        <w:t xml:space="preserve"> </w:t>
      </w:r>
      <w:hyperlink r:id="rId71">
        <w:r>
          <w:rPr>
            <w:color w:val="216E8A"/>
            <w:sz w:val="18"/>
          </w:rPr>
          <w:t>[R023]</w:t>
        </w:r>
      </w:hyperlink>
      <w:r>
        <w:t xml:space="preserve"> </w:t>
      </w:r>
      <w:hyperlink r:id="rId72">
        <w:r>
          <w:rPr>
            <w:color w:val="216E8A"/>
            <w:sz w:val="18"/>
          </w:rPr>
          <w:t>[R060]</w:t>
        </w:r>
      </w:hyperlink>
    </w:p>
    <w:p>
      <w:r>
        <w:t>Fejérváry-Mayer. Для обычного просмотра подходят факсимиле FAMSI. Самый сильный найденный путь к повторному использованию — скан издания 1901 года, загруженный Smithsonian: библиотека прямо указывает public domain. В нём французская сопроводительная брошюра; нельзя принимать его за весь немецкий комментарий Seler или английский перевод Keane. Современный комментарий El libro de Tezcatlipoca остаётся отдельным пробелом научного доступа. Карточка M12014 важна для оригинала, но в этой проверке закрыта 403.</w:t>
      </w:r>
      <w:r>
        <w:t xml:space="preserve"> </w:t>
      </w:r>
      <w:hyperlink r:id="rId14">
        <w:r>
          <w:rPr>
            <w:color w:val="216E8A"/>
            <w:sz w:val="18"/>
          </w:rPr>
          <w:t>[R004]</w:t>
        </w:r>
      </w:hyperlink>
      <w:r>
        <w:t xml:space="preserve"> </w:t>
      </w:r>
      <w:hyperlink r:id="rId73">
        <w:r>
          <w:rPr>
            <w:color w:val="216E8A"/>
            <w:sz w:val="18"/>
          </w:rPr>
          <w:t>[R021]</w:t>
        </w:r>
      </w:hyperlink>
      <w:r>
        <w:t xml:space="preserve"> </w:t>
      </w:r>
      <w:hyperlink r:id="rId74">
        <w:r>
          <w:rPr>
            <w:color w:val="216E8A"/>
            <w:sz w:val="18"/>
          </w:rPr>
          <w:t>[R024]</w:t>
        </w:r>
      </w:hyperlink>
      <w:r>
        <w:t xml:space="preserve"> </w:t>
      </w:r>
      <w:hyperlink r:id="rId64">
        <w:r>
          <w:rPr>
            <w:color w:val="216E8A"/>
            <w:sz w:val="18"/>
          </w:rPr>
          <w:t>[R032]</w:t>
        </w:r>
      </w:hyperlink>
      <w:r>
        <w:t xml:space="preserve"> </w:t>
      </w:r>
      <w:hyperlink r:id="rId20">
        <w:r>
          <w:rPr>
            <w:color w:val="216E8A"/>
            <w:sz w:val="18"/>
          </w:rPr>
          <w:t>[R077]</w:t>
        </w:r>
      </w:hyperlink>
    </w:p>
    <w:p>
      <w:r>
        <w:t>Laud. Для изображения сейчас наиболее надёжен проверенный FAMSI, а оригинал Digital Bodleian сохранён как отдельный маршрут с непроверенным просмотрщиком. Современное испанское чтение La pintura de la muerte y de los destinos, 1994, идентифицировано в каталоге UPAEP; это библиографическая карточка, не свободный PDF. Прав на автоматическое извлечение всех изображений Bodleian не установлено.</w:t>
      </w:r>
      <w:r>
        <w:t xml:space="preserve"> </w:t>
      </w:r>
      <w:hyperlink r:id="rId15">
        <w:r>
          <w:rPr>
            <w:color w:val="216E8A"/>
            <w:sz w:val="18"/>
          </w:rPr>
          <w:t>[R005]</w:t>
        </w:r>
      </w:hyperlink>
      <w:r>
        <w:t xml:space="preserve"> </w:t>
      </w:r>
      <w:hyperlink r:id="rId19">
        <w:r>
          <w:rPr>
            <w:color w:val="216E8A"/>
            <w:sz w:val="18"/>
          </w:rPr>
          <w:t>[R011]</w:t>
        </w:r>
      </w:hyperlink>
      <w:r>
        <w:t xml:space="preserve"> </w:t>
      </w:r>
      <w:hyperlink r:id="rId75">
        <w:r>
          <w:rPr>
            <w:color w:val="216E8A"/>
            <w:sz w:val="18"/>
          </w:rPr>
          <w:t>[R070]</w:t>
        </w:r>
      </w:hyperlink>
    </w:p>
    <w:p>
      <w:pPr>
        <w:pStyle w:val="Heading2"/>
      </w:pPr>
      <w:r>
        <w:t>Миштекские книги и генеалогические продолжения</w:t>
      </w:r>
    </w:p>
    <w:p>
      <w:r>
        <w:t>Tonindeye/Nuttall. Бесплатное сравнение удобно начинать с FAMSI, а для собственного исследовательского слоя — со скана издания Zelia Nuttall 1902 года в институциональной загрузке Getty. В карточке записано NOT_IN_COPYRIGHT; это не лицензия и не глобальное разрешение для всех стран. Современный испанский комментарий Crónica mixteca найден отдельно. Музейные фотографии British Museum не наследуют статус старого печатного факсимиле.</w:t>
      </w:r>
      <w:r>
        <w:t xml:space="preserve"> </w:t>
      </w:r>
      <w:hyperlink r:id="rId21">
        <w:r>
          <w:rPr>
            <w:color w:val="216E8A"/>
            <w:sz w:val="18"/>
          </w:rPr>
          <w:t>[R006]</w:t>
        </w:r>
      </w:hyperlink>
      <w:r>
        <w:t xml:space="preserve"> </w:t>
      </w:r>
      <w:hyperlink r:id="rId24">
        <w:r>
          <w:rPr>
            <w:color w:val="216E8A"/>
            <w:sz w:val="18"/>
          </w:rPr>
          <w:t>[R020]</w:t>
        </w:r>
      </w:hyperlink>
      <w:r>
        <w:t xml:space="preserve"> </w:t>
      </w:r>
      <w:hyperlink r:id="rId25">
        <w:r>
          <w:rPr>
            <w:color w:val="216E8A"/>
            <w:sz w:val="18"/>
          </w:rPr>
          <w:t>[R061]</w:t>
        </w:r>
      </w:hyperlink>
      <w:r>
        <w:t xml:space="preserve"> </w:t>
      </w:r>
      <w:hyperlink r:id="rId28">
        <w:r>
          <w:rPr>
            <w:color w:val="216E8A"/>
            <w:sz w:val="18"/>
          </w:rPr>
          <w:t>[R076]</w:t>
        </w:r>
      </w:hyperlink>
    </w:p>
    <w:p>
      <w:r>
        <w:t>Vindobonensis. Факсимиле FAMSI — основной проверенный визуальный путь. Испанское Origen e historia de los reyes mixtecos — защищённое научное издание. Для современного открытого чтения отдельных сцен полезна книга Jansen и Pérez Jiménez Time and the Ancestors: лицензия относится к авторскому тексту, а права музейных изображений требуют отдельной проверки. Актуальный прямой цифровой оригинал ÖNB не подтверждён, несмотря на найденный адрес.</w:t>
      </w:r>
      <w:r>
        <w:t xml:space="preserve"> </w:t>
      </w:r>
      <w:hyperlink r:id="rId22">
        <w:r>
          <w:rPr>
            <w:color w:val="216E8A"/>
            <w:sz w:val="18"/>
          </w:rPr>
          <w:t>[R007]</w:t>
        </w:r>
      </w:hyperlink>
      <w:r>
        <w:t xml:space="preserve"> </w:t>
      </w:r>
      <w:hyperlink r:id="rId26">
        <w:r>
          <w:rPr>
            <w:color w:val="216E8A"/>
            <w:sz w:val="18"/>
          </w:rPr>
          <w:t>[R062]</w:t>
        </w:r>
      </w:hyperlink>
      <w:r>
        <w:t xml:space="preserve"> </w:t>
      </w:r>
      <w:hyperlink r:id="rId65">
        <w:r>
          <w:rPr>
            <w:color w:val="216E8A"/>
            <w:sz w:val="18"/>
          </w:rPr>
          <w:t>[R064]</w:t>
        </w:r>
      </w:hyperlink>
    </w:p>
    <w:p>
      <w:r>
        <w:t>Colombino–Becker. Сетевой Colombino в INAH не следует считать доказанным полным цифровым комплексом вместе с Becker I. Для Becker I–II доступен пакет FAMSI; для Colombino найден конкретный комплект Caso/Smith 1966 в Special Collections UNT. Egerton и Becker II имеют также совместное научное издание La gran familia de los reyes mixtecos, 1994: каталог библиотеки Guanajuato подтверждает два факсимиле и комментарий, с режимом резервного/справочного фонда, а не выдачей на дом.</w:t>
      </w:r>
      <w:r>
        <w:t xml:space="preserve"> </w:t>
      </w:r>
      <w:hyperlink r:id="rId23">
        <w:r>
          <w:rPr>
            <w:color w:val="216E8A"/>
            <w:sz w:val="18"/>
          </w:rPr>
          <w:t>[R012]</w:t>
        </w:r>
      </w:hyperlink>
      <w:r>
        <w:t xml:space="preserve"> </w:t>
      </w:r>
      <w:hyperlink r:id="rId29">
        <w:r>
          <w:rPr>
            <w:color w:val="216E8A"/>
            <w:sz w:val="18"/>
          </w:rPr>
          <w:t>[R013]</w:t>
        </w:r>
      </w:hyperlink>
      <w:r>
        <w:t xml:space="preserve"> </w:t>
      </w:r>
      <w:hyperlink r:id="rId30">
        <w:r>
          <w:rPr>
            <w:color w:val="216E8A"/>
            <w:sz w:val="18"/>
          </w:rPr>
          <w:t>[R014]</w:t>
        </w:r>
      </w:hyperlink>
      <w:r>
        <w:t xml:space="preserve"> </w:t>
      </w:r>
      <w:hyperlink r:id="rId27">
        <w:r>
          <w:rPr>
            <w:color w:val="216E8A"/>
            <w:sz w:val="18"/>
          </w:rPr>
          <w:t>[R067]</w:t>
        </w:r>
      </w:hyperlink>
      <w:r>
        <w:t xml:space="preserve"> </w:t>
      </w:r>
      <w:hyperlink r:id="rId34">
        <w:r>
          <w:rPr>
            <w:color w:val="216E8A"/>
            <w:sz w:val="18"/>
          </w:rPr>
          <w:t>[R071]</w:t>
        </w:r>
      </w:hyperlink>
    </w:p>
    <w:p>
      <w:r>
        <w:t>Bodley и Selden. Сохранены отдельные объекты Digital Bodleian; индивидуальная лицензия и комплектность просмотрщиков требуют ручного открытия. Для Bodley найдено современное издание A Painted Chronicle from the Mixtec Highlands, 2005, с оглавлением и библиографией; оно отмечено как вышедшее из продажи. Наличие каталога не превращено в обещание покупки или библиотечной выдачи. Видимый Selden и скрытый палимпсест — не один доказанно доступный цифровой слой.</w:t>
      </w:r>
      <w:r>
        <w:t xml:space="preserve"> </w:t>
      </w:r>
      <w:hyperlink r:id="rId31">
        <w:r>
          <w:rPr>
            <w:color w:val="216E8A"/>
            <w:sz w:val="18"/>
          </w:rPr>
          <w:t>[R018]</w:t>
        </w:r>
      </w:hyperlink>
      <w:r>
        <w:t xml:space="preserve"> </w:t>
      </w:r>
      <w:hyperlink r:id="rId32">
        <w:r>
          <w:rPr>
            <w:color w:val="216E8A"/>
            <w:sz w:val="18"/>
          </w:rPr>
          <w:t>[R019]</w:t>
        </w:r>
      </w:hyperlink>
      <w:r>
        <w:t xml:space="preserve"> </w:t>
      </w:r>
      <w:hyperlink r:id="rId76">
        <w:r>
          <w:rPr>
            <w:color w:val="216E8A"/>
            <w:sz w:val="18"/>
          </w:rPr>
          <w:t>[R057]</w:t>
        </w:r>
      </w:hyperlink>
    </w:p>
    <w:p>
      <w:r>
        <w:t>Tulane и Teozacoalco. Университетские предметные страницы полезны как прямые входы к генеалогическим продолжениям. Tulane даёт отобранные изображения и сведения о поздних глоссах. Teozacoalco показывает один исторический картографический свидетель, однако его Public Domain Mark соседствует с ограничительным текстом о перепубликации. Это существенная причина оставить публикацию собственной копии на ручную проверку.</w:t>
      </w:r>
      <w:r>
        <w:t xml:space="preserve"> </w:t>
      </w:r>
      <w:hyperlink r:id="rId33">
        <w:r>
          <w:rPr>
            <w:color w:val="216E8A"/>
            <w:sz w:val="18"/>
          </w:rPr>
          <w:t>[R048]</w:t>
        </w:r>
      </w:hyperlink>
      <w:r>
        <w:t xml:space="preserve"> </w:t>
      </w:r>
      <w:hyperlink r:id="rId52">
        <w:r>
          <w:rPr>
            <w:color w:val="216E8A"/>
            <w:sz w:val="18"/>
          </w:rPr>
          <w:t>[R049]</w:t>
        </w:r>
      </w:hyperlink>
    </w:p>
    <w:p>
      <w:pPr>
        <w:pStyle w:val="Heading2"/>
      </w:pPr>
      <w:r>
        <w:t>Колониальные пояснения, анналы и свидетельства</w:t>
      </w:r>
    </w:p>
    <w:p>
      <w:r>
        <w:t>Borbonicus, Telleriano-Remensis и Tonalamatl Aubin имеют исторические факсимиле FAMSI; для Telleriano добавлен Amoxcalli. У Borbonicus отдельно найден современный анализ глосс с открытой некоммерческой лицензией ShareAlike. Этот текст помогает различить изображение и колониальное объяснение, но не делает все фотографии рукописи свободными.</w:t>
      </w:r>
      <w:r>
        <w:t xml:space="preserve"> </w:t>
      </w:r>
      <w:hyperlink r:id="rId35">
        <w:r>
          <w:rPr>
            <w:color w:val="216E8A"/>
            <w:sz w:val="18"/>
          </w:rPr>
          <w:t>[R015]</w:t>
        </w:r>
      </w:hyperlink>
      <w:r>
        <w:t xml:space="preserve"> </w:t>
      </w:r>
      <w:hyperlink r:id="rId77">
        <w:r>
          <w:rPr>
            <w:color w:val="216E8A"/>
            <w:sz w:val="18"/>
          </w:rPr>
          <w:t>[R025]</w:t>
        </w:r>
      </w:hyperlink>
      <w:r>
        <w:t xml:space="preserve"> </w:t>
      </w:r>
      <w:hyperlink r:id="rId38">
        <w:r>
          <w:rPr>
            <w:color w:val="216E8A"/>
            <w:sz w:val="18"/>
          </w:rPr>
          <w:t>[R027]</w:t>
        </w:r>
      </w:hyperlink>
      <w:r>
        <w:t xml:space="preserve"> </w:t>
      </w:r>
      <w:hyperlink r:id="rId39">
        <w:r>
          <w:rPr>
            <w:color w:val="216E8A"/>
            <w:sz w:val="18"/>
          </w:rPr>
          <w:t>[R028]</w:t>
        </w:r>
      </w:hyperlink>
      <w:r>
        <w:t xml:space="preserve"> </w:t>
      </w:r>
      <w:hyperlink r:id="rId40">
        <w:r>
          <w:rPr>
            <w:color w:val="216E8A"/>
            <w:sz w:val="18"/>
          </w:rPr>
          <w:t>[R034]</w:t>
        </w:r>
      </w:hyperlink>
      <w:r>
        <w:t xml:space="preserve"> </w:t>
      </w:r>
      <w:hyperlink r:id="rId66">
        <w:r>
          <w:rPr>
            <w:color w:val="216E8A"/>
            <w:sz w:val="18"/>
          </w:rPr>
          <w:t>[R065]</w:t>
        </w:r>
      </w:hyperlink>
    </w:p>
    <w:p>
      <w:r>
        <w:t>Amoxcalli даёт предметные галереи Xolotl, Quinatzin, Historia Tolteca-Chichimeca, Ixtlilxochitl, Azcatitlan, en Cruz и других рукописей. Научные пояснительные страницы служат источниками идентификации, а галереи — источниками доступа. У Historia Tolteca-Chichimeca и Ixtlilxochitl доступная подборка не приравнена ко всему алфавитному тексту или составному рукописному комплексу.</w:t>
      </w:r>
      <w:r>
        <w:t xml:space="preserve"> </w:t>
      </w:r>
      <w:hyperlink r:id="rId41">
        <w:r>
          <w:rPr>
            <w:color w:val="216E8A"/>
            <w:sz w:val="18"/>
          </w:rPr>
          <w:t>[R035]</w:t>
        </w:r>
      </w:hyperlink>
      <w:r>
        <w:t xml:space="preserve"> </w:t>
      </w:r>
      <w:hyperlink r:id="rId44">
        <w:r>
          <w:rPr>
            <w:color w:val="216E8A"/>
            <w:sz w:val="18"/>
          </w:rPr>
          <w:t>[R036]</w:t>
        </w:r>
      </w:hyperlink>
      <w:r>
        <w:t xml:space="preserve"> </w:t>
      </w:r>
      <w:hyperlink r:id="rId45">
        <w:r>
          <w:rPr>
            <w:color w:val="216E8A"/>
            <w:sz w:val="18"/>
          </w:rPr>
          <w:t>[R037]</w:t>
        </w:r>
      </w:hyperlink>
      <w:r>
        <w:t xml:space="preserve"> </w:t>
      </w:r>
      <w:hyperlink r:id="rId46">
        <w:r>
          <w:rPr>
            <w:color w:val="216E8A"/>
            <w:sz w:val="18"/>
          </w:rPr>
          <w:t>[R038]</w:t>
        </w:r>
      </w:hyperlink>
      <w:r>
        <w:t xml:space="preserve"> </w:t>
      </w:r>
      <w:hyperlink r:id="rId47">
        <w:r>
          <w:rPr>
            <w:color w:val="216E8A"/>
            <w:sz w:val="18"/>
          </w:rPr>
          <w:t>[R039]</w:t>
        </w:r>
      </w:hyperlink>
      <w:r>
        <w:t xml:space="preserve"> </w:t>
      </w:r>
      <w:hyperlink r:id="rId48">
        <w:r>
          <w:rPr>
            <w:color w:val="216E8A"/>
            <w:sz w:val="18"/>
          </w:rPr>
          <w:t>[R040]</w:t>
        </w:r>
      </w:hyperlink>
      <w:r>
        <w:t xml:space="preserve"> </w:t>
      </w:r>
      <w:hyperlink r:id="rId49">
        <w:r>
          <w:rPr>
            <w:color w:val="216E8A"/>
            <w:sz w:val="18"/>
          </w:rPr>
          <w:t>[R041]</w:t>
        </w:r>
      </w:hyperlink>
      <w:r>
        <w:t xml:space="preserve"> </w:t>
      </w:r>
      <w:hyperlink r:id="rId42">
        <w:r>
          <w:rPr>
            <w:color w:val="216E8A"/>
            <w:sz w:val="18"/>
          </w:rPr>
          <w:t>[R042]</w:t>
        </w:r>
      </w:hyperlink>
      <w:r>
        <w:t xml:space="preserve"> </w:t>
      </w:r>
      <w:hyperlink r:id="rId50">
        <w:r>
          <w:rPr>
            <w:color w:val="216E8A"/>
            <w:sz w:val="18"/>
          </w:rPr>
          <w:t>[R043]</w:t>
        </w:r>
      </w:hyperlink>
      <w:r>
        <w:t xml:space="preserve"> </w:t>
      </w:r>
      <w:hyperlink r:id="rId51">
        <w:r>
          <w:rPr>
            <w:color w:val="216E8A"/>
            <w:sz w:val="18"/>
          </w:rPr>
          <w:t>[R044]</w:t>
        </w:r>
      </w:hyperlink>
    </w:p>
    <w:p>
      <w:r>
        <w:t>Florentine Codex. Лучший целевой цифровой вход — Getty Digital Florentine Codex, но сам сайт и страница разрешений в этом запуске неоднократно не открылись. Независимо проверена BML: она подтверждает оригинал и даёт выборку изображений. Надёжный современный английский вариант — комплект Anderson/Dibble у University of Utah Press; страница покупки работает. Для темы T2-55 особенно значимы календарные и ритуальные разделы, а не включение всей колониальной энциклопедии без разбора.</w:t>
      </w:r>
      <w:r>
        <w:t xml:space="preserve"> </w:t>
      </w:r>
      <w:hyperlink r:id="rId60">
        <w:r>
          <w:rPr>
            <w:color w:val="216E8A"/>
            <w:sz w:val="18"/>
          </w:rPr>
          <w:t>[R054]</w:t>
        </w:r>
      </w:hyperlink>
      <w:r>
        <w:t xml:space="preserve"> </w:t>
      </w:r>
      <w:hyperlink r:id="rId61">
        <w:r>
          <w:rPr>
            <w:color w:val="216E8A"/>
            <w:sz w:val="18"/>
          </w:rPr>
          <w:t>[R055]</w:t>
        </w:r>
      </w:hyperlink>
      <w:r>
        <w:t xml:space="preserve"> </w:t>
      </w:r>
      <w:hyperlink r:id="rId62">
        <w:r>
          <w:rPr>
            <w:color w:val="216E8A"/>
            <w:sz w:val="18"/>
          </w:rPr>
          <w:t>[R058]</w:t>
        </w:r>
      </w:hyperlink>
    </w:p>
    <w:p>
      <w:r>
        <w:t>В дополнение сохранены Mendoza, Boturini и Matrícula как прямые цифровые адреса. Их HTML/JavaScript-оболочка доступна не так же, как полный набор листов; поэтому coverage оставлен unknown. Fernández Leal, Porfirio Díaz и Tudela имеют институциональные маршруты и подтверждение корпусной связи, но не подтверждённую в этой среде полную галерею.</w:t>
      </w:r>
      <w:r>
        <w:t xml:space="preserve"> </w:t>
      </w:r>
      <w:hyperlink r:id="rId53">
        <w:r>
          <w:rPr>
            <w:color w:val="216E8A"/>
            <w:sz w:val="18"/>
          </w:rPr>
          <w:t>[R050]</w:t>
        </w:r>
      </w:hyperlink>
      <w:r>
        <w:t xml:space="preserve"> </w:t>
      </w:r>
      <w:hyperlink r:id="rId54">
        <w:r>
          <w:rPr>
            <w:color w:val="216E8A"/>
            <w:sz w:val="18"/>
          </w:rPr>
          <w:t>[R051]</w:t>
        </w:r>
      </w:hyperlink>
      <w:r>
        <w:t xml:space="preserve"> </w:t>
      </w:r>
      <w:hyperlink r:id="rId55">
        <w:r>
          <w:rPr>
            <w:color w:val="216E8A"/>
            <w:sz w:val="18"/>
          </w:rPr>
          <w:t>[R052]</w:t>
        </w:r>
      </w:hyperlink>
      <w:r>
        <w:t xml:space="preserve"> </w:t>
      </w:r>
      <w:hyperlink r:id="rId56">
        <w:r>
          <w:rPr>
            <w:color w:val="216E8A"/>
            <w:sz w:val="18"/>
          </w:rPr>
          <w:t>[R068]</w:t>
        </w:r>
      </w:hyperlink>
      <w:r>
        <w:t xml:space="preserve"> </w:t>
      </w:r>
      <w:hyperlink r:id="rId57">
        <w:r>
          <w:rPr>
            <w:color w:val="216E8A"/>
            <w:sz w:val="18"/>
          </w:rPr>
          <w:t>[R072]</w:t>
        </w:r>
      </w:hyperlink>
      <w:r>
        <w:t xml:space="preserve"> </w:t>
      </w:r>
      <w:hyperlink r:id="rId43">
        <w:r>
          <w:rPr>
            <w:color w:val="216E8A"/>
            <w:sz w:val="18"/>
          </w:rPr>
          <w:t>[R073]</w:t>
        </w:r>
      </w:hyperlink>
    </w:p>
    <w:p>
      <w:pPr>
        <w:pStyle w:val="Heading2"/>
      </w:pPr>
      <w:r>
        <w:t>Машиночитаемые варианты и старые переводы</w:t>
      </w:r>
    </w:p>
    <w:p>
      <w:r>
        <w:t>Наиболее явные машиночитаемые выходы — OCR/TXT/HOCR и изображенческие пакеты старых изданий Nuttall и Fejérváry-Mayer в Internet Archive. Они полезны для поиска по введениям, каталогам и печатным пояснениям; OCR не расшифровывает пиктографический синтаксис. Техническая корректность каждого предлагаемого формата не проверена скачиванием всех файлов.</w:t>
      </w:r>
      <w:r>
        <w:t xml:space="preserve"> </w:t>
      </w:r>
      <w:hyperlink r:id="rId24">
        <w:r>
          <w:rPr>
            <w:color w:val="216E8A"/>
            <w:sz w:val="18"/>
          </w:rPr>
          <w:t>[R020]</w:t>
        </w:r>
      </w:hyperlink>
      <w:r>
        <w:t xml:space="preserve"> </w:t>
      </w:r>
      <w:hyperlink r:id="rId73">
        <w:r>
          <w:rPr>
            <w:color w:val="216E8A"/>
            <w:sz w:val="18"/>
          </w:rPr>
          <w:t>[R021]</w:t>
        </w:r>
      </w:hyperlink>
    </w:p>
    <w:p>
      <w:r>
        <w:t>Tlachia предоставляет структурированный словарь глифов Telleriano-Remensis для просмотра, но его credits содержат ограничения на использование текста и изображений. Открытого bulk-набора или разрешённого API для этого словаря не найдено. IIIF у BAV/Bologna — технический способ доставки изображений, а не лицензия. XML/MARC библиотечного каталога относится к библиографическим метаданным, не к разметке кодекса.</w:t>
      </w:r>
      <w:r>
        <w:t xml:space="preserve"> </w:t>
      </w:r>
      <w:hyperlink r:id="rId16">
        <w:r>
          <w:rPr>
            <w:color w:val="216E8A"/>
            <w:sz w:val="18"/>
          </w:rPr>
          <w:t>[R008]</w:t>
        </w:r>
      </w:hyperlink>
      <w:r>
        <w:t xml:space="preserve"> </w:t>
      </w:r>
      <w:hyperlink r:id="rId17">
        <w:r>
          <w:rPr>
            <w:color w:val="216E8A"/>
            <w:sz w:val="18"/>
          </w:rPr>
          <w:t>[R009]</w:t>
        </w:r>
      </w:hyperlink>
      <w:r>
        <w:t xml:space="preserve"> </w:t>
      </w:r>
      <w:hyperlink r:id="rId18">
        <w:r>
          <w:rPr>
            <w:color w:val="216E8A"/>
            <w:sz w:val="18"/>
          </w:rPr>
          <w:t>[R010]</w:t>
        </w:r>
      </w:hyperlink>
      <w:r>
        <w:t xml:space="preserve"> </w:t>
      </w:r>
      <w:hyperlink r:id="rId78">
        <w:r>
          <w:rPr>
            <w:color w:val="216E8A"/>
            <w:sz w:val="18"/>
          </w:rPr>
          <w:t>[R045]</w:t>
        </w:r>
      </w:hyperlink>
      <w:r>
        <w:t xml:space="preserve"> </w:t>
      </w:r>
      <w:hyperlink r:id="rId34">
        <w:r>
          <w:rPr>
            <w:color w:val="216E8A"/>
            <w:sz w:val="18"/>
          </w:rPr>
          <w:t>[R071]</w:t>
        </w:r>
      </w:hyperlink>
    </w:p>
    <w:p>
      <w:r>
        <w:t>Немецкие Seler и английский Seler/Keane — исторические комментаторские и переводные слои, полезные для сопоставления интерпретаций. Французская брошюра издания Fejérváry-Mayer и английское введение Nuttall имеют иные состав и функцию. Проверенного русского полного научного перевода с ясными правами не найдено; обнаруженные персональные публикации оставлены в G28.</w:t>
      </w:r>
      <w:r>
        <w:t xml:space="preserve"> </w:t>
      </w:r>
      <w:hyperlink r:id="rId24">
        <w:r>
          <w:rPr>
            <w:color w:val="216E8A"/>
            <w:sz w:val="18"/>
          </w:rPr>
          <w:t>[R020]</w:t>
        </w:r>
      </w:hyperlink>
      <w:r>
        <w:t xml:space="preserve"> </w:t>
      </w:r>
      <w:hyperlink r:id="rId73">
        <w:r>
          <w:rPr>
            <w:color w:val="216E8A"/>
            <w:sz w:val="18"/>
          </w:rPr>
          <w:t>[R021]</w:t>
        </w:r>
      </w:hyperlink>
      <w:r>
        <w:t xml:space="preserve"> </w:t>
      </w:r>
      <w:hyperlink r:id="rId64">
        <w:r>
          <w:rPr>
            <w:color w:val="216E8A"/>
            <w:sz w:val="18"/>
          </w:rPr>
          <w:t>[R031]</w:t>
        </w:r>
      </w:hyperlink>
      <w:r>
        <w:t xml:space="preserve"> </w:t>
      </w:r>
      <w:hyperlink r:id="rId64">
        <w:r>
          <w:rPr>
            <w:color w:val="216E8A"/>
            <w:sz w:val="18"/>
          </w:rPr>
          <w:t>[R032]</w:t>
        </w:r>
      </w:hyperlink>
      <w:r>
        <w:t xml:space="preserve"> </w:t>
      </w:r>
      <w:hyperlink r:id="rId64">
        <w:r>
          <w:rPr>
            <w:color w:val="216E8A"/>
            <w:sz w:val="18"/>
          </w:rPr>
          <w:t>[R033]</w:t>
        </w:r>
      </w:hyperlink>
      <w:r>
        <w:t xml:space="preserve"> </w:t>
      </w:r>
      <w:hyperlink r:id="rId67">
        <w:r>
          <w:rPr>
            <w:color w:val="216E8A"/>
            <w:sz w:val="18"/>
          </w:rPr>
          <w:t>[R066]</w:t>
        </w:r>
      </w:hyperlink>
    </w:p>
    <w:p>
      <w:pPr>
        <w:pStyle w:val="Heading1"/>
        <w:pageBreakBefore w:val="0"/>
      </w:pPr>
      <w:r>
        <w:t>4. Карта прав и практического использования</w:t>
      </w:r>
    </w:p>
    <w:p>
      <w:r>
        <w:t>Наиболее свободный найденный слой состоит не из единого открытого корпуса, а из нескольких раздельных объектов: старых институциональных сканов и современных открыто лицензированных авторских комментариев. Все разрешительные теги в XLSX привязаны к rights_scope и coverage. Наличие RIGHTS_REVIEW_REQUIRED не отменяет чтение, но блокирует расширительное толкование разрешения на другие компоненты или юрисдикции.</w:t>
      </w:r>
    </w:p>
    <w:tbl>
      <w:tblPr>
        <w:tblW w:type="auto" w:w="0"/>
        <w:jc w:val="center"/>
        <w:tblLayout w:type="fixed"/>
        <w:tblLook w:firstColumn="1" w:firstRow="1" w:lastColumn="0" w:lastRow="0" w:noHBand="0" w:noVBand="1" w:val="04A0"/>
      </w:tblPr>
      <w:tblGrid>
        <w:gridCol w:w="1701"/>
        <w:gridCol w:w="3798"/>
        <w:gridCol w:w="4195"/>
      </w:tblGrid>
      <w:tr>
        <w:trPr>
          <w:tblHeader/>
        </w:trPr>
        <w:tc>
          <w:tcPr>
            <w:tcW w:type="dxa" w:w="1701"/>
            <w:shd w:fill="173E50"/>
          </w:tcPr>
          <w:p>
            <w:r>
              <w:rPr>
                <w:b/>
                <w:color w:val="FFFFFF"/>
                <w:sz w:val="20"/>
              </w:rPr>
              <w:t>Группа</w:t>
            </w:r>
          </w:p>
        </w:tc>
        <w:tc>
          <w:tcPr>
            <w:tcW w:type="dxa" w:w="3798"/>
            <w:shd w:fill="173E50"/>
          </w:tcPr>
          <w:p>
            <w:r>
              <w:rPr>
                <w:b/>
                <w:color w:val="FFFFFF"/>
                <w:sz w:val="20"/>
              </w:rPr>
              <w:t>Практическое использование ToS</w:t>
            </w:r>
          </w:p>
        </w:tc>
        <w:tc>
          <w:tcPr>
            <w:tcW w:type="dxa" w:w="4195"/>
            <w:shd w:fill="173E50"/>
          </w:tcPr>
          <w:p>
            <w:r>
              <w:rPr>
                <w:b/>
                <w:color w:val="FFFFFF"/>
                <w:sz w:val="20"/>
              </w:rPr>
              <w:t>Граница разрешения</w:t>
            </w:r>
          </w:p>
        </w:tc>
      </w:tr>
      <w:tr>
        <w:trPr>
          <w:cantSplit/>
        </w:trPr>
        <w:tc>
          <w:tcPr>
            <w:tcW w:type="dxa" w:w="1701"/>
            <w:vAlign w:val="top"/>
            <w:shd w:fill="EFF5F7"/>
          </w:tcPr>
          <w:p>
            <w:pPr>
              <w:spacing w:after="100" w:before="80"/>
            </w:pPr>
            <w:r>
              <w:rPr>
                <w:sz w:val="20"/>
              </w:rPr>
              <w:t>Smithsonian, R021</w:t>
            </w:r>
          </w:p>
        </w:tc>
        <w:tc>
          <w:tcPr>
            <w:tcW w:type="dxa" w:w="3798"/>
            <w:vAlign w:val="top"/>
            <w:shd w:fill="EFF5F7"/>
          </w:tcPr>
          <w:p>
            <w:pPr>
              <w:spacing w:after="100" w:before="80"/>
            </w:pPr>
            <w:r>
              <w:rPr>
                <w:sz w:val="20"/>
              </w:rPr>
              <w:t>Потенциальное зеркало; OCR, индекс и embeddings; самостоятельное чтение исторических изображений</w:t>
            </w:r>
          </w:p>
        </w:tc>
        <w:tc>
          <w:tcPr>
            <w:tcW w:type="dxa" w:w="4195"/>
            <w:vAlign w:val="top"/>
            <w:shd w:fill="EFF5F7"/>
          </w:tcPr>
          <w:p>
            <w:pPr>
              <w:spacing w:after="100" w:before="80"/>
            </w:pPr>
            <w:r>
              <w:rPr>
                <w:sz w:val="20"/>
              </w:rPr>
              <w:t>Только указанное старое издание/скан, в рамках оценки public domain в США; трансграничные и коллективные права отдельно</w:t>
            </w:r>
          </w:p>
        </w:tc>
      </w:tr>
      <w:tr>
        <w:trPr>
          <w:cantSplit/>
        </w:trPr>
        <w:tc>
          <w:tcPr>
            <w:tcW w:type="dxa" w:w="1701"/>
            <w:vAlign w:val="top"/>
          </w:tcPr>
          <w:p>
            <w:pPr>
              <w:spacing w:after="100" w:before="80"/>
            </w:pPr>
            <w:r>
              <w:rPr>
                <w:sz w:val="20"/>
              </w:rPr>
              <w:t>Getty / Nuttall, R020</w:t>
            </w:r>
          </w:p>
        </w:tc>
        <w:tc>
          <w:tcPr>
            <w:tcW w:type="dxa" w:w="3798"/>
            <w:vAlign w:val="top"/>
          </w:tcPr>
          <w:p>
            <w:pPr>
              <w:spacing w:after="100" w:before="80"/>
            </w:pPr>
            <w:r>
              <w:rPr>
                <w:sz w:val="20"/>
              </w:rPr>
              <w:t>Исследовательская копия; OCR, индекс, embeddings и собственное чтение</w:t>
            </w:r>
          </w:p>
        </w:tc>
        <w:tc>
          <w:tcPr>
            <w:tcW w:type="dxa" w:w="4195"/>
            <w:vAlign w:val="top"/>
          </w:tcPr>
          <w:p>
            <w:pPr>
              <w:spacing w:after="100" w:before="80"/>
            </w:pPr>
            <w:r>
              <w:rPr>
                <w:sz w:val="20"/>
              </w:rPr>
              <w:t>NOT_IN_COPYRIGHT в метаданных; автоматическое зеркалирование без дополнительной проверки не назначено</w:t>
            </w:r>
          </w:p>
        </w:tc>
      </w:tr>
      <w:tr>
        <w:trPr>
          <w:cantSplit/>
        </w:trPr>
        <w:tc>
          <w:tcPr>
            <w:tcW w:type="dxa" w:w="1701"/>
            <w:vAlign w:val="top"/>
            <w:shd w:fill="EFF5F7"/>
          </w:tcPr>
          <w:p>
            <w:pPr>
              <w:spacing w:after="100" w:before="80"/>
            </w:pPr>
            <w:r>
              <w:rPr>
                <w:sz w:val="20"/>
              </w:rPr>
              <w:t>CC BY-NC 4.0, R064</w:t>
            </w:r>
          </w:p>
        </w:tc>
        <w:tc>
          <w:tcPr>
            <w:tcW w:type="dxa" w:w="3798"/>
            <w:vAlign w:val="top"/>
            <w:shd w:fill="EFF5F7"/>
          </w:tcPr>
          <w:p>
            <w:pPr>
              <w:spacing w:after="100" w:before="80"/>
            </w:pPr>
            <w:r>
              <w:rPr>
                <w:sz w:val="20"/>
              </w:rPr>
              <w:t>Некоммерческое повторное использование авторского текста с атрибуцией</w:t>
            </w:r>
          </w:p>
        </w:tc>
        <w:tc>
          <w:tcPr>
            <w:tcW w:type="dxa" w:w="4195"/>
            <w:vAlign w:val="top"/>
            <w:shd w:fill="EFF5F7"/>
          </w:tcPr>
          <w:p>
            <w:pPr>
              <w:spacing w:after="100" w:before="80"/>
            </w:pPr>
            <w:r>
              <w:rPr>
                <w:sz w:val="20"/>
              </w:rPr>
              <w:t>Не весь иллюстрированный PDF; сторонние изображения и колофон конкретного файла не проверены</w:t>
            </w:r>
          </w:p>
        </w:tc>
      </w:tr>
      <w:tr>
        <w:trPr>
          <w:cantSplit/>
        </w:trPr>
        <w:tc>
          <w:tcPr>
            <w:tcW w:type="dxa" w:w="1701"/>
            <w:vAlign w:val="top"/>
          </w:tcPr>
          <w:p>
            <w:pPr>
              <w:spacing w:after="100" w:before="80"/>
            </w:pPr>
            <w:r>
              <w:rPr>
                <w:sz w:val="20"/>
              </w:rPr>
              <w:t>CC BY-NC-SA 4.0, R065</w:t>
            </w:r>
          </w:p>
        </w:tc>
        <w:tc>
          <w:tcPr>
            <w:tcW w:type="dxa" w:w="3798"/>
            <w:vAlign w:val="top"/>
          </w:tcPr>
          <w:p>
            <w:pPr>
              <w:spacing w:after="100" w:before="80"/>
            </w:pPr>
            <w:r>
              <w:rPr>
                <w:sz w:val="20"/>
              </w:rPr>
              <w:t>То же, с ShareAlike для распространяемых переработок</w:t>
            </w:r>
          </w:p>
        </w:tc>
        <w:tc>
          <w:tcPr>
            <w:tcW w:type="dxa" w:w="4195"/>
            <w:vAlign w:val="top"/>
          </w:tcPr>
          <w:p>
            <w:pPr>
              <w:spacing w:after="100" w:before="80"/>
            </w:pPr>
            <w:r>
              <w:rPr>
                <w:sz w:val="20"/>
              </w:rPr>
              <w:t>Авторский комментарий, а не все фотографии Borbonicus или исходный кодекс</w:t>
            </w:r>
          </w:p>
        </w:tc>
      </w:tr>
    </w:tbl>
    <w:p>
      <w:pPr>
        <w:spacing w:after="0"/>
      </w:pPr>
    </w:p>
    <w:p>
      <w:r>
        <w:t>FAMSI/ADEVA и FAMSI/Loubat. Бесплатное исследовательское чтение и предоставленные загрузки сохранены как полезные маршруты. Условия FAMSI не равны Creative Commons: они ориентируют доступ на изучение, а публикацию изображений требуют согласовывать. Поэтому этим записям не назначены автоматическое зеркало, публичный полнотекстовый индекс или разрешение на embeddings всего набора. Правовой режим современного печатного аппарата также не выводится из возраста кодекса.</w:t>
      </w:r>
      <w:r>
        <w:t xml:space="preserve"> </w:t>
      </w:r>
      <w:hyperlink r:id="rId79">
        <w:r>
          <w:rPr>
            <w:color w:val="216E8A"/>
            <w:sz w:val="18"/>
          </w:rPr>
          <w:t>[R074]</w:t>
        </w:r>
      </w:hyperlink>
      <w:r>
        <w:t xml:space="preserve"> </w:t>
      </w:r>
      <w:hyperlink r:id="rId11">
        <w:r>
          <w:rPr>
            <w:color w:val="216E8A"/>
            <w:sz w:val="18"/>
          </w:rPr>
          <w:t>[R001]</w:t>
        </w:r>
      </w:hyperlink>
      <w:r>
        <w:t xml:space="preserve"> </w:t>
      </w:r>
      <w:hyperlink r:id="rId63">
        <w:r>
          <w:rPr>
            <w:color w:val="216E8A"/>
            <w:sz w:val="18"/>
          </w:rPr>
          <w:t>[R022]</w:t>
        </w:r>
      </w:hyperlink>
    </w:p>
    <w:p>
      <w:r>
        <w:t>Amoxcalli, INAH и университетские галереи. Свободный просмотр не сопровождался найденной универсальной лицензией повторного размещения. Для отдельных учреждений установлено прямое copyright-уведомление; для других осталось rights_unknown. Это не основание убирать ссылку. Изображения, авторские пояснения, словарные чтения и каталоговые данные здесь нельзя автоматически объединять в один «свободный файл».</w:t>
      </w:r>
      <w:r>
        <w:t xml:space="preserve"> </w:t>
      </w:r>
      <w:hyperlink r:id="rId18">
        <w:r>
          <w:rPr>
            <w:color w:val="216E8A"/>
            <w:sz w:val="18"/>
          </w:rPr>
          <w:t>[R010]</w:t>
        </w:r>
      </w:hyperlink>
      <w:r>
        <w:t xml:space="preserve"> </w:t>
      </w:r>
      <w:hyperlink r:id="rId23">
        <w:r>
          <w:rPr>
            <w:color w:val="216E8A"/>
            <w:sz w:val="18"/>
          </w:rPr>
          <w:t>[R012]</w:t>
        </w:r>
      </w:hyperlink>
      <w:r>
        <w:t xml:space="preserve"> </w:t>
      </w:r>
      <w:hyperlink r:id="rId78">
        <w:r>
          <w:rPr>
            <w:color w:val="216E8A"/>
            <w:sz w:val="18"/>
          </w:rPr>
          <w:t>[R045]</w:t>
        </w:r>
      </w:hyperlink>
      <w:r>
        <w:t xml:space="preserve"> </w:t>
      </w:r>
      <w:hyperlink r:id="rId33">
        <w:r>
          <w:rPr>
            <w:color w:val="216E8A"/>
            <w:sz w:val="18"/>
          </w:rPr>
          <w:t>[R048]</w:t>
        </w:r>
      </w:hyperlink>
      <w:r>
        <w:t xml:space="preserve"> </w:t>
      </w:r>
      <w:hyperlink r:id="rId80">
        <w:r>
          <w:rPr>
            <w:color w:val="216E8A"/>
            <w:sz w:val="18"/>
          </w:rPr>
          <w:t>[R075]</w:t>
        </w:r>
      </w:hyperlink>
    </w:p>
    <w:p>
      <w:r>
        <w:t>Чтение на месте, preview и покупка. Издания Borgia в UPAEP, Colombino в UNT и Egerton/Becker II в Guanajuato оставлены с установленным режимом справочного/специального фонда. Bodley 2005 — библиография и оглавление; Florentine Codex — официальный платный комплект. Проверенной выдачи на дом, Controlled Digital Lending или доступа ко всему тексту после бесплатной регистрации в этом наборе не обнаружено.</w:t>
      </w:r>
      <w:r>
        <w:t xml:space="preserve"> </w:t>
      </w:r>
      <w:hyperlink r:id="rId68">
        <w:r>
          <w:rPr>
            <w:color w:val="216E8A"/>
            <w:sz w:val="18"/>
          </w:rPr>
          <w:t>[R056]</w:t>
        </w:r>
      </w:hyperlink>
      <w:r>
        <w:t xml:space="preserve"> </w:t>
      </w:r>
      <w:hyperlink r:id="rId76">
        <w:r>
          <w:rPr>
            <w:color w:val="216E8A"/>
            <w:sz w:val="18"/>
          </w:rPr>
          <w:t>[R057]</w:t>
        </w:r>
      </w:hyperlink>
      <w:r>
        <w:t xml:space="preserve"> </w:t>
      </w:r>
      <w:hyperlink r:id="rId62">
        <w:r>
          <w:rPr>
            <w:color w:val="216E8A"/>
            <w:sz w:val="18"/>
          </w:rPr>
          <w:t>[R058]</w:t>
        </w:r>
      </w:hyperlink>
      <w:r>
        <w:t xml:space="preserve"> </w:t>
      </w:r>
      <w:hyperlink r:id="rId27">
        <w:r>
          <w:rPr>
            <w:color w:val="216E8A"/>
            <w:sz w:val="18"/>
          </w:rPr>
          <w:t>[R067]</w:t>
        </w:r>
      </w:hyperlink>
      <w:r>
        <w:t xml:space="preserve"> </w:t>
      </w:r>
      <w:hyperlink r:id="rId34">
        <w:r>
          <w:rPr>
            <w:color w:val="216E8A"/>
            <w:sz w:val="18"/>
          </w:rPr>
          <w:t>[R071]</w:t>
        </w:r>
      </w:hyperlink>
    </w:p>
    <w:p>
      <w:r>
        <w:t>Неизменённое распространение. Надёжно проверенной item-level ND-лицензии на целый пригодный к передаче факсимильный пакет в этом запуске нет. Сообщения о лицензии Getty-проекта не приняты за её проверку: соответствующая страница не открылась. Поэтому UNCHANGED_ONLY не назначен по одному поисковому указателю; этот возможный режим остаётся задачей G08.</w:t>
      </w:r>
      <w:r>
        <w:t xml:space="preserve"> </w:t>
      </w:r>
      <w:hyperlink r:id="rId60">
        <w:r>
          <w:rPr>
            <w:color w:val="216E8A"/>
            <w:sz w:val="18"/>
          </w:rPr>
          <w:t>[R054]</w:t>
        </w:r>
      </w:hyperlink>
    </w:p>
    <w:p>
      <w:r>
        <w:t>Собственный перевод ToS. Положительный тег дан лишь для доступного исторического изображенческого слоя в R020 и R021. Он означает независимое, явно аргументированное чтение изображений, а не право переписать защищённую современную дешифровку и не обещание единственного буквального перевода. Заимствованное чтение, оригинальное изображение, реконструированный фрагмент и собственная гипотеза должны оставаться различимыми.</w:t>
      </w:r>
      <w:r>
        <w:t xml:space="preserve"> </w:t>
      </w:r>
      <w:hyperlink r:id="rId24">
        <w:r>
          <w:rPr>
            <w:color w:val="216E8A"/>
            <w:sz w:val="18"/>
          </w:rPr>
          <w:t>[R020]</w:t>
        </w:r>
      </w:hyperlink>
      <w:r>
        <w:t xml:space="preserve"> </w:t>
      </w:r>
      <w:hyperlink r:id="rId73">
        <w:r>
          <w:rPr>
            <w:color w:val="216E8A"/>
            <w:sz w:val="18"/>
          </w:rPr>
          <w:t>[R021]</w:t>
        </w:r>
      </w:hyperlink>
    </w:p>
    <w:p>
      <w:r>
        <w:t>OCR, полнотекстовый индекс и embeddings оцениваются раздельно. У старого печатного комментария OCR извлекает слова; у pictorial manuscript нужны иные методы описания изображения. У открытой научной книги допустимость обработки авторского текста не переносится на все встроенные музейные фотографии. Пакет не содержит разрешения обучать модель на любом найденном цифровом суррогате без дополнительных условий.</w:t>
      </w:r>
      <w:r>
        <w:t xml:space="preserve"> </w:t>
      </w:r>
      <w:hyperlink r:id="rId65">
        <w:r>
          <w:rPr>
            <w:color w:val="216E8A"/>
            <w:sz w:val="18"/>
          </w:rPr>
          <w:t>[R064]</w:t>
        </w:r>
      </w:hyperlink>
      <w:r>
        <w:t xml:space="preserve"> </w:t>
      </w:r>
      <w:hyperlink r:id="rId66">
        <w:r>
          <w:rPr>
            <w:color w:val="216E8A"/>
            <w:sz w:val="18"/>
          </w:rPr>
          <w:t>[R065]</w:t>
        </w:r>
      </w:hyperlink>
    </w:p>
    <w:p>
      <w:pPr>
        <w:pStyle w:val="Heading1"/>
      </w:pPr>
      <w:r>
        <w:t>5. Характерные правовые и источниковые тонкости</w:t>
      </w:r>
    </w:p>
    <w:p>
      <w:r>
        <w:t>Древность не освобождает современную редакцию. У факсимиле могут быть новые фотографии, цветокоррекция, реконструированные участки и издательский аппарат. Именно поэтому старое издание Nuttall и ADEVA, два изображения одного Fejérváry-Mayer или старая и новая интерпретации Borgia учтены раздельно. Указание переводчика — не декоративная библиография, а граница охраняемой версии.</w:t>
      </w:r>
      <w:r>
        <w:t xml:space="preserve"> </w:t>
      </w:r>
      <w:hyperlink r:id="rId11">
        <w:r>
          <w:rPr>
            <w:color w:val="216E8A"/>
            <w:sz w:val="18"/>
          </w:rPr>
          <w:t>[R001]</w:t>
        </w:r>
      </w:hyperlink>
      <w:r>
        <w:t xml:space="preserve"> </w:t>
      </w:r>
      <w:hyperlink r:id="rId21">
        <w:r>
          <w:rPr>
            <w:color w:val="216E8A"/>
            <w:sz w:val="18"/>
          </w:rPr>
          <w:t>[R006]</w:t>
        </w:r>
      </w:hyperlink>
      <w:r>
        <w:t xml:space="preserve"> </w:t>
      </w:r>
      <w:hyperlink r:id="rId24">
        <w:r>
          <w:rPr>
            <w:color w:val="216E8A"/>
            <w:sz w:val="18"/>
          </w:rPr>
          <w:t>[R020]</w:t>
        </w:r>
      </w:hyperlink>
      <w:r>
        <w:t xml:space="preserve"> </w:t>
      </w:r>
      <w:hyperlink r:id="rId73">
        <w:r>
          <w:rPr>
            <w:color w:val="216E8A"/>
            <w:sz w:val="18"/>
          </w:rPr>
          <w:t>[R021]</w:t>
        </w:r>
      </w:hyperlink>
      <w:r>
        <w:t xml:space="preserve"> </w:t>
      </w:r>
      <w:hyperlink r:id="rId64">
        <w:r>
          <w:rPr>
            <w:color w:val="216E8A"/>
            <w:sz w:val="18"/>
          </w:rPr>
          <w:t>[R031]</w:t>
        </w:r>
      </w:hyperlink>
      <w:r>
        <w:t xml:space="preserve"> </w:t>
      </w:r>
      <w:hyperlink r:id="rId68">
        <w:r>
          <w:rPr>
            <w:color w:val="216E8A"/>
            <w:sz w:val="18"/>
          </w:rPr>
          <w:t>[R056]</w:t>
        </w:r>
      </w:hyperlink>
    </w:p>
    <w:p>
      <w:r>
        <w:t>Public Domain Mark — обозначение статуса, не лицензия. У Teozacoalco маркировка PDM конфликтует с формулировкой об использовании и согласовании перепубликации на той же странице. Реестр не выбрал удобную половину этого сообщения: сохранены обе. У Seler/Keane неизвестный загрузчик IA не стал самостоятельным доказательством законности; источник скана Michigan/Google проверен отдельно, но расхождения комплекта не устранены догадкой.</w:t>
      </w:r>
      <w:r>
        <w:t xml:space="preserve"> </w:t>
      </w:r>
      <w:hyperlink r:id="rId52">
        <w:r>
          <w:rPr>
            <w:color w:val="216E8A"/>
            <w:sz w:val="18"/>
          </w:rPr>
          <w:t>[R049]</w:t>
        </w:r>
      </w:hyperlink>
      <w:r>
        <w:t xml:space="preserve"> </w:t>
      </w:r>
      <w:hyperlink r:id="rId67">
        <w:r>
          <w:rPr>
            <w:color w:val="216E8A"/>
            <w:sz w:val="18"/>
          </w:rPr>
          <w:t>[R066]</w:t>
        </w:r>
      </w:hyperlink>
    </w:p>
    <w:p>
      <w:r>
        <w:t>Библиографическая тождественность требует контроля. Aubin 1576, Tonalamatl Aubin и Aubin Ms. 20 — три разных объекта. Amoxcalli хранит определённую позднюю копию Aubin, а не автоматически лондонский оригинал. Mexicanus 083 и Mexicanus 23–24 также разделены. Becker I и II, Selden и Selden Roll, Vaticanus A и B нельзя соединять по похожему названию.</w:t>
      </w:r>
      <w:r>
        <w:t xml:space="preserve"> </w:t>
      </w:r>
      <w:hyperlink r:id="rId37">
        <w:r>
          <w:rPr>
            <w:color w:val="216E8A"/>
            <w:sz w:val="18"/>
          </w:rPr>
          <w:t>[R017]</w:t>
        </w:r>
      </w:hyperlink>
      <w:r>
        <w:t xml:space="preserve"> </w:t>
      </w:r>
      <w:hyperlink r:id="rId39">
        <w:r>
          <w:rPr>
            <w:color w:val="216E8A"/>
            <w:sz w:val="18"/>
          </w:rPr>
          <w:t>[R028]</w:t>
        </w:r>
      </w:hyperlink>
      <w:r>
        <w:t xml:space="preserve"> </w:t>
      </w:r>
      <w:hyperlink r:id="rId47">
        <w:r>
          <w:rPr>
            <w:color w:val="216E8A"/>
            <w:sz w:val="18"/>
          </w:rPr>
          <w:t>[R039]</w:t>
        </w:r>
      </w:hyperlink>
      <w:r>
        <w:t xml:space="preserve"> </w:t>
      </w:r>
      <w:hyperlink r:id="rId42">
        <w:r>
          <w:rPr>
            <w:color w:val="216E8A"/>
            <w:sz w:val="18"/>
          </w:rPr>
          <w:t>[R042]</w:t>
        </w:r>
      </w:hyperlink>
      <w:r>
        <w:t xml:space="preserve"> </w:t>
      </w:r>
      <w:hyperlink r:id="rId50">
        <w:r>
          <w:rPr>
            <w:color w:val="216E8A"/>
            <w:sz w:val="18"/>
          </w:rPr>
          <w:t>[R043]</w:t>
        </w:r>
      </w:hyperlink>
      <w:r>
        <w:t xml:space="preserve"> </w:t>
      </w:r>
      <w:hyperlink r:id="rId51">
        <w:r>
          <w:rPr>
            <w:color w:val="216E8A"/>
            <w:sz w:val="18"/>
          </w:rPr>
          <w:t>[R044]</w:t>
        </w:r>
      </w:hyperlink>
      <w:r>
        <w:t xml:space="preserve"> </w:t>
      </w:r>
      <w:hyperlink r:id="rId67">
        <w:r>
          <w:rPr>
            <w:color w:val="216E8A"/>
            <w:sz w:val="18"/>
          </w:rPr>
          <w:t>[R066]</w:t>
        </w:r>
      </w:hyperlink>
    </w:p>
    <w:p>
      <w:r>
        <w:t>Объект, датировка содержания и поздние глоссы — разные слои. Ранние события в династическом кодексе не датируют физический носитель. Колониальная подпись не гарантирует первоначальное значение изображения. Комментарии Frassani к Borbonicus и описание Tulane особенно наглядно показывают пользу такого разделения при создании собственных переводных карточек ToS.</w:t>
      </w:r>
      <w:r>
        <w:t xml:space="preserve"> </w:t>
      </w:r>
      <w:hyperlink r:id="rId33">
        <w:r>
          <w:rPr>
            <w:color w:val="216E8A"/>
            <w:sz w:val="18"/>
          </w:rPr>
          <w:t>[R048]</w:t>
        </w:r>
      </w:hyperlink>
      <w:r>
        <w:t xml:space="preserve"> </w:t>
      </w:r>
      <w:hyperlink r:id="rId66">
        <w:r>
          <w:rPr>
            <w:color w:val="216E8A"/>
            <w:sz w:val="18"/>
          </w:rPr>
          <w:t>[R065]</w:t>
        </w:r>
      </w:hyperlink>
    </w:p>
    <w:p>
      <w:r>
        <w:t>Проверка сайта и проверка права — разные действия. HTTP 403, 502 или JavaScript-оболочка не доказывают, что библиотека прекратила доступ. И наоборот, работающая кнопка Download не доказывает право зеркала. Некоторые карточки FCE España содержали посторонние спам-вставки: сохранены библиографические сведения, но безопасная покупка через эти страницы не рекомендована до повторной проверки.</w:t>
      </w:r>
      <w:r>
        <w:t xml:space="preserve"> </w:t>
      </w:r>
      <w:hyperlink r:id="rId70">
        <w:r>
          <w:rPr>
            <w:color w:val="216E8A"/>
            <w:sz w:val="18"/>
          </w:rPr>
          <w:t>[R059]</w:t>
        </w:r>
      </w:hyperlink>
      <w:r>
        <w:t xml:space="preserve"> </w:t>
      </w:r>
      <w:hyperlink r:id="rId72">
        <w:r>
          <w:rPr>
            <w:color w:val="216E8A"/>
            <w:sz w:val="18"/>
          </w:rPr>
          <w:t>[R060]</w:t>
        </w:r>
      </w:hyperlink>
      <w:r>
        <w:t xml:space="preserve"> </w:t>
      </w:r>
      <w:hyperlink r:id="rId25">
        <w:r>
          <w:rPr>
            <w:color w:val="216E8A"/>
            <w:sz w:val="18"/>
          </w:rPr>
          <w:t>[R061]</w:t>
        </w:r>
      </w:hyperlink>
      <w:r>
        <w:t xml:space="preserve"> </w:t>
      </w:r>
      <w:hyperlink r:id="rId26">
        <w:r>
          <w:rPr>
            <w:color w:val="216E8A"/>
            <w:sz w:val="18"/>
          </w:rPr>
          <w:t>[R062]</w:t>
        </w:r>
      </w:hyperlink>
      <w:r>
        <w:t xml:space="preserve"> </w:t>
      </w:r>
      <w:hyperlink r:id="rId81">
        <w:r>
          <w:rPr>
            <w:color w:val="216E8A"/>
            <w:sz w:val="18"/>
          </w:rPr>
          <w:t>[R063]</w:t>
        </w:r>
      </w:hyperlink>
    </w:p>
    <w:p>
      <w:r>
        <w:t>Юрисдикция и культурные права. Для применения в Мексике недостаточно одного американского public-domain statement. Действующая опубликованная редакция LFDA содержит особую охрану традиционных культурных выражений коренных и афромексиканских сообществ, в том числе независимо от истечения индивидуальных авторских сроков. Статьи 154 и 157–160 требуют отдельной оценки применимости к конкретному материалу и действию. Это не объявление всех кодексов закрытыми, а причина не автоматизировать трансграничное зеркалирование.</w:t>
      </w:r>
    </w:p>
    <w:p>
      <w:pPr>
        <w:pStyle w:val="SourceNote"/>
      </w:pPr>
      <w:r>
        <w:t>Правовой источник: Cámara de Diputados, Ley Federal del Derecho de Autor, редакция с последней реформой от 14 мая 2026 года; статьи 154, 157–160.</w:t>
      </w:r>
      <w:r>
        <w:t xml:space="preserve"> </w:t>
      </w:r>
      <w:hyperlink r:id="rId82">
        <w:r>
          <w:rPr>
            <w:color w:val="216E8A"/>
            <w:sz w:val="18"/>
          </w:rPr>
          <w:t>Официальный текст LFDA</w:t>
        </w:r>
      </w:hyperlink>
    </w:p>
    <w:p>
      <w:pPr>
        <w:pStyle w:val="Heading1"/>
        <w:pageBreakBefore w:val="0"/>
      </w:pPr>
      <w:r>
        <w:t>6. Пробелы и дальнейший поиск</w:t>
      </w:r>
    </w:p>
    <w:p>
      <w:r>
        <w:t>Лист gaps содержит 34 записи, включая технические ограничения, незавершённые проверки полноты, смешанные права и три unverified_candidate. Он не означает, что остальной материал не существует. Ядро получило доступные факсимильные входы; слабее покрыты оригинальные просмотрщики, современные защищённые комментарии, часть колониальных продолжений и открытые глифические данные. Ниже — восемь приоритетных направлений, объединяющих конкретные задачи листа.</w:t>
      </w:r>
    </w:p>
    <w:p>
      <w:pPr>
        <w:pStyle w:val="Heading2"/>
      </w:pPr>
      <w:r>
        <w:t>6.1. Оригиналы и права хранителей</w:t>
      </w:r>
    </w:p>
    <w:p>
      <w:r>
        <w:t>Открыть BAV для Borg.mess.1 и Vat.lat.3773; проверить четыре объекта Bodleian — Laud, Bodley, Selden и Mendoza; повторно пройти каталоги British Museum и World Museum. Для Vindobonensis подтвердить актуальный адрес оригинала в ÖNB через сам каталог. Для каждого объекта требуются отдельные evidence о составе, разрешении и лимитах IIIF; общую политику сайта нельзя сразу применить ко всем фотографиям. G01–G02, G33–G34; R076–R077.</w:t>
      </w:r>
    </w:p>
    <w:p>
      <w:pPr>
        <w:pStyle w:val="Heading2"/>
      </w:pPr>
      <w:r>
        <w:t>6.2. Colombino–Becker и куикатекская линия</w:t>
      </w:r>
    </w:p>
    <w:p>
      <w:r>
        <w:t>Установить полный доступ к Colombino и сверить соединение с Becker I по критическому изданию; открыть оригинальный каталог Becker I в Weltmuseum. Завершить предметный поиск Fernández Leal и Porfirio Díaz, включая историческое издание Peñafiel и исследование Doesburg 2001. Идентичность комплекса уже имеет научные ориентиры, но полнота файлов и условия фотографий не закрыты. G03–G05, G20.</w:t>
      </w:r>
    </w:p>
    <w:p>
      <w:pPr>
        <w:pStyle w:val="Heading2"/>
      </w:pPr>
      <w:r>
        <w:t>6.3. Современные научные комплекты</w:t>
      </w:r>
    </w:p>
    <w:p>
      <w:r>
        <w:t>Найти безопасный официальный канал приобретения или библиотечный доступ к пяти изданиям FCE, а также к El libro de Tezcatlipoca и четырёхтомному Mendoza под редакцией Berdan/Anawalt 1992. Для Selden нужны Caso 1964 и отдельно данные о палимпсесте. Наличие факсимиле без комментария не решает эту задачу. Newberry сохранён как сильный указатель точных изданий, а не заменитель их текстов. G17–G21.</w:t>
      </w:r>
      <w:r>
        <w:t xml:space="preserve"> </w:t>
      </w:r>
      <w:hyperlink r:id="rId83">
        <w:r>
          <w:rPr>
            <w:color w:val="216E8A"/>
            <w:sz w:val="18"/>
          </w:rPr>
          <w:t>[R069]</w:t>
        </w:r>
      </w:hyperlink>
    </w:p>
    <w:p>
      <w:pPr>
        <w:pStyle w:val="Heading2"/>
      </w:pPr>
      <w:r>
        <w:t>6.4. Прямые колониальные родственники</w:t>
      </w:r>
    </w:p>
    <w:p>
      <w:r>
        <w:t>Довести линии Tudela–Magliabechiano–Ixtlilxochitl–Veitia, Tovar/Ramírez и относящиеся к кодексам свидетельства Durán, Historia de los mexicanos por sus pinturas и Relación de la genealogía y origen. Для Acolhuacan отдельно проверить Codex Vergara и Santa María Asunción. Это предметные продолжения и пояснительные источники, не расширение до всей колониальной историографии. G06–G07, G22, G24–G27.</w:t>
      </w:r>
    </w:p>
    <w:p>
      <w:pPr>
        <w:pStyle w:val="Heading2"/>
      </w:pPr>
      <w:r>
        <w:t>6.5. Сахагуновский канал</w:t>
      </w:r>
    </w:p>
    <w:p>
      <w:r>
        <w:t>Проверить компонентные разрешения Getty Digital Florentine Codex, отделив изображения BML от транскрипций и современных переводов. Найти конкретные цифровые свидетели Primeros memoriales и Matritenses как более ранние стадии той же линии сохранения знания. Нужны не общие страницы проекта, а идентификаторы томов и понятные условия использования каждого слоя. G08, G23; R054–R055.</w:t>
      </w:r>
    </w:p>
    <w:p>
      <w:pPr>
        <w:pStyle w:val="Heading2"/>
      </w:pPr>
      <w:r>
        <w:t>6.6. Ранние региональные свидетели</w:t>
      </w:r>
    </w:p>
    <w:p>
      <w:r>
        <w:t>Доработать каталог ñuiñe: Moser 1977, Rodríguez Cano 1996 и последующие предметные сопоставления, прежде всего TEQ.32a/TEQ.2 и предполагаемые параллели миштекским топонимам. Следующий результат должен быть конкретной надписью с фото, номером, датировочной оговоркой и доказанной связью, а не схемой влияния, выведенной из общего календаря. G13–G14.</w:t>
      </w:r>
    </w:p>
    <w:p>
      <w:pPr>
        <w:pStyle w:val="Heading2"/>
      </w:pPr>
      <w:r>
        <w:t>6.7. Цифровые данные и качество файлов</w:t>
      </w:r>
    </w:p>
    <w:p>
      <w:r>
        <w:t>Проверить полный просмотр Tulane, различить Selden Roll и Selden/Añute, найти доступный исследовательский набор палимпсеста. Для старых сканов сверить листы, подписи, OCR и соответствие PDF/JP2; для Tlachia и Amoxcalli установить наличие разрешённой выгрузки, а не проектировать её по интерфейсу. Отдельно проверить колофон OA-книги и кредиты иллюстраций до зеркала целого файла. G11, G15–G16, G29–G31.</w:t>
      </w:r>
    </w:p>
    <w:p>
      <w:pPr>
        <w:pStyle w:val="Heading2"/>
      </w:pPr>
      <w:r>
        <w:t>6.8. Неподтверждённые кандидаты и правовой контроль</w:t>
      </w:r>
    </w:p>
    <w:p>
      <w:r>
        <w:t>Новая работа «El Tonalámatl de Aubin: ¿Un manuscrito novohispano del oriente de Tlaxcala?» обнаружена в пользовательском исследовательском архиве, но не подтверждена в нужном объёме официальной издательской страницей. Русские публикации, приписываемые Дмитрию Иванову / Stygminum, требуют подтверждения авторства, версии, комплектности и разрешения. Исторические кальки Vindobonensis в British Museum пока известны только по недоступной предметной карточке и поисковому указателю. Это G10, G28 и G34, а не рекомендованные свободные переводы.</w:t>
      </w:r>
    </w:p>
    <w:p>
      <w:r>
        <w:t>Правовой контроль должен закрыть конфликт PDM у Teozacoalco и применимость мексиканских коллективных прав к предполагаемым публичным действиям ToS. Разрешённое бесплатное чтение при этом сохраняется. Покупки, регистрации, обращения к учреждениям и публикация материалов в рамках данного исследования не выполнялись. G12, G32.</w:t>
      </w:r>
    </w:p>
    <w:p>
      <w:pPr>
        <w:pStyle w:val="Heading1"/>
      </w:pPr>
      <w:r>
        <w:t>7. Итоговая оценка</w:t>
      </w:r>
    </w:p>
    <w:p>
      <w:r>
        <w:t>Корпусное ядро покрыто хорошо на уровне факсимильных путей: все восемь якорей исходного DR представлены хотя бы одним предметным входом. Расширение существенно: прямые миштекские родственники, ритуальные и исторические колониальные линии, старые копии и комментарии, два ранних эпиграфических предшественника. Исчерпывающего охвата всех региональных рукописей и всех научных изданий пакет не заявляет.</w:t>
      </w:r>
    </w:p>
    <w:p>
      <w:r>
        <w:t>Оригиналы доступны прежде всего как изображения, а не как готовый алфавитный текст. Старые комментарии и некоторые современные научные чтения доступны бесплатно; лучшие защищённые варианты сохранены через библиотечные комплекты и официальную покупку. Русский переводной слой и свободные глифические datasets остаются заметными пробелами.</w:t>
      </w:r>
    </w:p>
    <w:p>
      <w:r>
        <w:t>Наиболее свободный практический слой — конкретные старые сканы с институциональными rights statements и авторские тексты с CC BY-NC / CC BY-NC-SA. Основные ограничения сосредоточены в современных фотографиях, критических интерпретациях, смешанных правах, непроверенных цифровых интерфейсах и трансграничном применении статуса public domain.</w:t>
      </w:r>
    </w:p>
    <w:p>
      <w:r>
        <w:t>Пакет пригоден для передачи Codex как исследовательский реестр, но не как список автоматически разрешённых загрузок. Рабочей единицей остаётся запись T2-55-Rxxx вместе с coverage, verification_status, rights_scope, rights_evidence_url и notes. Непроверенные действия должны сохранять свой статус, даже когда рядом существует законный и удобный путь чтения.</w:t>
      </w:r>
    </w:p>
    <w:p>
      <w:pPr>
        <w:pStyle w:val="SourceNote"/>
      </w:pPr>
      <w:r>
        <w:t>Файлы пакета: ToS_Corpus_Rights_T2-55_registry.xlsx (registry + gaps) и настоящий ToS_Corpus_Rights_T2-55_report.docx.</w:t>
      </w:r>
    </w:p>
    <w:sectPr w:rsidR="00FC693F" w:rsidRPr="0006063C" w:rsidSect="00034616">
      <w:headerReference w:type="default" r:id="rId9"/>
      <w:footerReference w:type="default" r:id="rId10"/>
      <w:pgSz w:w="11906" w:h="16838"/>
      <w:pgMar w:top="1077" w:right="1020"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A7E88"/>
        <w:sz w:val="16"/>
      </w:rPr>
      <w:t xml:space="preserve">ToS Corpus &amp; Rights Registry  •  </w:t>
    </w:r>
    <w:fldSimple w:instr="PAGE"/>
    <w:r>
      <w:rPr>
        <w:color w:val="6A7E88"/>
        <w:sz w:val="16"/>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Pr>
    <w:r>
      <w:rPr>
        <w:b/>
        <w:color w:val="6A7E88"/>
        <w:sz w:val="16"/>
      </w:rPr>
      <w:t>ДРЕВО СОФИИ  /  T2-55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233442"/>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173E5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246B74"/>
      <w:sz w:val="26"/>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Calibri" w:hAnsi="Calibri"/>
      <w:b/>
      <w:bCs/>
      <w:color w:val="173E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60"/>
      <w:contextualSpacing/>
    </w:pPr>
    <w:rPr>
      <w:rFonts w:asciiTheme="majorHAnsi" w:eastAsiaTheme="majorEastAsia" w:hAnsiTheme="majorHAnsi" w:cstheme="majorBidi" w:ascii="Calibri" w:hAnsi="Calibri"/>
      <w:color w:val="173E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Calibri" w:hAnsi="Calibri"/>
      <w:i/>
      <w:iCs/>
      <w:color w:val="246B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basedOn w:val="Normal"/>
    <w:pPr>
      <w:spacing w:after="120"/>
    </w:pPr>
    <w:rPr>
      <w:color w:val="526575"/>
      <w:sz w:val="18"/>
      <w:lang w:val="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amsi.org/research/graz/borgia/index.html" TargetMode="External"/><Relationship Id="rId12" Type="http://schemas.openxmlformats.org/officeDocument/2006/relationships/hyperlink" Target="https://www.famsi.org/research/graz/vaticanus3773/index.html" TargetMode="External"/><Relationship Id="rId13" Type="http://schemas.openxmlformats.org/officeDocument/2006/relationships/hyperlink" Target="https://www.famsi.org/research/graz/cospi/index.html" TargetMode="External"/><Relationship Id="rId14" Type="http://schemas.openxmlformats.org/officeDocument/2006/relationships/hyperlink" Target="https://www.famsi.org/research/graz/fejervary_mayer/index.html" TargetMode="External"/><Relationship Id="rId15" Type="http://schemas.openxmlformats.org/officeDocument/2006/relationships/hyperlink" Target="https://www.famsi.org/research/graz/laud/index.html" TargetMode="External"/><Relationship Id="rId16" Type="http://schemas.openxmlformats.org/officeDocument/2006/relationships/hyperlink" Target="https://digi.vatlib.it/view/MSS_Borg.mess.1" TargetMode="External"/><Relationship Id="rId17" Type="http://schemas.openxmlformats.org/officeDocument/2006/relationships/hyperlink" Target="https://digi.vatlib.it/view/MSS_Vat.lat.3773" TargetMode="External"/><Relationship Id="rId18" Type="http://schemas.openxmlformats.org/officeDocument/2006/relationships/hyperlink" Target="https://bub.unibo.it/it/bub-digitale/il-codice-cospi/bub_ms4093_cospi" TargetMode="External"/><Relationship Id="rId19" Type="http://schemas.openxmlformats.org/officeDocument/2006/relationships/hyperlink" Target="https://digital.bodleian.ox.ac.uk/objects/7f3d2646-088e-4686-87a6-2c2cf20f413e/" TargetMode="External"/><Relationship Id="rId20" Type="http://schemas.openxmlformats.org/officeDocument/2006/relationships/hyperlink" Target="https://www.liverpoolmuseums.org.uk/artifact/codex-fejervary-mayer-amoxtli-tezcatlipoca" TargetMode="External"/><Relationship Id="rId21" Type="http://schemas.openxmlformats.org/officeDocument/2006/relationships/hyperlink" Target="https://www.famsi.org/research/graz/zouche_nuttall/index.html" TargetMode="External"/><Relationship Id="rId22" Type="http://schemas.openxmlformats.org/officeDocument/2006/relationships/hyperlink" Target="https://www.famsi.org/research/graz/vindobonensis/index.html" TargetMode="External"/><Relationship Id="rId23" Type="http://schemas.openxmlformats.org/officeDocument/2006/relationships/hyperlink" Target="https://codices.inah.gob.mx/micrositio/Colombino/Colombino.html" TargetMode="External"/><Relationship Id="rId24" Type="http://schemas.openxmlformats.org/officeDocument/2006/relationships/hyperlink" Target="https://archive.org/details/gri_33125011146541" TargetMode="External"/><Relationship Id="rId25" Type="http://schemas.openxmlformats.org/officeDocument/2006/relationships/hyperlink" Target="https://www.fcede.es/site/es/libros/detalles.aspx?id_libro=278" TargetMode="External"/><Relationship Id="rId26" Type="http://schemas.openxmlformats.org/officeDocument/2006/relationships/hyperlink" Target="https://www.fcede.es/site/es/libros/detalles.aspx?id_libro=280" TargetMode="External"/><Relationship Id="rId27" Type="http://schemas.openxmlformats.org/officeDocument/2006/relationships/hyperlink" Target="https://discover.library.unt.edu/catalog/b2493738" TargetMode="External"/><Relationship Id="rId28" Type="http://schemas.openxmlformats.org/officeDocument/2006/relationships/hyperlink" Target="https://www.britishmuseum.org/collection/object/E_Am1902-0308-1" TargetMode="External"/><Relationship Id="rId29" Type="http://schemas.openxmlformats.org/officeDocument/2006/relationships/hyperlink" Target="https://www.famsi.org/research/graz/becker/index.html" TargetMode="External"/><Relationship Id="rId30" Type="http://schemas.openxmlformats.org/officeDocument/2006/relationships/hyperlink" Target="https://www.famsi.org/research/graz/egerton/index.html" TargetMode="External"/><Relationship Id="rId31" Type="http://schemas.openxmlformats.org/officeDocument/2006/relationships/hyperlink" Target="https://digital.bodleian.ox.ac.uk/objects/2b06f496-3092-43fb-b0c1-fd0b377dabbd/" TargetMode="External"/><Relationship Id="rId32" Type="http://schemas.openxmlformats.org/officeDocument/2006/relationships/hyperlink" Target="https://digital.bodleian.ox.ac.uk/objects/5fb5517b-0539-4531-b996-44fa52ede044/" TargetMode="External"/><Relationship Id="rId33" Type="http://schemas.openxmlformats.org/officeDocument/2006/relationships/hyperlink" Target="https://exhibits.tulane.edu/exhibit/colonialcounterpoint/paintedtraditions/codex-tulane/" TargetMode="External"/><Relationship Id="rId34" Type="http://schemas.openxmlformats.org/officeDocument/2006/relationships/hyperlink" Target="https://catalogo.bibliotecasguanajuato.gob.mx/cgi-bin/koha/opac-detail.pl?biblionumber=94011" TargetMode="External"/><Relationship Id="rId35" Type="http://schemas.openxmlformats.org/officeDocument/2006/relationships/hyperlink" Target="https://www.famsi.org/research/graz/borbonicus/index.html" TargetMode="External"/><Relationship Id="rId36" Type="http://schemas.openxmlformats.org/officeDocument/2006/relationships/hyperlink" Target="https://www.famsi.org/research/graz/magliabechiano/index.html" TargetMode="External"/><Relationship Id="rId37" Type="http://schemas.openxmlformats.org/officeDocument/2006/relationships/hyperlink" Target="https://www.famsi.org/research/graz/vaticanus3738/index.html" TargetMode="External"/><Relationship Id="rId38" Type="http://schemas.openxmlformats.org/officeDocument/2006/relationships/hyperlink" Target="https://www.famsi.org/research/loubat/Telleriano-Remensis/thumbs0.html" TargetMode="External"/><Relationship Id="rId39" Type="http://schemas.openxmlformats.org/officeDocument/2006/relationships/hyperlink" Target="https://www.famsi.org/research/loubat/Tonalamatl/thumbs0.html" TargetMode="External"/><Relationship Id="rId40" Type="http://schemas.openxmlformats.org/officeDocument/2006/relationships/hyperlink" Target="https://www.amoxcalli.org.mx/codice.php?id=385" TargetMode="External"/><Relationship Id="rId41" Type="http://schemas.openxmlformats.org/officeDocument/2006/relationships/hyperlink" Target="https://www.amoxcalli.org.mx/codice.php?id=065-071" TargetMode="External"/><Relationship Id="rId42" Type="http://schemas.openxmlformats.org/officeDocument/2006/relationships/hyperlink" Target="https://www.amoxcalli.org.mx/codice.php?id=020" TargetMode="External"/><Relationship Id="rId43" Type="http://schemas.openxmlformats.org/officeDocument/2006/relationships/hyperlink" Target="https://www.cultura.gob.es/museodeamerica/coleccion/america-prehispanica/c-dice-tudela.html" TargetMode="External"/><Relationship Id="rId44" Type="http://schemas.openxmlformats.org/officeDocument/2006/relationships/hyperlink" Target="https://www.amoxcalli.org.mx/codice.php?id=001-010" TargetMode="External"/><Relationship Id="rId45" Type="http://schemas.openxmlformats.org/officeDocument/2006/relationships/hyperlink" Target="https://www.amoxcalli.org.mx/codice.php?id=011-012" TargetMode="External"/><Relationship Id="rId46" Type="http://schemas.openxmlformats.org/officeDocument/2006/relationships/hyperlink" Target="https://www.amoxcalli.org.mx/codice.php?id=046" TargetMode="External"/><Relationship Id="rId47" Type="http://schemas.openxmlformats.org/officeDocument/2006/relationships/hyperlink" Target="https://www.amoxcalli.org.mx/codice.php?id=035-036" TargetMode="External"/><Relationship Id="rId48" Type="http://schemas.openxmlformats.org/officeDocument/2006/relationships/hyperlink" Target="https://www.amoxcalli.org.mx/codice.php?id=059-064" TargetMode="External"/><Relationship Id="rId49" Type="http://schemas.openxmlformats.org/officeDocument/2006/relationships/hyperlink" Target="https://www.amoxcalli.org.mx/codice.php?id=015-017" TargetMode="External"/><Relationship Id="rId50" Type="http://schemas.openxmlformats.org/officeDocument/2006/relationships/hyperlink" Target="https://www.amoxcalli.org.mx/codice.php?id=083" TargetMode="External"/><Relationship Id="rId51" Type="http://schemas.openxmlformats.org/officeDocument/2006/relationships/hyperlink" Target="https://www.amoxcalli.org.mx/codice.php?id=023-024" TargetMode="External"/><Relationship Id="rId52" Type="http://schemas.openxmlformats.org/officeDocument/2006/relationships/hyperlink" Target="https://exhibits.lib.utexas.edu/spotlight/a-new-spain/catalog/53-1789?locale=es" TargetMode="External"/><Relationship Id="rId53" Type="http://schemas.openxmlformats.org/officeDocument/2006/relationships/hyperlink" Target="https://digital.bodleian.ox.ac.uk/objects/2fea788e-2aa2-4f08-b6d9-648c00486220/" TargetMode="External"/><Relationship Id="rId54" Type="http://schemas.openxmlformats.org/officeDocument/2006/relationships/hyperlink" Target="https://codices.inah.gob.mx/micrositio/Bouturini/index.html" TargetMode="External"/><Relationship Id="rId55" Type="http://schemas.openxmlformats.org/officeDocument/2006/relationships/hyperlink" Target="https://codices.inah.gob.mx/micrositio/matricula/index.html" TargetMode="External"/><Relationship Id="rId56" Type="http://schemas.openxmlformats.org/officeDocument/2006/relationships/hyperlink" Target="https://calisphere.org/item/4a708334-7844-4628-91ef-46a3ccdf51ef/" TargetMode="External"/><Relationship Id="rId57" Type="http://schemas.openxmlformats.org/officeDocument/2006/relationships/hyperlink" Target="https://repositorio.inah.gob.mx/o-43936" TargetMode="External"/><Relationship Id="rId58" Type="http://schemas.openxmlformats.org/officeDocument/2006/relationships/hyperlink" Target="https://www.famsi.org/reports/03068es/03068esUrcid01.pdf" TargetMode="External"/><Relationship Id="rId59" Type="http://schemas.openxmlformats.org/officeDocument/2006/relationships/hyperlink" Target="https://ichan.ciesas.edu.mx/el-sistema-de-escritura-nuine-avances-y-retos/" TargetMode="External"/><Relationship Id="rId60" Type="http://schemas.openxmlformats.org/officeDocument/2006/relationships/hyperlink" Target="https://florentinecodex.getty.edu/" TargetMode="External"/><Relationship Id="rId61" Type="http://schemas.openxmlformats.org/officeDocument/2006/relationships/hyperlink" Target="https://www.bmlonline.it/en/il-codice-fiorentino-della-biblioteca-medicea-laurenziana/" TargetMode="External"/><Relationship Id="rId62" Type="http://schemas.openxmlformats.org/officeDocument/2006/relationships/hyperlink" Target="https://uofupress.com/books/florentine-codex-full-set/" TargetMode="External"/><Relationship Id="rId63" Type="http://schemas.openxmlformats.org/officeDocument/2006/relationships/hyperlink" Target="https://www.famsi.org/research/loubat/Borgia/thumbs0.html" TargetMode="External"/><Relationship Id="rId64" Type="http://schemas.openxmlformats.org/officeDocument/2006/relationships/hyperlink" Target="https://www.famsi.org/research/loubat/index.html" TargetMode="External"/><Relationship Id="rId65" Type="http://schemas.openxmlformats.org/officeDocument/2006/relationships/hyperlink" Target="https://www.jstor.org/stable/10.1163/j.ctv2gjwv2m" TargetMode="External"/><Relationship Id="rId66" Type="http://schemas.openxmlformats.org/officeDocument/2006/relationships/hyperlink" Target="https://nahuatl.historicas.unam.mx/index.php/ecn/article/view/78775" TargetMode="External"/><Relationship Id="rId67" Type="http://schemas.openxmlformats.org/officeDocument/2006/relationships/hyperlink" Target="https://archive.org/details/bub_gb_5W16AAAAMAAJ" TargetMode="External"/><Relationship Id="rId68" Type="http://schemas.openxmlformats.org/officeDocument/2006/relationships/hyperlink" Target="https://ils.upaep.mx/bib/10611" TargetMode="External"/><Relationship Id="rId69" Type="http://schemas.openxmlformats.org/officeDocument/2006/relationships/hyperlink" Target="https://www.famsi.org/research/loubat/Vaticanus%203773/thumbs0.html" TargetMode="External"/><Relationship Id="rId70" Type="http://schemas.openxmlformats.org/officeDocument/2006/relationships/hyperlink" Target="https://www.fcede.es/site/es/libros/detalles.aspx?id_libro=279" TargetMode="External"/><Relationship Id="rId71" Type="http://schemas.openxmlformats.org/officeDocument/2006/relationships/hyperlink" Target="https://www.famsi.org/research/loubat/Cospi/thumbs0.html" TargetMode="External"/><Relationship Id="rId72" Type="http://schemas.openxmlformats.org/officeDocument/2006/relationships/hyperlink" Target="https://www.fcede.es/site/es/libros/detalles.aspx?id_libro=273" TargetMode="External"/><Relationship Id="rId73" Type="http://schemas.openxmlformats.org/officeDocument/2006/relationships/hyperlink" Target="https://archive.org/details/codexfejeyrvayr00sele" TargetMode="External"/><Relationship Id="rId74" Type="http://schemas.openxmlformats.org/officeDocument/2006/relationships/hyperlink" Target="https://www.famsi.org/research/loubat/Fejervary/thumbs0.html" TargetMode="External"/><Relationship Id="rId75" Type="http://schemas.openxmlformats.org/officeDocument/2006/relationships/hyperlink" Target="https://ils.upaep.mx/cgi-bin/koha/opac-ISBDdetail.pl?biblionumber=10610" TargetMode="External"/><Relationship Id="rId76" Type="http://schemas.openxmlformats.org/officeDocument/2006/relationships/hyperlink" Target="https://www.bibliovault.org/BV.book.epl?ISBN=9781851240951" TargetMode="External"/><Relationship Id="rId77" Type="http://schemas.openxmlformats.org/officeDocument/2006/relationships/hyperlink" Target="https://www.famsi.org/research/loubat/Borbonicus/thumbs0.html" TargetMode="External"/><Relationship Id="rId78" Type="http://schemas.openxmlformats.org/officeDocument/2006/relationships/hyperlink" Target="https://tlachia.iib.unam.mx/telleriano/creditos" TargetMode="External"/><Relationship Id="rId79" Type="http://schemas.openxmlformats.org/officeDocument/2006/relationships/hyperlink" Target="https://www.famsi.org/research/copyright.htm" TargetMode="External"/><Relationship Id="rId80" Type="http://schemas.openxmlformats.org/officeDocument/2006/relationships/hyperlink" Target="https://www.amoxcalli.org.mx/" TargetMode="External"/><Relationship Id="rId81" Type="http://schemas.openxmlformats.org/officeDocument/2006/relationships/hyperlink" Target="https://www.fcede.es/site/es/libros/detalles.aspx?id_libro=276" TargetMode="External"/><Relationship Id="rId82" Type="http://schemas.openxmlformats.org/officeDocument/2006/relationships/hyperlink" Target="https://www.diputados.gob.mx/LeyesBiblio/pdf/LFDA.pdf" TargetMode="External"/><Relationship Id="rId83" Type="http://schemas.openxmlformats.org/officeDocument/2006/relationships/hyperlink" Target="https://www.newberry.org/uploads/files/Modern%20Editions%20of%20Colonial%20Spanish%20Sources%20-%20Ethnohisto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T2-55</dc:title>
  <dc:subject>Центральномексиканские pictorial-codical системы знания: корпус, доступ и права</dc:subject>
  <dc:creator>ToS Research</dc:creator>
  <cp:keywords>T2-55, Borgia, Mixtec, codices, corpus, rights, access</cp:keywords>
  <dc:description>generated by python-docx</dc:description>
  <cp:lastModifiedBy/>
  <cp:revision>1</cp:revision>
  <dcterms:created xsi:type="dcterms:W3CDTF">2013-12-23T23:15:00Z</dcterms:created>
  <dcterms:modified xsi:type="dcterms:W3CDTF">2013-12-23T23:15:00Z</dcterms:modified>
  <cp:category/>
</cp:coreProperties>
</file>