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Liberation Sans" w:hAnsi="Liberation Sans"/>
          <w:b/>
          <w:color w:val="17365D"/>
          <w:sz w:val="48"/>
        </w:rPr>
        <w:t>ToS Corpus &amp; Rights Registry</w:t>
      </w:r>
    </w:p>
    <w:p>
      <w:pPr>
        <w:jc w:val="center"/>
      </w:pPr>
      <w:r>
        <w:rPr>
          <w:rFonts w:ascii="Liberation Sans" w:hAnsi="Liberation Sans"/>
          <w:b/>
          <w:color w:val="1F6F78"/>
          <w:sz w:val="38"/>
        </w:rPr>
        <w:t>A37 — Коптский Египет поздней античности</w:t>
      </w:r>
    </w:p>
    <w:p>
      <w:pPr>
        <w:spacing w:before="200"/>
        <w:jc w:val="center"/>
      </w:pPr>
      <w:r>
        <w:rPr>
          <w:rFonts w:ascii="Liberation Serif" w:hAnsi="Liberation Serif"/>
          <w:i/>
          <w:color w:val="4B5563"/>
          <w:sz w:val="26"/>
        </w:rPr>
        <w:t>Карта корпуса, цифрового доступа и правового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Строка ToS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FFFFF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A37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Исходный статус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Историческое ядро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FFFFF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IV–VII вв. н. э.; широкий контур II–VIII вв.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Исходный DR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ToS Deep Research_ A37 — Коптский Египет поздней античности.docx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Проверка доступа и прав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FFFFF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3 сентября 2026 года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Поставка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113 записей доступа; 16 целевых пробелов</w:t>
            </w:r>
          </w:p>
        </w:tc>
      </w:tr>
    </w:tbl>
    <w:p>
      <w:pPr>
        <w:pStyle w:val="A37Note"/>
        <w:spacing w:before="200"/>
        <w:jc w:val="center"/>
      </w:pPr>
      <w:r>
        <w:rPr>
          <w:b/>
        </w:rPr>
        <w:t xml:space="preserve">Исследовательский, образовательный и технический пакет; не юридическое заключение. </w:t>
      </w:r>
      <w:r>
        <w:t>Каждая положительная рекомендация ограничена полями rights_scope и coverage в XLSX.</w:t>
      </w:r>
    </w:p>
    <w:p>
      <w:r>
        <w:br w:type="page"/>
      </w:r>
    </w:p>
    <w:p>
      <w:pPr>
        <w:pStyle w:val="Heading1"/>
      </w:pPr>
      <w:r>
        <w:t>Краткий итог</w:t>
      </w:r>
    </w:p>
    <w:p>
      <w:pPr>
        <w:pStyle w:val="A37Lead"/>
      </w:pPr>
      <w:r>
        <w:rPr>
          <w:b/>
        </w:rPr>
        <w:t xml:space="preserve">Исследование сохранило фокус строки A37 как коптской письменной экосистемы, а не только как «библиотеки Наг-Хаммади». </w:t>
      </w:r>
      <w:r>
        <w:t>Ядро реестра образуют Nag Hammadi и связанные коптско-гностические кодексы, корпус Шенуте и Бесы, пахомианская и иная монастырская литература, коптские библейские переводы, апокрифы и апокалиптика. Хронологический ореол расширен назад к греческим свидетелям и входящим философско-мудростным трансмиссиям, а вперёд — к монастырской редакции памяти, поздним житиям, канонам, печатным изданиям, современным переводам и цифровым критическим корпусам.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В XLSX зафиксировано 113 практически различимых законных способов доступа: 80 дают бесплатное чтение, 49 — скачивание, 21 — институциональный доступ, 19 — покупку, 3 — библиотечную выдачу.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96 записей относятся к первичным произведениям, корпусам, свидетелям, переводам и линиям передачи; 17 — к инфраструктуре, словарям и вторичной навигации.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Наиболее свободный слой сосредоточен в Coptic Scriptorium, отдельных материалах CoptOT, PAThs, Digital Bodleian, BodmerLab и открытых изображениях Staatliche Museen zu Berlin.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Главный дефицит — не переводческий, а исходно-текстовый: для нескольких центральных трактатов Nag Hammadi не найден открыто лицензированный полный коптский текст, сопоставимый с Brill CGLO.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Для 27 записей отмечена конкретная основа собственного перевода ToS; этот тег всегда ограничен фактически доступным текстом, страницей или свидетелем.</w:t>
      </w:r>
    </w:p>
    <w:p>
      <w:pPr>
        <w:pStyle w:val="A37Note"/>
      </w:pPr>
      <w:r>
        <w:rPr>
          <w:b/>
        </w:rPr>
        <w:t xml:space="preserve">Метод подсчёта: </w:t>
      </w:r>
      <w:r>
        <w:t>число записей — точное число строк доступа; число произведений и корпусов в отчёте описывается консервативно как «около пятидесяти нормализованных групп», поскольку один и тот же текст может фигурировать как произведение, конкретный кодекс, историческое издание и современный перевод.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ID и название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A37 — Коптский Египет поздней античности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Исходный статус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B — книжность, нормативность и интеллектуальный корпус философской значимости без единой автономной философской систематики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Исходная уверенность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Хронологический фокус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Широкий слой II–VIII вв.; ядро письменной фиксации IV–VII вв.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Макрорегион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Египет / Восточное Средиземноморье / Северо-Восточная Африка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Исходный документ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ToS Deep Research_ A37 — Коптский Египет поздней античности.docx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Дата проверки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2026-09-03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Языки поиска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английский, немецкий, французский, итальянский, латинский, греческий, коптские транслитерации; русский — для проверки переводных входов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Типы объектов</w:t>
            </w:r>
          </w:p>
        </w:tc>
        <w:tc>
          <w:tcPr>
            <w:tcW w:type="dxa" w:w="63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произведения, корпусы, физические свидетели, критические издания и переводы, цифровые тексты и факсимиле, datasets/API, каталоги и инфраструктура</w:t>
            </w:r>
          </w:p>
        </w:tc>
      </w:tr>
    </w:tbl>
    <w:p>
      <w:pPr>
        <w:pStyle w:val="Heading2"/>
      </w:pPr>
      <w:r>
        <w:t>Что считалось ядром</w:t>
      </w:r>
    </w:p>
    <w:p>
      <w:r>
        <w:rPr>
          <w:b/>
        </w:rPr>
        <w:t xml:space="preserve">Из исходного DR в ядро вошли: </w:t>
      </w:r>
      <w:r>
        <w:t>библиотека Nag Hammadi; Gospel of Thomas, Gospel of Philip, Treatise on the Resurrection, Authentikos Logos / Authoritative Teaching; Apocalypse of Elijah; корпус Шенуте и библиотечная сеть Белого монастыря; пахомианские правила и наставления; коптская Библия и Papyrus Bodmer XIX; монастырские, апокрифические и агиографические жанры.</w:t>
      </w:r>
    </w:p>
    <w:p>
      <w:r>
        <w:rPr>
          <w:b/>
        </w:rPr>
        <w:t xml:space="preserve">Веб-поиск расширил карту: </w:t>
      </w:r>
      <w:r>
        <w:t>Pistis Sophia и Askew Codex; Bruce Codex и Books of Jeu; Berlin Codex 8502 с Gospel of Mary и Sophia of Jesus Christ; письма Бесы, Bohairic Life of Shenoute, Canons of Apa Johannes, Apophthegmata Patrum, жития Paul of Tamma, Phib и Pisentius; исторические публичнодоменные/библиотечные издания, современные защищённые научные серии и машиночитаемые проекты.</w:t>
      </w:r>
    </w:p>
    <w:p>
      <w:pPr>
        <w:pStyle w:val="Heading2"/>
      </w:pPr>
      <w:r>
        <w:t>Исследовательские ограничения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Лицензия текста не переносилась автоматически на рукописные изображения, издательскую верстку, аппарат или перевод.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Старые сканы Internet Archive отмечены как законный исследовательский доступ, но глобальное зеркалирование не рекомендовано без юрисдикционной проверки.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Порталы и каталоги не считались заменой item-level входам; когда конкретную страницу или полный набор не удалось подтвердить, это вынесено в gaps.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Русскоязычные материалы включались только при подтверждённом законном входе; неавторизованные копии современных переводов исключены.</w:t>
      </w:r>
    </w:p>
    <w:p>
      <w:pPr>
        <w:pStyle w:val="Heading1"/>
      </w:pPr>
      <w:r>
        <w:t>2. Охват корпуса</w:t>
      </w:r>
    </w:p>
    <w:p>
      <w:pPr>
        <w:pStyle w:val="A37Lead"/>
      </w:pPr>
      <w:r>
        <w:rPr>
          <w:b/>
        </w:rPr>
        <w:t xml:space="preserve">Реестр охватывает около пятидесяти нормализованных групп произведений, корпусов и свидетелей через 113 отдельных способов доступа. </w:t>
      </w:r>
      <w:r>
        <w:t>Это не означает, что каждый трактат библиотеки Nag Hammadi или каждый лист Белого монастыря получил отдельную строку: запись создавалась только тогда, когда различались версия, язык, свидетель, репозиторий, режим доступа или правовой статус.</w:t>
      </w:r>
    </w:p>
    <w:p>
      <w:pPr>
        <w:pStyle w:val="Heading2"/>
      </w:pPr>
      <w:r>
        <w:t>2.1. Количественный срез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Количество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Всего путей доступа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113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строки registry; один путь = один практически отличимый цифровой/библиотечный вход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Первичные и передающие объекты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96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core, same_corpus_or_tradition, antecedent, continuation, reception, preservation, boundary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Инфраструктура и навигация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17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каталоги, проекты, datasets, словари и secondary navigation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Бесплатное полное чтение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80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часто без права повторного размещения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Бесплатное скачивание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49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лицензия и coverage проверяются отдельно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Институциональный доступ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21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Brill, Cambridge, библиотеки и базы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Покупка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19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официальные издатели и каталоги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Гипотезы/пробелы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16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отдельный лист gaps</w:t>
            </w:r>
          </w:p>
        </w:tc>
      </w:tr>
    </w:tbl>
    <w:p>
      <w:pPr>
        <w:pStyle w:val="Heading2"/>
      </w:pPr>
      <w:r>
        <w:t>2.2. Центральные комплексы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Комплекс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Ядро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Расширение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Роль в A37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Nag Hammadi и родственные кодексы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NHC, Thomas, Philip, Resurrection, Authoritative Teaching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Apocryphon of John, Origin of the World, Thunder, Gospel of Mary, Pistis Sophia, Bruce/Berlin/Askew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метафизика, антропология, космология, спасительное знание; история коптского сохранения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Шенуте и Белый монастырь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Acephalous Work 22, Not Because a Fox Barks, Contra Origenistas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Беса, Vita Shenoute, Eudoxia, исторические издания, рассеянные листы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институциональная рациональность, дисциплина, полемика, авторитет текста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Пахомианская и монастырская линия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Instructions of Apa Pachomius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Pachomian Koinonia, Johannes, Apophthegmata, Paul of Tamma, Phib, Pisentius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аскеза как антропотехника, коллективный порядок, память и канонизация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Коптская Библия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OT/NT corpora, CoptOT, Bodmer XIX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Horner, словарь Crum, manuscript metadata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перевод, авторитет канона, история языка и рукописных свидетелей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Апокрифы и апокалиптика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Apocalypse of Elijah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Acts of Pilate, Book of Bartholomew, Dormition of John, исторические антологии</w:t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6"/>
              </w:rPr>
              <w:t>время, суд, откровение, поздняя редакция и границы канона</w:t>
            </w:r>
          </w:p>
        </w:tc>
      </w:tr>
    </w:tbl>
    <w:p>
      <w:pPr>
        <w:pStyle w:val="Heading2"/>
      </w:pPr>
      <w:r>
        <w:t>2.3. Открытый хронологический контур</w:t>
      </w:r>
    </w:p>
    <w:p>
      <w:pPr>
        <w:pStyle w:val="Heading3"/>
      </w:pPr>
      <w:r>
        <w:t>Поиск назад во времени — antecedent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Греческие фрагменты Gospel of Thomas (P.Oxy. 1, 654, 655): прямые ранние свидетели и необходимая база для сравнения коптской версии.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Sentences of Sextus: мудростно-этическая традиция, непосредственно включённая в Nag Hammadi Codex XII, поэтому это не внешнее тематическое сходство, а корпусная передача.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Фрагмент Plato, Republic 588A–589B в NHC VI: прямое сохранение и переработка платоновского материала внутри коптского кодекса.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Греческий библейский и раннехристианский слой представлен через CoptOT, Coptic Scriptorium и исторические параллели; полный отдельный реестр греческих оригиналов оставлен следующему проходу.</w:t>
      </w:r>
    </w:p>
    <w:p>
      <w:pPr>
        <w:pStyle w:val="Heading3"/>
      </w:pPr>
      <w:r>
        <w:t>Поиск вперёд — continuation, reception и preservation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Беса продолжает и редактирует шенутеанскую институциональную память через письма, наставления и Vita Shenoute.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Canons of Apa Johannes и Coptic Church Canons показывают последующую нормативную фиксацию монастырско-церковного порядка.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Жития Paul of Tamma, Phib и Pisentius развивают аскетическую и агиографическую линию Верхнего Египта.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Horner, Mead, Schmidt, Steindorff, Budge, Amélineau и Leipoldt — не «вторичная история» в реестре, а конкретные линии печатного сохранения, через которые Coptic text, translation или facsimile стали доступны.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Brill CGLO, Cambridge, Liturgical Press и современные библиотечные выдачи включены как лучшие научные варианты, даже когда они защищены и непригодны для зеркалирования.</w:t>
      </w:r>
    </w:p>
    <w:p>
      <w:pPr>
        <w:pStyle w:val="Heading2"/>
      </w:pPr>
      <w:r>
        <w:t>2.4. Распределение по relevance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relevance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Записей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core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32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центральные произведения, корпусы и свидетели A37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same_corpus_or_tradition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28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прямые члены той же текстовой/монастырской семьи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antecedent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4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ранние источники и входящие трансмиссии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continuation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8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позднейшие продолжения и новая фаза корпуса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commentary_or_reception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существенное переосмысление или полемическая рецепция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transmission_or_preservation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22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переводы, издания, компиляции и линии сохранения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boundary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объект на границе с соседней эпохой/строкой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infrastructure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13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цифровой проект, каталог или dataset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supporting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словарь или вспомогательный ресурс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secondary_navigation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библиографическая/идентификационная навигация</w:t>
            </w:r>
          </w:p>
        </w:tc>
      </w:tr>
    </w:tbl>
    <w:p>
      <w:pPr>
        <w:pStyle w:val="Heading1"/>
      </w:pPr>
      <w:r>
        <w:t>3. Лучшие пути доступа</w:t>
      </w:r>
    </w:p>
    <w:p>
      <w:pPr>
        <w:pStyle w:val="A37Note"/>
      </w:pPr>
      <w:r>
        <w:rPr>
          <w:b/>
        </w:rPr>
        <w:t xml:space="preserve">Принцип выбора: </w:t>
      </w:r>
      <w:r>
        <w:t>лучший путь не всегда самый свободный. Для каждого комплекса отдельно учитывались чтение, загрузка, оригинальный текст/факсимиле, историческая переводная основа, современное научное издание и машиночитаемость.</w:t>
      </w:r>
    </w:p>
    <w:p>
      <w:pPr>
        <w:pStyle w:val="Heading2"/>
      </w:pPr>
      <w:r>
        <w:t>3.1. Nag Hammadi и Gospel of Thomas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Рекомендуемый вход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бесплатный оригинальный текст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Coptic Scriptorium: полный коптский Gospel of Thomas с CTS URN и TEI XML, CC BY 4.0. </w:t>
            </w:r>
            <w:hyperlink r:id="rId11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Лучшее машинное представление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Coptic Scriptorium GitHub: TEI XML, CoNLL-U и другие корпусные форматы; item-level лицензии сохранять. </w:t>
            </w:r>
            <w:hyperlink r:id="rId12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Лучшее бесплатное чтение переводов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Gnosis Archive: несколько английских переводов Thomas, Philip, Resurrection и Authoritative Teaching; использовать link-only. </w:t>
            </w:r>
            <w:hyperlink r:id="rId13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современный научный вариант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Brill Coptic Gnostic Library Online: Coptic text, translations and apparatus; institutional/purchase access. </w:t>
            </w:r>
            <w:hyperlink r:id="rId14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Лучшее факсимильное направление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Claremont Nag Hammadi Archive: page-level images and archival documentation; reuse terms remain restrictive/unclear at item level. </w:t>
            </w:r>
            <w:hyperlink r:id="rId15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ранний свидетель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Grenfell/Hunt historical edition of Greek sayings related to Thomas at Internet Archive; downloadable, but global reuse requires jurisdiction review. </w:t>
            </w:r>
            <w:hyperlink r:id="rId16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</w:tbl>
    <w:p>
      <w:pPr>
        <w:pStyle w:val="Heading2"/>
      </w:pPr>
      <w:r>
        <w:t>3.2. Pistis Sophia, Askew, Bruce и Berlin 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Рекомендуемый вход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Pistis Sophia — текст/data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Coptic Scriptorium corpus and item pages; verified Part 3/4 files carry CC BY 3.0. </w:t>
            </w:r>
            <w:hyperlink r:id="rId17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Pistis Sophia — старый перевод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G. R. S. Mead, 1896 at Internet Archive: free read/download; historical, not current critical standard. </w:t>
            </w:r>
            <w:hyperlink r:id="rId18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Askew Codex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British Library catalogue and DCLP metadata; complete official open facsimile was not verified. </w:t>
            </w:r>
            <w:hyperlink r:id="rId19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Bruce Codex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Digital Bodleian MS. Bruce 96: complete online facsimile, CC BY-NC 4.0 for the verified object. </w:t>
            </w:r>
            <w:hyperlink r:id="rId20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Berlin Codex 8502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SMB metadata plus selected Wikimedia Commons images from SMB under CC BY-SA 4.0; full codex set still to be enumerated. </w:t>
            </w:r>
            <w:hyperlink r:id="rId21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</w:tbl>
    <w:p>
      <w:pPr>
        <w:pStyle w:val="Heading2"/>
      </w:pPr>
      <w:r>
        <w:t>3.3. Шенуте, Беса и Белый монастырь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Рекомендуемый вход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Открытый Coptic text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Coptic Scriptorium: Acephalous Work 22, Not Because a Fox Barks, Besa Letters and Life of Shenoute corpora. </w:t>
            </w:r>
            <w:hyperlink r:id="rId22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Лучшие verified item-level тексты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A22 YB 67–80 / YB 83–96 and several Besa letters have direct TEI XML entries and open licenses. </w:t>
            </w:r>
            <w:hyperlink r:id="rId23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Лучшие manuscript images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Gallica and Vatican Digital Library for dispersed White Monastery leaves; image rights differ by institution. </w:t>
            </w:r>
            <w:hyperlink r:id="rId24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Авторизованные бесплатные научные PDF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CMCL hosts Contra Origenistas, Eudoxia and other editions as free downloads, but no open redistribution license was found. </w:t>
            </w:r>
            <w:hyperlink r:id="rId25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современный перевод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Selected Discourses of Shenoute the Great, Cambridge University Press: protected, institutional/purchase/preview. </w:t>
            </w:r>
            <w:hyperlink r:id="rId26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Корпусная карта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Stephen Emmel, Shenoute's Literary Corpus and CMCL remain essential secondary navigation, not free textual bases. </w:t>
            </w:r>
            <w:hyperlink r:id="rId27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</w:tbl>
    <w:p>
      <w:pPr>
        <w:pStyle w:val="Heading2"/>
      </w:pPr>
      <w:r>
        <w:t>3.4. Пахомианская и монастырская литература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Рекомендуемый вход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Открытый коптский слой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Instructions of Apa Pachomius in Coptic Scriptorium; coverage is selected, not the entire Pachomian archive. </w:t>
            </w:r>
            <w:hyperlink r:id="rId28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полный современный перевод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Pachomian Koinonia, vols. 1–3, Armand Veilleux, Liturgical Press/Cistercian Publications: protected purchase/institutional access. </w:t>
            </w:r>
            <w:hyperlink r:id="rId29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Смежные монастырские корпуса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Canons of Apa Johannes, Apophthegmata Patrum, Paul of Tamma, Phib, Pisentius through Coptic Scriptorium and CMCL. </w:t>
            </w:r>
            <w:hyperlink r:id="rId30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</w:tbl>
    <w:p>
      <w:pPr>
        <w:pStyle w:val="Heading2"/>
      </w:pPr>
      <w:r>
        <w:t>3.5. Coptic Bible и Papyrus Bodmer XIX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Рекомендуемый вход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integrated scholarly route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CoptOT: book-level workspaces, manuscript IDs, diplomatic/critical layers and verified CC BY-SA transcript pages. </w:t>
            </w:r>
            <w:hyperlink r:id="rId31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открытый machine-readable fragment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CoptOT transcript API page (docid 690006, pageID 520), CC BY-SA 4.0; coverage is one page/fragment. </w:t>
            </w:r>
            <w:hyperlink r:id="rId32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Bodmer XIX facsimile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BodmerLab: 63 scans, default CC BY-NC 4.0 unless stated otherwise; bulk package not yet exposed. </w:t>
            </w:r>
            <w:hyperlink r:id="rId33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Исторические editions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George Horner’s Sahidic/Bohairic New Testament volumes at Internet Archive: full read/download, jurisdiction review before redistribution. </w:t>
            </w:r>
            <w:hyperlink r:id="rId34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Coptic Scriptorium biblical corpora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Useful for search and annotations, but Sahidica New Testament has special academic-use terms and should not inherit the default CC BY automatically. </w:t>
            </w:r>
            <w:hyperlink r:id="rId35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</w:tbl>
    <w:p>
      <w:pPr>
        <w:pStyle w:val="Heading2"/>
      </w:pPr>
      <w:r>
        <w:t>3.6. Apocalypse of Elijah и Coptic apocrypha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Рекомендуемый вход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свободный historical text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Georg Steindorff, Die Apokalypse des Elias (1899), Internet Archive: Coptic/edition layer freely downloadable; modern critical replacement not found open. </w:t>
            </w:r>
            <w:hyperlink r:id="rId36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Лучший современный English translation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Wintermute in Old Testament Pseudepigrapha: protected, preview/purchase/library access. </w:t>
            </w:r>
            <w:hyperlink r:id="rId37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Широкие исторические антологии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Budge, Coptic Apocrypha and Miscellaneous Coptic Texts: full scans and OCR at Internet Archive; philologically dated. </w:t>
            </w:r>
            <w:hyperlink r:id="rId38">
              <w:r>
                <w:rPr>
                  <w:color w:val="1A5A96"/>
                  <w:u w:val="single"/>
                  <w:rFonts w:ascii="Liberation Sans" w:hAnsi="Liberation Sans"/>
                  <w:sz w:val="18"/>
                </w:rPr>
                <w:t>Открыть</w:t>
              </w:r>
            </w:hyperlink>
          </w:p>
        </w:tc>
      </w:tr>
    </w:tbl>
    <w:p>
      <w:pPr>
        <w:pStyle w:val="Heading1"/>
      </w:pPr>
      <w:r>
        <w:t>4. Карта прав и практического использования</w:t>
      </w:r>
    </w:p>
    <w:p>
      <w:pPr>
        <w:pStyle w:val="A37Lead"/>
      </w:pPr>
      <w:r>
        <w:rPr>
          <w:b/>
        </w:rPr>
        <w:t xml:space="preserve">Самая важная граница реестра — не «бесплатно / платно», а scope. </w:t>
      </w:r>
      <w:r>
        <w:t>Для каждого входа отдельно разведены права на древнее произведение, современную редакцию/перевод, цифровой объект и условия платформы. Теги ToS не действуют за пределами прямо указанной версии и coverage.</w:t>
      </w:r>
    </w:p>
    <w:p>
      <w:pPr>
        <w:pStyle w:val="Heading2"/>
      </w:pPr>
      <w:r>
        <w:t>4.1. Что потенциально можно зеркалировать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Coptic Scriptorium item-level TEI и аннотации — когда конкретный файл/корпус обозначен CC BY 3.0/4.0; обязательны атрибуция и сохранение notices.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CoptOT verified transcript components — CC BY-SA 4.0; производные и зеркала должны сохранять ShareAlike.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PAThs selected Coptic texts — CC BY-NC-SA 4.0; подходит текущей некоммерческой модели ToS, но требует атрибуции, NC и SA.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Digital Bodleian MS. Bruce 96 и Bodmer XIX — CC BY-NC 4.0 на проверенный объект/изображения; зеркало возможно только некоммерчески и в пределах данного свидетельства.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Selected Berlin Codex images from Staatliche Museen via Wikimedia Commons — CC BY-SA 4.0; проверять лицензию каждого файла, а не категории целиком.</w:t>
      </w:r>
    </w:p>
    <w:p>
      <w:pPr>
        <w:pStyle w:val="Heading2"/>
      </w:pPr>
      <w:r>
        <w:t>4.2. Что можно читать/скачивать, но не следует автоматически переиздавать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Gnosis Archive: переводы доступны полностью, но открытая лицензия на повторную публикацию не установлена; рекомендация — link-only.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CMCL free PDFs: авторизованное бесплатное скачивание с сайта проекта не означает право зеркалирования современных изданий.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Claremont Nag Hammadi Archive, Vatican Library и British Library catalogue: легальный просмотр/метаданные; права на воспроизведение отличаются и часто ограничены.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Internet Archive historical editions: исследовательские копии, OCR и локальное индексирование допустимы в пределах применимого статуса; публичное глобальное зеркало требует проверки юрисдикции, источника скана и notices.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Sahidica New Testament: свободный доступ не приравнивается к default CC BY; перед зеркалом, публичным full-text index или обучением модели нужно читать специальный README/terms.</w:t>
      </w:r>
    </w:p>
    <w:p>
      <w:pPr>
        <w:pStyle w:val="Heading2"/>
      </w:pPr>
      <w:r>
        <w:t>4.3. Link-only, borrow, preview и purchase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Brill CGLO — лучший современный критический корпус, но только через подписку/покупку; ToS может ссылаться и хранить библиографические карточки.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Cambridge Selected Discourses и Liturgical Press Pachomian Koinonia — защищённые переводы; разрешены ссылки, preview, покупка и библиотечный доступ.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Internet Archive / Open Library modern books — controlled digital lending: локальное чтение заемщиком, без права извлечения корпуса и повторного распространения.</w:t>
      </w:r>
    </w:p>
    <w:p>
      <w:pPr>
        <w:pStyle w:val="Heading2"/>
      </w:pPr>
      <w:r>
        <w:t>4.4. Где возможен собственный перевод 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Основа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Примеры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Открытая Coptic transcription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Gospel of Thomas; selected Shenoute/Besa/Pachomius; verified CoptOT transcript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переводить только фактически покрытый текст; сохранить атрибуцию/SA, если требуется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Открыто лицензированное facsimile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Bruce Codex; selected Berlin images; Bodmer XIX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coverage = один свидетель/фрагмент; NC/SA условия относятся к изображениям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Historical public-domain or old edition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Mead, Steindorff, Budge, Schmidt, Horner, Amélineau/Leipoldt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чистота базы и международный статус требуют проверки; не копировать защищённый современный аппарат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Только современный protected critical text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Philip, Resurrection, Authoritative Teaching в Brill CGLO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не ставить безусловный OWN_TRANSLATION_POSSIBLE без независимой открытой Coptic basis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Только перевод-посредник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Gnosis, modern English books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7"/>
              </w:rPr>
              <w:t>не использовать как единственную основу публичного нового перевода без проверки прав</w:t>
            </w:r>
          </w:p>
        </w:tc>
      </w:tr>
    </w:tbl>
    <w:p>
      <w:pPr>
        <w:pStyle w:val="A37Note"/>
      </w:pPr>
      <w:r>
        <w:rPr>
          <w:b/>
        </w:rPr>
        <w:t xml:space="preserve">Операционный вывод: </w:t>
      </w:r>
      <w:r>
        <w:t>для ingestion pipeline Codex должен применять разрешения на уровне record_id, а не наследовать лицензию проекта на все связанные изображения, тексты и комментарии.</w:t>
      </w:r>
    </w:p>
    <w:p>
      <w:pPr>
        <w:pStyle w:val="Heading1"/>
      </w:pPr>
      <w:r>
        <w:t>5. Характерные правовые тонкости</w:t>
      </w:r>
    </w:p>
    <w:p>
      <w:pPr>
        <w:spacing w:after="100"/>
      </w:pPr>
      <w:r>
        <w:rPr>
          <w:b/>
          <w:color w:val="17365D"/>
        </w:rPr>
        <w:t xml:space="preserve">1. Древний текст ≠ свободный modern edition. </w:t>
      </w:r>
      <w:r>
        <w:t>Возраст Gospel of Philip или Apocalypse of Elijah освобождает исходное произведение, но не современную реконструкцию, перевод, аппарат или издательскую разметку.</w:t>
      </w:r>
    </w:p>
    <w:p>
      <w:pPr>
        <w:spacing w:after="100"/>
      </w:pPr>
      <w:r>
        <w:rPr>
          <w:b/>
          <w:color w:val="17365D"/>
        </w:rPr>
        <w:t xml:space="preserve">2. Open text + restricted images. </w:t>
      </w:r>
      <w:r>
        <w:t>CoptOT и Coptic Scriptorium могут открывать транскрипцию, тогда как фотографии рукописи принадлежат BodmerLab, Vatican, BnF или другому учреждению.</w:t>
      </w:r>
    </w:p>
    <w:p>
      <w:pPr>
        <w:spacing w:after="100"/>
      </w:pPr>
      <w:r>
        <w:rPr>
          <w:b/>
          <w:color w:val="17365D"/>
        </w:rPr>
        <w:t xml:space="preserve">3. Download ≠ mirror. </w:t>
      </w:r>
      <w:r>
        <w:t>Кнопка PDF/TEI доказывает техническую возможность скачать, но не право публично разместить копию; именно поэтому access_mode и tos_use разведены.</w:t>
      </w:r>
    </w:p>
    <w:p>
      <w:pPr>
        <w:spacing w:after="100"/>
      </w:pPr>
      <w:r>
        <w:rPr>
          <w:b/>
          <w:color w:val="17365D"/>
        </w:rPr>
        <w:t xml:space="preserve">4. Public Domain в одной юрисдикции. </w:t>
      </w:r>
      <w:r>
        <w:t>Старые издания Internet Archive часто помечены NOT_IN_COPYRIGHT для США. Для глобального ToS остаются вопросы срока охраны редактора/переводчика и прав на цифровой скан.</w:t>
      </w:r>
    </w:p>
    <w:p>
      <w:pPr>
        <w:spacing w:after="100"/>
      </w:pPr>
      <w:r>
        <w:rPr>
          <w:b/>
          <w:color w:val="17365D"/>
        </w:rPr>
        <w:t xml:space="preserve">5. NonCommercial полезен, но не нейтрален. </w:t>
      </w:r>
      <w:r>
        <w:t>CC BY-NC и BY-NC-SA подходят текущей некоммерческой фазе ToS, однако запрещают автоматическое перенесение в будущий коммерческий продукт.</w:t>
      </w:r>
    </w:p>
    <w:p>
      <w:pPr>
        <w:spacing w:after="100"/>
      </w:pPr>
      <w:r>
        <w:rPr>
          <w:b/>
          <w:color w:val="17365D"/>
        </w:rPr>
        <w:t xml:space="preserve">6. ShareAlike действует на производные. </w:t>
      </w:r>
      <w:r>
        <w:t>CoptOT transcript и Berlin images под BY-SA требуют совместимой лицензии на переработанный компонент; это не делает весь ToS-проект ShareAlike автоматически.</w:t>
      </w:r>
    </w:p>
    <w:p>
      <w:pPr>
        <w:spacing w:after="100"/>
      </w:pPr>
      <w:r>
        <w:rPr>
          <w:b/>
          <w:color w:val="17365D"/>
        </w:rPr>
        <w:t xml:space="preserve">7. Mixed rights внутри одной страницы. </w:t>
      </w:r>
      <w:r>
        <w:t>На одной странице могут сосуществовать open metadata, protected translation, CC image и proprietary viewer. Лицензия одного компонента не переносится на остальные.</w:t>
      </w:r>
    </w:p>
    <w:p>
      <w:pPr>
        <w:spacing w:after="100"/>
      </w:pPr>
      <w:r>
        <w:rPr>
          <w:b/>
          <w:color w:val="17365D"/>
        </w:rPr>
        <w:t xml:space="preserve">8. Научная полнота может требовать protected sources. </w:t>
      </w:r>
      <w:r>
        <w:t>Brill CGLO, Cambridge и Pachomian Koinonia сохранены в реестре именно потому, что законная карта доступа должна включать лучший научный вариант, даже если он не свободен.</w:t>
      </w:r>
    </w:p>
    <w:p>
      <w:pPr>
        <w:pStyle w:val="Heading1"/>
      </w:pPr>
      <w:r>
        <w:t>6. Пробелы и дальнейший поиск</w:t>
      </w:r>
    </w:p>
    <w:p>
      <w:pPr>
        <w:pStyle w:val="A37Lead"/>
      </w:pPr>
      <w:r>
        <w:rPr>
          <w:b/>
        </w:rPr>
        <w:t xml:space="preserve">Отдельный лист gaps содержит 16 задач. </w:t>
      </w:r>
      <w:r>
        <w:t>Ниже — наиболее существенные препятствия, которые прямо влияют на полноту корпуса или на возможность законного ingestion/reuse.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Пробел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Почему важен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17365D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Следующий ход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Полный lawful facsimile всех 13 Nag Hammadi codices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сейчас доступны page-level images, но не единый open codex dataset с item rights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сопоставить codex/tractate ↔ CCDL item IDs; проверить IIIF и Egyptian official holdings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Open Coptic text для Philip, Resurrection, Authoritative Teaching, Thunder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центральные трактаты зависят от Brill или free translations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искать author deposits/TEI; запросить CGLO research export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Official P.Oxy. 1/654/655 item records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не хватает единого facsimile + transcription + rights пути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проверить Oxford Oxyrhynchus Online, Bodleian и papyri.info по точным номерам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Полный facsimile Askew Codex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официальный BL catalogue найден, complete images — нет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проверить восстановление BL digitisation, IIIF и reproduction services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Полный image set Berlin Codex 8502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есть selected CC BY-SA files, полнота не доказана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сверить Commons files с foliation; запросить SMB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Полный open Pachomian corpus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есть selected instructions и protected Koinonia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искать historical Coptic/Greek/Latin editions и witnesses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Полный Shenoute corpus with item licenses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open texts распределены, complete reconstructed corpus остаётся в CMCL/editions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создать canon checklist из Emmel/CMCL и map text ↔ TEI ↔ facsimile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White Monastery leaf concordance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рассеянность листов мешает witness-level работе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соединить CMCL/PAThs IDs с ARK/IIIF BnF, Vatican, Naples, Rome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Exact Sahidica NT reuse terms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free access есть, blanket open license нет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прочитать corpus README и получить письменное разрешение на mirror/index/model use</w:t>
            </w:r>
          </w:p>
        </w:tc>
      </w:tr>
      <w:tr>
        <w:trPr>
          <w:cantSplit/>
        </w:trP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5"/>
              </w:rPr>
              <w:t>high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Open modern Apocalypse of Elijah edition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лучший free layer — Steindorff 1899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5"/>
              </w:rPr>
              <w:t>искать Chester Beatty images, recent editions and author repositories</w:t>
            </w:r>
          </w:p>
        </w:tc>
      </w:tr>
    </w:tbl>
    <w:p>
      <w:pPr>
        <w:pStyle w:val="Heading2"/>
      </w:pPr>
      <w:r>
        <w:t>6.1. Объекты, найденные, но не полностью закрытые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Papyrus Bodmer XIX: 63 scans доступны, но bulk download/IIIF manifest не подтверждён.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Besa: несколько писем открыты, но полный корпус и manuscript coverage не установлен.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Русские переводы центральных текстов: законные открытые варианты с ясным reuse statement не найдены.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Kyprianos / Coptic Magical Papyri: важный supporting corpus, но API, export и component rights не были закрыты в этой итерации.</w:t>
      </w:r>
    </w:p>
    <w:p>
      <w:pPr>
        <w:pStyle w:val="A37Bullet"/>
        <w:ind w:left="312" w:hanging="198"/>
      </w:pPr>
      <w:r>
        <w:rPr>
          <w:b/>
          <w:color w:val="1F6F78"/>
        </w:rPr>
        <w:t xml:space="preserve">• </w:t>
      </w:r>
      <w:r>
        <w:t>CMCL metadata export и Brill CGLO API/TDM terms требуют прямого запроса к правообладателям.</w:t>
      </w:r>
    </w:p>
    <w:p>
      <w:pPr>
        <w:pStyle w:val="Heading2"/>
      </w:pPr>
      <w:r>
        <w:t>6.2. Targeted follow-up направления</w:t>
      </w:r>
    </w:p>
    <w:p>
      <w:pPr>
        <w:pStyle w:val="A37Number"/>
      </w:pPr>
      <w:r>
        <w:rPr>
          <w:b/>
          <w:color w:val="1F6F78"/>
        </w:rPr>
        <w:t xml:space="preserve">1. </w:t>
      </w:r>
      <w:r>
        <w:t>Построить tractate-by-tractate map всех Nag Hammadi works к CGLO URNs, Claremont item IDs и открытым переводам.</w:t>
      </w:r>
    </w:p>
    <w:p>
      <w:pPr>
        <w:pStyle w:val="A37Number"/>
      </w:pPr>
      <w:r>
        <w:rPr>
          <w:b/>
          <w:color w:val="1F6F78"/>
        </w:rPr>
        <w:t xml:space="preserve">2. </w:t>
      </w:r>
      <w:r>
        <w:t>Проверить официальный Oxford/Bodleian слой для P.Oxy. 1, 654 и 655; отдельно зафиксировать image, transcription и metadata rights.</w:t>
      </w:r>
    </w:p>
    <w:p>
      <w:pPr>
        <w:pStyle w:val="A37Number"/>
      </w:pPr>
      <w:r>
        <w:rPr>
          <w:b/>
          <w:color w:val="1F6F78"/>
        </w:rPr>
        <w:t xml:space="preserve">3. </w:t>
      </w:r>
      <w:r>
        <w:t>Запросить у British Library полный цифровой статус Askew Codex и возможный IIIF/reproduction route.</w:t>
      </w:r>
    </w:p>
    <w:p>
      <w:pPr>
        <w:pStyle w:val="A37Number"/>
      </w:pPr>
      <w:r>
        <w:rPr>
          <w:b/>
          <w:color w:val="1F6F78"/>
        </w:rPr>
        <w:t xml:space="preserve">4. </w:t>
      </w:r>
      <w:r>
        <w:t>Сформировать Shenoute canon checklist из Emmel/CMCL и по каждому work искать open TEI, historical edition и manuscript facsimile.</w:t>
      </w:r>
    </w:p>
    <w:p>
      <w:pPr>
        <w:pStyle w:val="A37Number"/>
      </w:pPr>
      <w:r>
        <w:rPr>
          <w:b/>
          <w:color w:val="1F6F78"/>
        </w:rPr>
        <w:t xml:space="preserve">5. </w:t>
      </w:r>
      <w:r>
        <w:t>Разделить Pachomian transmission на Coptic, Greek, Latin and Arabic branches; искать публичнодоменные historical editions по каждой.</w:t>
      </w:r>
    </w:p>
    <w:p>
      <w:pPr>
        <w:pStyle w:val="A37Number"/>
      </w:pPr>
      <w:r>
        <w:rPr>
          <w:b/>
          <w:color w:val="1F6F78"/>
        </w:rPr>
        <w:t xml:space="preserve">6. </w:t>
      </w:r>
      <w:r>
        <w:t>Выгрузить и нормализовать PAThs/CMCL identifiers для White Monastery leaves, не копируя protected transcriptions.</w:t>
      </w:r>
    </w:p>
    <w:p>
      <w:pPr>
        <w:pStyle w:val="A37Number"/>
      </w:pPr>
      <w:r>
        <w:rPr>
          <w:b/>
          <w:color w:val="1F6F78"/>
        </w:rPr>
        <w:t xml:space="preserve">7. </w:t>
      </w:r>
      <w:r>
        <w:t>Получить письменные разъяснения по Sahidica NT, BodmerLab bulk access и Coptic Scriptorium corpus-specific exceptions.</w:t>
      </w:r>
    </w:p>
    <w:p>
      <w:pPr>
        <w:pStyle w:val="A37Number"/>
      </w:pPr>
      <w:r>
        <w:rPr>
          <w:b/>
          <w:color w:val="1F6F78"/>
        </w:rPr>
        <w:t xml:space="preserve">8. </w:t>
      </w:r>
      <w:r>
        <w:t>Отдельно провести Russian legal-access pass: publishers, RSL/NLR catalogues, translator estates and licensed e-book platforms.</w:t>
      </w:r>
    </w:p>
    <w:p>
      <w:pPr>
        <w:pStyle w:val="Heading1"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Покрытие корпуса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Хорошее для центральных кластеров A37 и сильное по инфраструктуре; неполное на уровне всех трактатов Nag Hammadi и всех рассеянных монастырских свидетелей.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Доступность оригиналов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Сильная для Gospel of Thomas, selected Shenoute/Besa/Pachomian texts, CoptOT fragments and licensed facsimiles; слабее для Philip, Resurrection and Authoritative Teaching.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Доступность переводов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Высокая на английском за счёт free read, library borrow and scholarly purchase; русскоязычный законный слой существенно слабее.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Наиболее свободный слой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Open TEI/data Coptic Scriptorium, CoptOT CC BY-SA components, PAThs noncommercial data, Bruce/Berlin/Bodmer licensed images.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Главные ограничения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Protected critical editions/translations, mixed image rights, incomplete facsimile sets, subscription CMCL/Brill, jurisdictional uncertainty of historical scans.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Готовность для Codex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Да. Registry уже даёт record-level source, rights_scope, coverage, evidence URL, practical ToS tags and gaps; требуется сохранить запрет на license inheritance.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DDEBF7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Общая оценка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3F6F8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sz w:val="18"/>
              </w:rPr>
              <w:t>Исследовательский пакет пригоден для ingestion, дедупликации и последующей нормализации в ToS. Он широк по законным входам и намеренно не сводит доступ к public-domain-only фильтру.</w:t>
            </w:r>
          </w:p>
        </w:tc>
      </w:tr>
    </w:tbl>
    <w:p>
      <w:pPr>
        <w:pStyle w:val="A37Note"/>
      </w:pPr>
      <w:r>
        <w:rPr>
          <w:b/>
        </w:rPr>
        <w:t xml:space="preserve">Финальный вывод: </w:t>
      </w:r>
      <w:r>
        <w:t>наиболее полезная стратегия ToS — сочетать открытые оригинальные transcriptions/facsimiles для собственного перевода и machine processing, protected scholarly editions для проверки, а free-read/borrow/purchase links — для законного пользовательского доступа. Зеркалирование должно включаться только по отдельным record_id с доказанным rights_evidence_url.</w:t>
      </w:r>
    </w:p>
    <w:p>
      <w:pPr>
        <w:pStyle w:val="Heading1"/>
      </w:pPr>
      <w:r>
        <w:t>Ключевые проверенные входы</w:t>
      </w:r>
    </w:p>
    <w:p>
      <w:pPr>
        <w:pStyle w:val="A37Link"/>
      </w:pPr>
      <w:r>
        <w:rPr>
          <w:b/>
        </w:rPr>
        <w:t xml:space="preserve">Coptic Scriptorium: </w:t>
      </w:r>
      <w:hyperlink r:id="rId39">
        <w:r>
          <w:rPr>
            <w:color w:val="1A5A96"/>
            <w:u w:val="single"/>
            <w:rFonts w:ascii="Liberation Sans" w:hAnsi="Liberation Sans"/>
            <w:sz w:val="18"/>
          </w:rPr>
          <w:t>https://copticscriptorium.org/</w:t>
        </w:r>
      </w:hyperlink>
    </w:p>
    <w:p>
      <w:pPr>
        <w:pStyle w:val="A37Link"/>
      </w:pPr>
      <w:r>
        <w:rPr>
          <w:b/>
        </w:rPr>
        <w:t xml:space="preserve">Coptic Scriptorium corpora: </w:t>
      </w:r>
      <w:hyperlink r:id="rId30">
        <w:r>
          <w:rPr>
            <w:color w:val="1A5A96"/>
            <w:u w:val="single"/>
            <w:rFonts w:ascii="Liberation Sans" w:hAnsi="Liberation Sans"/>
            <w:sz w:val="18"/>
          </w:rPr>
          <w:t>https://data.copticscriptorium.org/index/corpus/</w:t>
        </w:r>
      </w:hyperlink>
    </w:p>
    <w:p>
      <w:pPr>
        <w:pStyle w:val="A37Link"/>
      </w:pPr>
      <w:r>
        <w:rPr>
          <w:b/>
        </w:rPr>
        <w:t xml:space="preserve">Coptic Scriptorium GitHub: </w:t>
      </w:r>
      <w:hyperlink r:id="rId12">
        <w:r>
          <w:rPr>
            <w:color w:val="1A5A96"/>
            <w:u w:val="single"/>
            <w:rFonts w:ascii="Liberation Sans" w:hAnsi="Liberation Sans"/>
            <w:sz w:val="18"/>
          </w:rPr>
          <w:t>https://github.com/CopticScriptorium/corpora</w:t>
        </w:r>
      </w:hyperlink>
    </w:p>
    <w:p>
      <w:pPr>
        <w:pStyle w:val="A37Link"/>
      </w:pPr>
      <w:r>
        <w:rPr>
          <w:b/>
        </w:rPr>
        <w:t xml:space="preserve">Gospel of Thomas — Coptic Scriptorium: </w:t>
      </w:r>
      <w:hyperlink r:id="rId11">
        <w:r>
          <w:rPr>
            <w:color w:val="1A5A96"/>
            <w:u w:val="single"/>
            <w:rFonts w:ascii="Liberation Sans" w:hAnsi="Liberation Sans"/>
            <w:sz w:val="18"/>
          </w:rPr>
          <w:t>https://data.copticscriptorium.org/texts/thomasgospel/</w:t>
        </w:r>
      </w:hyperlink>
    </w:p>
    <w:p>
      <w:pPr>
        <w:pStyle w:val="A37Link"/>
      </w:pPr>
      <w:r>
        <w:rPr>
          <w:b/>
        </w:rPr>
        <w:t xml:space="preserve">Coptic Gnostic Library Online: </w:t>
      </w:r>
      <w:hyperlink r:id="rId14">
        <w:r>
          <w:rPr>
            <w:color w:val="1A5A96"/>
            <w:u w:val="single"/>
            <w:rFonts w:ascii="Liberation Sans" w:hAnsi="Liberation Sans"/>
            <w:sz w:val="18"/>
          </w:rPr>
          <w:t>https://scholarlyeditions.brill.com/cglo/</w:t>
        </w:r>
      </w:hyperlink>
    </w:p>
    <w:p>
      <w:pPr>
        <w:pStyle w:val="A37Link"/>
      </w:pPr>
      <w:r>
        <w:rPr>
          <w:b/>
        </w:rPr>
        <w:t xml:space="preserve">Nag Hammadi Archive — Claremont: </w:t>
      </w:r>
      <w:hyperlink r:id="rId15">
        <w:r>
          <w:rPr>
            <w:color w:val="1A5A96"/>
            <w:u w:val="single"/>
            <w:rFonts w:ascii="Liberation Sans" w:hAnsi="Liberation Sans"/>
            <w:sz w:val="18"/>
          </w:rPr>
          <w:t>https://ccdl.claremont.edu/digital/collection/nha</w:t>
        </w:r>
      </w:hyperlink>
    </w:p>
    <w:p>
      <w:pPr>
        <w:pStyle w:val="A37Link"/>
      </w:pPr>
      <w:r>
        <w:rPr>
          <w:b/>
        </w:rPr>
        <w:t xml:space="preserve">PAThs Atlas: </w:t>
      </w:r>
      <w:hyperlink r:id="rId40">
        <w:r>
          <w:rPr>
            <w:color w:val="1A5A96"/>
            <w:u w:val="single"/>
            <w:rFonts w:ascii="Liberation Sans" w:hAnsi="Liberation Sans"/>
            <w:sz w:val="18"/>
          </w:rPr>
          <w:t>https://atlas.paths-erc.eu/</w:t>
        </w:r>
      </w:hyperlink>
    </w:p>
    <w:p>
      <w:pPr>
        <w:pStyle w:val="A37Link"/>
      </w:pPr>
      <w:r>
        <w:rPr>
          <w:b/>
        </w:rPr>
        <w:t xml:space="preserve">CMCL: </w:t>
      </w:r>
      <w:hyperlink r:id="rId41">
        <w:r>
          <w:rPr>
            <w:color w:val="1A5A96"/>
            <w:u w:val="single"/>
            <w:rFonts w:ascii="Liberation Sans" w:hAnsi="Liberation Sans"/>
            <w:sz w:val="18"/>
          </w:rPr>
          <w:t>https://www.cmcl.it/</w:t>
        </w:r>
      </w:hyperlink>
    </w:p>
    <w:p>
      <w:pPr>
        <w:pStyle w:val="A37Link"/>
      </w:pPr>
      <w:r>
        <w:rPr>
          <w:b/>
        </w:rPr>
        <w:t xml:space="preserve">CoptOT: </w:t>
      </w:r>
      <w:hyperlink r:id="rId42">
        <w:r>
          <w:rPr>
            <w:color w:val="1A5A96"/>
            <w:u w:val="single"/>
            <w:rFonts w:ascii="Liberation Sans" w:hAnsi="Liberation Sans"/>
            <w:sz w:val="18"/>
          </w:rPr>
          <w:t>https://coptot.manuscriptroom.com/</w:t>
        </w:r>
      </w:hyperlink>
    </w:p>
    <w:p>
      <w:pPr>
        <w:pStyle w:val="A37Link"/>
      </w:pPr>
      <w:r>
        <w:rPr>
          <w:b/>
        </w:rPr>
        <w:t xml:space="preserve">CoptOT Biblical Books: </w:t>
      </w:r>
      <w:hyperlink r:id="rId31">
        <w:r>
          <w:rPr>
            <w:color w:val="1A5A96"/>
            <w:u w:val="single"/>
            <w:rFonts w:ascii="Liberation Sans" w:hAnsi="Liberation Sans"/>
            <w:sz w:val="18"/>
          </w:rPr>
          <w:t>https://coptot.manuscriptroom.com/biblical-books</w:t>
        </w:r>
      </w:hyperlink>
    </w:p>
    <w:p>
      <w:pPr>
        <w:pStyle w:val="A37Link"/>
      </w:pPr>
      <w:r>
        <w:rPr>
          <w:b/>
        </w:rPr>
        <w:t xml:space="preserve">Bruce Codex — Digital Bodleian: </w:t>
      </w:r>
      <w:hyperlink r:id="rId20">
        <w:r>
          <w:rPr>
            <w:color w:val="1A5A96"/>
            <w:u w:val="single"/>
            <w:rFonts w:ascii="Liberation Sans" w:hAnsi="Liberation Sans"/>
            <w:sz w:val="18"/>
          </w:rPr>
          <w:t>https://digital.bodleian.ox.ac.uk/objects/32770258-9c24-4b1c-9b9d-79a66f8914cf/</w:t>
        </w:r>
      </w:hyperlink>
    </w:p>
    <w:p>
      <w:pPr>
        <w:pStyle w:val="A37Link"/>
      </w:pPr>
      <w:r>
        <w:rPr>
          <w:b/>
        </w:rPr>
        <w:t xml:space="preserve">Askew Codex — British Library: </w:t>
      </w:r>
      <w:hyperlink r:id="rId19">
        <w:r>
          <w:rPr>
            <w:color w:val="1A5A96"/>
            <w:u w:val="single"/>
            <w:rFonts w:ascii="Liberation Sans" w:hAnsi="Liberation Sans"/>
            <w:sz w:val="18"/>
          </w:rPr>
          <w:t>https://archives.bl.uk/repositories/4/resources/8694</w:t>
        </w:r>
      </w:hyperlink>
    </w:p>
    <w:p>
      <w:pPr>
        <w:pStyle w:val="A37Link"/>
      </w:pPr>
      <w:r>
        <w:rPr>
          <w:b/>
        </w:rPr>
        <w:t xml:space="preserve">Berlin Codex 8502 — SMB: </w:t>
      </w:r>
      <w:hyperlink r:id="rId43">
        <w:r>
          <w:rPr>
            <w:color w:val="1A5A96"/>
            <w:u w:val="single"/>
            <w:rFonts w:ascii="Liberation Sans" w:hAnsi="Liberation Sans"/>
            <w:sz w:val="18"/>
          </w:rPr>
          <w:t>https://id.smb.museum/object/1535461</w:t>
        </w:r>
      </w:hyperlink>
    </w:p>
    <w:p>
      <w:pPr>
        <w:pStyle w:val="A37Link"/>
      </w:pPr>
      <w:r>
        <w:rPr>
          <w:b/>
        </w:rPr>
        <w:t xml:space="preserve">Berlin Codex 8502 — Wikimedia Commons: </w:t>
      </w:r>
      <w:hyperlink r:id="rId21">
        <w:r>
          <w:rPr>
            <w:color w:val="1A5A96"/>
            <w:u w:val="single"/>
            <w:rFonts w:ascii="Liberation Sans" w:hAnsi="Liberation Sans"/>
            <w:sz w:val="18"/>
          </w:rPr>
          <w:t>https://commons.wikimedia.org/wiki/Category:Papyrus_Berlin_8502</w:t>
        </w:r>
      </w:hyperlink>
    </w:p>
    <w:p>
      <w:pPr>
        <w:pStyle w:val="A37Link"/>
      </w:pPr>
      <w:r>
        <w:rPr>
          <w:b/>
        </w:rPr>
        <w:t xml:space="preserve">Papyrus Bodmer XIX — BodmerLab: </w:t>
      </w:r>
      <w:hyperlink r:id="rId33">
        <w:r>
          <w:rPr>
            <w:color w:val="1A5A96"/>
            <w:u w:val="single"/>
            <w:rFonts w:ascii="Liberation Sans" w:hAnsi="Liberation Sans"/>
            <w:sz w:val="18"/>
          </w:rPr>
          <w:t>https://bodmerlab.unige.ch/constellations/papyri/barcode/1072068361</w:t>
        </w:r>
      </w:hyperlink>
    </w:p>
    <w:p>
      <w:pPr>
        <w:pStyle w:val="A37Link"/>
      </w:pPr>
      <w:r>
        <w:rPr>
          <w:b/>
        </w:rPr>
        <w:t xml:space="preserve">Pistis Sophia — Internet Archive: </w:t>
      </w:r>
      <w:hyperlink r:id="rId18">
        <w:r>
          <w:rPr>
            <w:color w:val="1A5A96"/>
            <w:u w:val="single"/>
            <w:rFonts w:ascii="Liberation Sans" w:hAnsi="Liberation Sans"/>
            <w:sz w:val="18"/>
          </w:rPr>
          <w:t>https://archive.org/details/pistissophiagnos00mead</w:t>
        </w:r>
      </w:hyperlink>
    </w:p>
    <w:p>
      <w:pPr>
        <w:pStyle w:val="A37Link"/>
      </w:pPr>
      <w:r>
        <w:rPr>
          <w:b/>
        </w:rPr>
        <w:t xml:space="preserve">Apocalypse of Elijah — Internet Archive: </w:t>
      </w:r>
      <w:hyperlink r:id="rId36">
        <w:r>
          <w:rPr>
            <w:color w:val="1A5A96"/>
            <w:u w:val="single"/>
            <w:rFonts w:ascii="Liberation Sans" w:hAnsi="Liberation Sans"/>
            <w:sz w:val="18"/>
          </w:rPr>
          <w:t>https://archive.org/details/dieapokalypsede00steigoog</w:t>
        </w:r>
      </w:hyperlink>
    </w:p>
    <w:p>
      <w:pPr>
        <w:pStyle w:val="A37Link"/>
      </w:pPr>
      <w:r>
        <w:rPr>
          <w:b/>
        </w:rPr>
        <w:t xml:space="preserve">Coptic Apocrypha — Internet Archive: </w:t>
      </w:r>
      <w:hyperlink r:id="rId38">
        <w:r>
          <w:rPr>
            <w:color w:val="1A5A96"/>
            <w:u w:val="single"/>
            <w:rFonts w:ascii="Liberation Sans" w:hAnsi="Liberation Sans"/>
            <w:sz w:val="18"/>
          </w:rPr>
          <w:t>https://archive.org/details/copticapocryphai00budguoft</w:t>
        </w:r>
      </w:hyperlink>
    </w:p>
    <w:p>
      <w:pPr>
        <w:pStyle w:val="A37Caption"/>
      </w:pPr>
      <w:r>
        <w:t>Полные item-level URLs, stable identifiers, rights evidence, access modes and ToS-use recommendations находятся в XLSX registry.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B5563"/>
        <w:sz w:val="16"/>
      </w:rPr>
      <w:t xml:space="preserve">A37  |  Коптский Египет поздней античности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B5563"/>
        <w:sz w:val="16"/>
      </w:rPr>
      <w:t>ToS / Древо Софии  ·  Corpus &amp; Rights Registry  ·  A37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Liberation Serif" w:hAnsi="Liberation Serif" w:eastAsia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6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37Lead">
    <w:name w:val="A37 Lead"/>
    <w:basedOn w:val="Normal"/>
    <w:pPr>
      <w:spacing w:before="0" w:after="160" w:line="283" w:lineRule="auto"/>
      <w:ind w:left="0"/>
    </w:pPr>
    <w:rPr>
      <w:rFonts w:ascii="Liberation Serif" w:hAnsi="Liberation Serif" w:eastAsia="Liberation Serif"/>
      <w:b w:val="0"/>
      <w:color w:val="1F2937"/>
      <w:sz w:val="22"/>
    </w:rPr>
  </w:style>
  <w:style w:type="paragraph" w:customStyle="1" w:styleId="A37Small">
    <w:name w:val="A37 Small"/>
    <w:basedOn w:val="Normal"/>
    <w:pPr>
      <w:spacing w:before="0" w:after="40" w:line="240" w:lineRule="auto"/>
      <w:ind w:left="0"/>
    </w:pPr>
    <w:rPr>
      <w:rFonts w:ascii="Liberation Sans" w:hAnsi="Liberation Sans" w:eastAsia="Liberation Sans"/>
      <w:b w:val="0"/>
      <w:color w:val="4B5563"/>
      <w:sz w:val="17"/>
    </w:rPr>
  </w:style>
  <w:style w:type="paragraph" w:customStyle="1" w:styleId="A37Note">
    <w:name w:val="A37 Note"/>
    <w:basedOn w:val="Normal"/>
    <w:pPr>
      <w:spacing w:before="0" w:after="100" w:line="259" w:lineRule="auto"/>
      <w:ind w:left="283"/>
    </w:pPr>
    <w:rPr>
      <w:rFonts w:ascii="Liberation Serif" w:hAnsi="Liberation Serif" w:eastAsia="Liberation Serif"/>
      <w:b w:val="0"/>
      <w:color w:val="4B5563"/>
      <w:sz w:val="18"/>
    </w:rPr>
  </w:style>
  <w:style w:type="paragraph" w:customStyle="1" w:styleId="A37Bullet">
    <w:name w:val="A37 Bullet"/>
    <w:basedOn w:val="Normal"/>
    <w:pPr>
      <w:spacing w:before="0" w:after="60" w:line="259" w:lineRule="auto"/>
      <w:ind w:left="312" w:hanging="198"/>
    </w:pPr>
    <w:rPr>
      <w:rFonts w:ascii="Liberation Serif" w:hAnsi="Liberation Serif" w:eastAsia="Liberation Serif"/>
      <w:b w:val="0"/>
      <w:color w:val="1F2937"/>
      <w:sz w:val="20"/>
    </w:rPr>
  </w:style>
  <w:style w:type="paragraph" w:customStyle="1" w:styleId="A37Number">
    <w:name w:val="A37 Number"/>
    <w:basedOn w:val="Normal"/>
    <w:pPr>
      <w:spacing w:before="0" w:after="60" w:line="259" w:lineRule="auto"/>
      <w:ind w:left="312" w:hanging="198"/>
    </w:pPr>
    <w:rPr>
      <w:rFonts w:ascii="Liberation Serif" w:hAnsi="Liberation Serif" w:eastAsia="Liberation Serif"/>
      <w:b w:val="0"/>
      <w:color w:val="1F2937"/>
      <w:sz w:val="20"/>
    </w:rPr>
  </w:style>
  <w:style w:type="paragraph" w:customStyle="1" w:styleId="A37Link">
    <w:name w:val="A37 Link"/>
    <w:basedOn w:val="Normal"/>
    <w:pPr>
      <w:spacing w:before="0" w:after="40" w:line="240" w:lineRule="auto"/>
      <w:ind w:left="0"/>
    </w:pPr>
    <w:rPr>
      <w:rFonts w:ascii="Liberation Sans" w:hAnsi="Liberation Sans" w:eastAsia="Liberation Sans"/>
      <w:b w:val="0"/>
      <w:color w:val="1A5A96"/>
      <w:sz w:val="17"/>
    </w:rPr>
  </w:style>
  <w:style w:type="paragraph" w:customStyle="1" w:styleId="A37Caption">
    <w:name w:val="A37 Caption"/>
    <w:basedOn w:val="Normal"/>
    <w:pPr>
      <w:spacing w:before="0" w:after="80" w:line="240" w:lineRule="auto"/>
      <w:ind w:left="0"/>
    </w:pPr>
    <w:rPr>
      <w:rFonts w:ascii="Liberation Sans" w:hAnsi="Liberation Sans" w:eastAsia="Liberation Sans"/>
      <w:b w:val="0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.copticscriptorium.org/texts/thomasgospel/" TargetMode="External"/><Relationship Id="rId12" Type="http://schemas.openxmlformats.org/officeDocument/2006/relationships/hyperlink" Target="https://github.com/CopticScriptorium/corpora" TargetMode="External"/><Relationship Id="rId13" Type="http://schemas.openxmlformats.org/officeDocument/2006/relationships/hyperlink" Target="https://www.gnosis.org/naghamm/nhl.html" TargetMode="External"/><Relationship Id="rId14" Type="http://schemas.openxmlformats.org/officeDocument/2006/relationships/hyperlink" Target="https://scholarlyeditions.brill.com/cglo/" TargetMode="External"/><Relationship Id="rId15" Type="http://schemas.openxmlformats.org/officeDocument/2006/relationships/hyperlink" Target="https://ccdl.claremont.edu/digital/collection/nha" TargetMode="External"/><Relationship Id="rId16" Type="http://schemas.openxmlformats.org/officeDocument/2006/relationships/hyperlink" Target="https://archive.org/details/newsayingsofjesu00greniala" TargetMode="External"/><Relationship Id="rId17" Type="http://schemas.openxmlformats.org/officeDocument/2006/relationships/hyperlink" Target="https://data.copticscriptorium.org/texts/pistissophia/" TargetMode="External"/><Relationship Id="rId18" Type="http://schemas.openxmlformats.org/officeDocument/2006/relationships/hyperlink" Target="https://archive.org/details/pistissophiagnos00mead" TargetMode="External"/><Relationship Id="rId19" Type="http://schemas.openxmlformats.org/officeDocument/2006/relationships/hyperlink" Target="https://archives.bl.uk/repositories/4/resources/8694" TargetMode="External"/><Relationship Id="rId20" Type="http://schemas.openxmlformats.org/officeDocument/2006/relationships/hyperlink" Target="https://digital.bodleian.ox.ac.uk/objects/32770258-9c24-4b1c-9b9d-79a66f8914cf/" TargetMode="External"/><Relationship Id="rId21" Type="http://schemas.openxmlformats.org/officeDocument/2006/relationships/hyperlink" Target="https://commons.wikimedia.org/wiki/Category:Papyrus_Berlin_8502" TargetMode="External"/><Relationship Id="rId22" Type="http://schemas.openxmlformats.org/officeDocument/2006/relationships/hyperlink" Target="https://data.copticscriptorium.org/index/author/Shenoute/" TargetMode="External"/><Relationship Id="rId23" Type="http://schemas.openxmlformats.org/officeDocument/2006/relationships/hyperlink" Target="https://data.copticscriptorium.org/texts/acephalous_work_22/" TargetMode="External"/><Relationship Id="rId24" Type="http://schemas.openxmlformats.org/officeDocument/2006/relationships/hyperlink" Target="https://gallica.bnf.fr/" TargetMode="External"/><Relationship Id="rId25" Type="http://schemas.openxmlformats.org/officeDocument/2006/relationships/hyperlink" Target="https://www.cmcl.it/~orlandi/pubegi.html" TargetMode="External"/><Relationship Id="rId26" Type="http://schemas.openxmlformats.org/officeDocument/2006/relationships/hyperlink" Target="https://doi.org/10.1017/CBO9781139136846" TargetMode="External"/><Relationship Id="rId27" Type="http://schemas.openxmlformats.org/officeDocument/2006/relationships/hyperlink" Target="https://www.peeters-leuven.be/detail.php?search_key=9789042914261" TargetMode="External"/><Relationship Id="rId28" Type="http://schemas.openxmlformats.org/officeDocument/2006/relationships/hyperlink" Target="https://data.copticscriptorium.org/texts/pachomiusinstructions/" TargetMode="External"/><Relationship Id="rId29" Type="http://schemas.openxmlformats.org/officeDocument/2006/relationships/hyperlink" Target="https://litpress.org/Products/CS045/Pachomian-Koinonia-1" TargetMode="External"/><Relationship Id="rId30" Type="http://schemas.openxmlformats.org/officeDocument/2006/relationships/hyperlink" Target="https://data.copticscriptorium.org/index/corpus/" TargetMode="External"/><Relationship Id="rId31" Type="http://schemas.openxmlformats.org/officeDocument/2006/relationships/hyperlink" Target="https://coptot.manuscriptroom.com/biblical-books" TargetMode="External"/><Relationship Id="rId32" Type="http://schemas.openxmlformats.org/officeDocument/2006/relationships/hyperlink" Target="https://coptot.manuscriptroom.com/community/vmr/api/transcript/get/?docid=690006&amp;format=xhtml&amp;pageID=520" TargetMode="External"/><Relationship Id="rId33" Type="http://schemas.openxmlformats.org/officeDocument/2006/relationships/hyperlink" Target="https://bodmerlab.unige.ch/constellations/papyri/barcode/1072068361" TargetMode="External"/><Relationship Id="rId34" Type="http://schemas.openxmlformats.org/officeDocument/2006/relationships/hyperlink" Target="https://archive.org/details/copticversionofn01hornuoft" TargetMode="External"/><Relationship Id="rId35" Type="http://schemas.openxmlformats.org/officeDocument/2006/relationships/hyperlink" Target="https://data.copticscriptorium.org/texts/new-testament/" TargetMode="External"/><Relationship Id="rId36" Type="http://schemas.openxmlformats.org/officeDocument/2006/relationships/hyperlink" Target="https://archive.org/details/dieapokalypsede00steigoog" TargetMode="External"/><Relationship Id="rId37" Type="http://schemas.openxmlformats.org/officeDocument/2006/relationships/hyperlink" Target="https://books.google.com/books?id=TNdeolWctsQC" TargetMode="External"/><Relationship Id="rId38" Type="http://schemas.openxmlformats.org/officeDocument/2006/relationships/hyperlink" Target="https://archive.org/details/copticapocryphai00budguoft" TargetMode="External"/><Relationship Id="rId39" Type="http://schemas.openxmlformats.org/officeDocument/2006/relationships/hyperlink" Target="https://copticscriptorium.org/" TargetMode="External"/><Relationship Id="rId40" Type="http://schemas.openxmlformats.org/officeDocument/2006/relationships/hyperlink" Target="https://atlas.paths-erc.eu/" TargetMode="External"/><Relationship Id="rId41" Type="http://schemas.openxmlformats.org/officeDocument/2006/relationships/hyperlink" Target="https://www.cmcl.it/" TargetMode="External"/><Relationship Id="rId42" Type="http://schemas.openxmlformats.org/officeDocument/2006/relationships/hyperlink" Target="https://coptot.manuscriptroom.com/" TargetMode="External"/><Relationship Id="rId43" Type="http://schemas.openxmlformats.org/officeDocument/2006/relationships/hyperlink" Target="https://id.smb.museum/object/15354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A37 — Коптский Египет поздней античности</dc:title>
  <dc:subject>Corpus, access and rights research for ToS A37</dc:subject>
  <dc:creator>OpenAI / ToS research workflow</dc:creator>
  <cp:keywords>ToS, Coptic, Nag Hammadi, Shenoute, Pachomius, Coptic Scriptorium, rights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