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Liberation Sans" w:hAnsi="Liberation Sans" w:eastAsia="Liberation Sans"/>
          <w:b/>
          <w:color w:val="2F6B66"/>
          <w:sz w:val="18"/>
        </w:rPr>
        <w:t>TREE OF SOPHIA</w:t>
      </w:r>
    </w:p>
    <w:p>
      <w:pPr>
        <w:pStyle w:val="Title"/>
        <w:spacing w:after="120"/>
      </w:pPr>
      <w:r>
        <w:t>ToS Corpus &amp; Rights Registry</w:t>
      </w:r>
    </w:p>
    <w:p>
      <w:pPr>
        <w:pStyle w:val="Subtitle"/>
        <w:spacing w:after="360"/>
      </w:pPr>
      <w:r>
        <w:rPr>
          <w:b/>
          <w:color w:val="1F4E78"/>
          <w:sz w:val="30"/>
        </w:rPr>
        <w:t>A35 — Герметические, гностические и мандеистские</w:t>
        <w:br/>
        <w:t>письменные комплексы поздней античности</w:t>
      </w:r>
    </w:p>
    <w:tbl>
      <w:tblPr>
        <w:tblW w:type="auto" w:w="0"/>
        <w:jc w:val="left"/>
        <w:tblLook w:firstColumn="1" w:firstRow="1" w:lastColumn="0" w:lastRow="0" w:noHBand="0" w:noVBand="1" w:val="04A0"/>
        <w:tblBorders/>
        <w:tblLayout w:type="fixed"/>
      </w:tblPr>
      <w:tblGrid>
        <w:gridCol w:w="4535"/>
        <w:gridCol w:w="2948"/>
        <w:gridCol w:w="2381"/>
      </w:tblGrid>
      <w:tr>
        <w:trPr/>
        <w:tc>
          <w:tcPr>
            <w:tcW w:type="dxa" w:w="4535"/>
            <w:shd w:fill="17365D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r/>
          </w:p>
        </w:tc>
        <w:tc>
          <w:tcPr>
            <w:tcW w:type="dxa" w:w="2948"/>
            <w:shd w:fill="2F6B66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r/>
          </w:p>
        </w:tc>
        <w:tc>
          <w:tcPr>
            <w:tcW w:type="dxa" w:w="2381"/>
            <w:shd w:fill="B38A3E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r/>
          </w:p>
        </w:tc>
      </w:tr>
    </w:tbl>
    <w:p>
      <w:pPr>
        <w:spacing w:after="40"/>
      </w:pPr>
    </w:p>
    <w:p>
      <w:pPr>
        <w:spacing w:after="200"/>
      </w:pPr>
      <w:r>
        <w:rPr>
          <w:color w:val="20242A"/>
          <w:sz w:val="22"/>
        </w:rPr>
        <w:t>Исследовательский отчёт по корпусу, цифровому доступу и правам повторного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</w:tblPr>
      <w:tblGrid>
        <w:gridCol w:w="2466"/>
      </w:tblGrid>
      <w:tr>
        <w:trPr/>
        <w:tc>
          <w:tcPr>
            <w:tcW w:type="dxa" w:w="2466"/>
            <w:shd w:fill="EEF5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9"/>
              </w:rPr>
              <w:t>Задача пакета</w:t>
            </w:r>
          </w:p>
          <w:p>
            <w:pPr>
              <w:spacing w:after="0"/>
            </w:pPr>
            <w:r>
              <w:t>Построить широкую, законную и практически применимую карту: где читать, скачивать, брать в библиотеке, покупать, видеть оригинал или факсимиле; что можно индексировать, переводить, зеркалировать или использовать только как внешнюю ссылку.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DD"/>
          <w:left w:val="single" w:sz="4" w:space="0" w:color="C9D5DD"/>
          <w:bottom w:val="single" w:sz="4" w:space="0" w:color="C9D5DD"/>
          <w:right w:val="single" w:sz="4" w:space="0" w:color="C9D5DD"/>
          <w:insideH w:val="single" w:sz="4" w:space="0" w:color="C9D5DD"/>
          <w:insideV w:val="single" w:sz="4" w:space="0" w:color="C9D5DD"/>
        </w:tblBorders>
      </w:tblPr>
      <w:tblGrid>
        <w:gridCol w:w="2267"/>
        <w:gridCol w:w="7596"/>
        <w:gridCol w:w="2509"/>
        <w:gridCol w:w="2509"/>
      </w:tblGrid>
      <w:tr>
        <w:trPr/>
        <w:tc>
          <w:tcPr>
            <w:tcW w:type="dxa" w:w="2267"/>
            <w:shd w:fill="E5F1E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32"/>
              </w:rPr>
              <w:t>169</w:t>
            </w:r>
          </w:p>
        </w:tc>
        <w:tc>
          <w:tcPr>
            <w:tcW w:type="dxa" w:w="7596"/>
            <w:shd w:fill="E5F1E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32"/>
              </w:rPr>
              <w:t>99</w:t>
            </w:r>
          </w:p>
        </w:tc>
        <w:tc>
          <w:tcPr>
            <w:tcW w:type="dxa" w:w="2509"/>
            <w:shd w:fill="E5F1E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32"/>
              </w:rPr>
              <w:t>24</w:t>
            </w:r>
          </w:p>
        </w:tc>
        <w:tc>
          <w:tcPr>
            <w:tcW w:type="dxa" w:w="2509"/>
            <w:shd w:fill="F6F0E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B38A3E"/>
                <w:sz w:val="32"/>
              </w:rPr>
              <w:t>B</w:t>
            </w:r>
          </w:p>
        </w:tc>
      </w:tr>
      <w:tr>
        <w:trPr/>
        <w:tc>
          <w:tcPr>
            <w:tcW w:type="dxa" w:w="22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5B6573"/>
                <w:sz w:val="15"/>
              </w:rPr>
              <w:t>путей доступа</w:t>
            </w:r>
          </w:p>
        </w:tc>
        <w:tc>
          <w:tcPr>
            <w:tcW w:type="dxa" w:w="75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5B6573"/>
                <w:sz w:val="15"/>
              </w:rPr>
              <w:t>именованных первичных объектов*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5B6573"/>
                <w:sz w:val="15"/>
              </w:rPr>
              <w:t>центральных названий</w:t>
            </w:r>
          </w:p>
        </w:tc>
        <w:tc>
          <w:tcPr>
            <w:tcW w:type="dxa" w:w="25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5B6573"/>
                <w:sz w:val="15"/>
              </w:rPr>
              <w:t>исходный статус</w:t>
            </w:r>
          </w:p>
        </w:tc>
      </w:tr>
    </w:tbl>
    <w:p>
      <w:pPr>
        <w:spacing w:after="160"/>
      </w:pPr>
    </w:p>
    <w:p>
      <w:pPr>
        <w:pStyle w:val="Small"/>
      </w:pPr>
      <w:r>
        <w:rPr>
          <w:i/>
        </w:rPr>
        <w:t xml:space="preserve">* Дедупликация выполнена по именованным произведениям, корпусам и свидетелям; число ссылок не выдано за число произведений. </w:t>
      </w:r>
      <w:r>
        <w:t>Полный операционный перечень находится в XLSX-реестре.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D6DEE5"/>
          <w:insideV w:val="single" w:sz="4" w:space="0" w:color="D6DEE5"/>
        </w:tblBorders>
      </w:tblPr>
      <w:tblGrid>
        <w:gridCol w:w="2267"/>
        <w:gridCol w:w="7596"/>
      </w:tblGrid>
      <w:tr>
        <w:trPr/>
        <w:tc>
          <w:tcPr>
            <w:tcW w:type="dxa" w:w="22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Проверено</w:t>
            </w:r>
          </w:p>
        </w:tc>
        <w:tc>
          <w:tcPr>
            <w:tcW w:type="dxa" w:w="75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3 сентября 2026 года</w:t>
            </w:r>
          </w:p>
        </w:tc>
      </w:tr>
      <w:tr>
        <w:trPr/>
        <w:tc>
          <w:tcPr>
            <w:tcW w:type="dxa" w:w="22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Исходный документ</w:t>
            </w:r>
          </w:p>
        </w:tc>
        <w:tc>
          <w:tcPr>
            <w:tcW w:type="dxa" w:w="75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ToS Deep Research_ A35 — Герметические, гностические и мандеистские письменные комплексы поздней ант.docx</w:t>
            </w:r>
          </w:p>
        </w:tc>
      </w:tr>
      <w:tr>
        <w:trPr/>
        <w:tc>
          <w:tcPr>
            <w:tcW w:type="dxa" w:w="22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Статус строки</w:t>
            </w:r>
          </w:p>
        </w:tc>
        <w:tc>
          <w:tcPr>
            <w:tcW w:type="dxa" w:w="75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B · хорошо документированное ядро с неодинаковой полнотой цифрового доступа</w:t>
            </w:r>
          </w:p>
        </w:tc>
      </w:tr>
      <w:tr>
        <w:trPr/>
        <w:tc>
          <w:tcPr>
            <w:tcW w:type="dxa" w:w="22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Итоговые файлы</w:t>
            </w:r>
          </w:p>
        </w:tc>
        <w:tc>
          <w:tcPr>
            <w:tcW w:type="dxa" w:w="75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DOCX-отчёт + XLSX-реестр (листы registry и gaps)</w:t>
            </w:r>
          </w:p>
        </w:tc>
      </w:tr>
    </w:tbl>
    <w:p>
      <w:pPr>
        <w:spacing w:after="80"/>
      </w:pPr>
    </w:p>
    <w:p>
      <w:pPr>
        <w:pStyle w:val="Small"/>
      </w:pPr>
      <w:r>
        <w:rPr>
          <w:i/>
        </w:rPr>
        <w:t>Правовой статус описан исследовательски и по возможности доказательно; это не индивидуальная юридическая консультация.</w:t>
      </w:r>
    </w:p>
    <w:p>
      <w:r>
        <w:br w:type="page"/>
      </w:r>
    </w:p>
    <w:p>
      <w:pPr>
        <w:pStyle w:val="Heading1"/>
        <w:pBdr>
          <w:bottom w:val="single" w:sz="10" w:space="4" w:color="D9EAF7"/>
        </w:pBdr>
      </w:pPr>
      <w:r>
        <w:t>1. Паспорт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D6DEE5"/>
          <w:insideV w:val="single" w:sz="4" w:space="0" w:color="D6DEE5"/>
        </w:tblBorders>
      </w:tblPr>
      <w:tblGrid>
        <w:gridCol w:w="3288"/>
        <w:gridCol w:w="1587"/>
      </w:tblGrid>
      <w:tr>
        <w:trPr/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ID / название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BFCFD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7"/>
              </w:rPr>
              <w:t>A35 — Герметические, гностические и мандеистские письменные комплексы поздней античности</w:t>
            </w:r>
          </w:p>
        </w:tc>
      </w:tr>
      <w:tr>
        <w:trPr/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6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Исходный статус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7"/>
              </w:rPr>
              <w:t>B</w:t>
            </w:r>
          </w:p>
        </w:tc>
      </w:tr>
      <w:tr>
        <w:trPr/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Исходный DR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BFCFD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7"/>
              </w:rPr>
              <w:t>ToS Deep Research_ A35 — Герметические, гностические и мандеистские письменные комплексы поздней ант.docx</w:t>
            </w:r>
          </w:p>
        </w:tc>
      </w:tr>
      <w:tr>
        <w:trPr/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6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Дата проверки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7"/>
              </w:rPr>
              <w:t>3 сентября 2026 года</w:t>
            </w:r>
          </w:p>
        </w:tc>
      </w:tr>
      <w:tr>
        <w:trPr/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Языки поиска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BFCFD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7"/>
              </w:rPr>
              <w:t>русский, английский, французский, немецкий, латинский, древнегреческий; коптские и мандейские названия и транслитерации</w:t>
            </w:r>
          </w:p>
        </w:tc>
      </w:tr>
      <w:tr>
        <w:trPr/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6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Ядро корпуса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7"/>
              </w:rPr>
              <w:t>Corpus Hermeticum и Asclepius; Nag Hammadi Library и центральные трактаты; Ginza Rabba, Qolasta, Mandaean Book of John; ключевые свидетели передачи</w:t>
            </w:r>
          </w:p>
        </w:tc>
      </w:tr>
      <w:tr>
        <w:trPr/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Типы объектов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BFCFD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7"/>
              </w:rPr>
              <w:t>произведения, корпусы, переводы/издания, рукописи и папирусы, факсимиле, TEI/XML и datasets, каталоги, библиотечная выдача, preview и purchase</w:t>
            </w:r>
          </w:p>
        </w:tc>
      </w:tr>
      <w:tr>
        <w:trPr/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6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Принцип отбора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7"/>
              </w:rPr>
              <w:t>конкретная текстовая, корпусная, полемическая или трансмиссионная связь с A35; выход за формальный период не понижает релевантность</w:t>
            </w:r>
          </w:p>
        </w:tc>
      </w:tr>
    </w:tbl>
    <w:p>
      <w:pPr>
        <w:widowControl/>
      </w:pPr>
      <w:r>
        <w:t>Исходный Deep Research использован как карта поля, а не как закрытый инвентарь. Сначала были извлечены названные произведения, корпусы, языки, рукописные свидетели и линии передачи; затем выполнены отдельные проходы назад и вперёд по времени. В реестр включён каждый практически различимый законный путь доступа: полное чтение, загрузка, IIIF, открытые тексты и datasets, Controlled Digital Lending, preview, покупка и metadata-only.</w:t>
      </w:r>
    </w:p>
    <w:p>
      <w:pPr>
        <w:widowControl/>
      </w:pPr>
      <w:r>
        <w:t>Проверка прав велась по четырём отдельным слоям: исходное древнее произведение; конкретный перевод или редакция; цифровой объект — скан, фотография, OCR, TEI/XML либо dataset; условия платформы. Свободный древний оригинал нигде автоматически не перенесён на современный перевод, научную реконструкцию или фотографию.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F6B66"/>
          <w:left w:val="single" w:sz="8" w:space="0" w:color="2F6B66"/>
          <w:bottom w:val="single" w:sz="8" w:space="0" w:color="2F6B66"/>
          <w:right w:val="single" w:sz="8" w:space="0" w:color="2F6B66"/>
          <w:insideH w:val="single" w:sz="8" w:space="0" w:color="2F6B66"/>
          <w:insideV w:val="single" w:sz="8" w:space="0" w:color="2F6B66"/>
        </w:tblBorders>
      </w:tblPr>
      <w:tblGrid>
        <w:gridCol w:w="3685"/>
      </w:tblGrid>
      <w:tr>
        <w:trPr/>
        <w:tc>
          <w:tcPr>
            <w:tcW w:type="dxa" w:w="3685"/>
            <w:shd w:fill="E5F1E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9"/>
              </w:rPr>
              <w:t>Операционная единица</w:t>
            </w:r>
          </w:p>
          <w:p>
            <w:pPr>
              <w:spacing w:after="0"/>
            </w:pPr>
            <w:r>
              <w:t>Одна строка XLSX — один практически отличимый способ доступа к конкретному произведению, версии, свидетелю или цифровому объекту. Несколько форматов одного релиза объединены в одной строке.</w:t>
            </w:r>
          </w:p>
        </w:tc>
      </w:tr>
    </w:tbl>
    <w:p>
      <w:pPr>
        <w:pStyle w:val="Heading1"/>
        <w:pBdr>
          <w:bottom w:val="single" w:sz="10" w:space="4" w:color="D9EAF7"/>
        </w:pBdr>
      </w:pPr>
      <w:r>
        <w:t>2. Охват корпуса</w:t>
      </w:r>
    </w:p>
    <w:p>
      <w:pPr>
        <w:pStyle w:val="Heading2"/>
      </w:pPr>
      <w:r>
        <w:t>Ядро, извлечённое из исходного DR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Corpus Hermeticum и латинский Asclepius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Nag Hammadi Library: Apocryphon of John, Gospel of Thomas, Gospel of Truth, Tripartite Tractate, Gospel of Philip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герметический блок NHC VI: Discourse on the Eighth and Ninth, Prayer of Thanksgiving, Asclepius 21–29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мандеистские Ginza Rabba, Qolasta и Mandaean Book of John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свидетельства передачи: Irenaeus, Plotinus, Plato Republic excerpt, BL Or. 4926</w:t>
      </w:r>
    </w:p>
    <w:p>
      <w:pPr>
        <w:pStyle w:val="Heading2"/>
      </w:pPr>
      <w:r>
        <w:t>Что добавлено живым веб-поиском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Полный официальный индекс из 51 provisional French translation Université Laval — от NHC I до XIII, а также Berlin и Bruce Codices.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Открытый Coptic SCRIPTORIUM Gospel of Thomas: полный дипломатический коптский текст, CTS URN и TEI/PAULA/ANNIS exports под CC BY 4.0.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DCLP/Papyri.info и CC BY 3.0 XML-dataset idp.data для греческих Oxyrhynchus fragments и codex-level metadata.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Public-domain English translations на Gospels.net для Thomas, Mary, Philip, Truth, Secret Book of James и Judas.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Item-level страницы Claremont Nag Hammadi Archive, Digital Bodleian IIIF manifests, Berlin Codex Commons files и British Library metadata.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CAL Mandaic full-text pages для Book of John, Qolasta, Right/Left Ginza, Thousand Questions, Haran Gawaita и Sfar Malwašia.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Worlds of Mandaean Priests с CC BY-NC-SA 4.0 и four Digital Bodleian Mandaean manuscripts с IIIF.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Исторические public-domain-in-US слои Hermetica и Mandaica, современные publisher/borrow/preview paths и ключевые heresiological testimonia.</w:t>
      </w:r>
    </w:p>
    <w:p>
      <w:pPr>
        <w:pStyle w:val="Heading2"/>
      </w:pPr>
      <w:r>
        <w:t>Хронологический ореол</w:t>
      </w:r>
    </w:p>
    <w:p>
      <w:pPr>
        <w:widowControl/>
      </w:pPr>
      <w:r>
        <w:t>Поиск назад не ограничивался общим «фоном античности». Включены только объекты с конкретным входом в A35: Plato, Republic 588A–589B как прямой источник коптской адаптации NHC VI,5; Timaeus как документируемый космологический antecedent; Genesis 1–3 как конкретно перерабатываемый scriptural substrate; P.Oxy. 1, 654 и 655 как ранние греческие свидетели Thomas tradition.</w:t>
      </w:r>
    </w:p>
    <w:p>
      <w:pPr>
        <w:widowControl/>
      </w:pPr>
      <w:r>
        <w:t>Поиск вперёд охватил тексты, через которые материал был сохранён, оспорен или канонизирован: Irenaeus, Hippolytus, Tertullian, Clement, Epiphanius, Plotinus II.9, Stobaeus, Lactantius, Askew/Bruce/Codex Tchacos, латинскую Ficino transmission и современные критические серии. Они не расширяют исторические границы мастер-строки, а маркируются как antecedent, continuation, commentary_or_reception либо transmission_or_preservation.</w:t>
      </w:r>
    </w:p>
    <w:p>
      <w:pPr>
        <w:pStyle w:val="Heading2"/>
      </w:pPr>
      <w:r>
        <w:t>Количественная рамка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4"/>
          <w:left w:val="single" w:sz="4" w:space="0" w:color="D3DCE4"/>
          <w:bottom w:val="single" w:sz="4" w:space="0" w:color="D3DCE4"/>
          <w:right w:val="single" w:sz="4" w:space="0" w:color="D3DCE4"/>
          <w:insideH w:val="single" w:sz="4" w:space="0" w:color="D3DCE4"/>
          <w:insideV w:val="single" w:sz="4" w:space="0" w:color="D3DCE4"/>
        </w:tblBorders>
      </w:tblPr>
      <w:tblGrid>
        <w:gridCol w:w="3174"/>
        <w:gridCol w:w="4081"/>
        <w:gridCol w:w="2607"/>
      </w:tblGrid>
      <w:tr>
        <w:trPr>
          <w:tblHeader w:val="true"/>
        </w:trPr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40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26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Как читать</w:t>
            </w:r>
          </w:p>
        </w:tc>
      </w:tr>
      <w:tr>
        <w:trPr/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Практически отличимые пути доступа</w:t>
            </w:r>
          </w:p>
        </w:tc>
        <w:tc>
          <w:tcPr>
            <w:tcW w:type="dxa" w:w="40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20"/>
              </w:rPr>
              <w:t>169</w:t>
            </w:r>
          </w:p>
        </w:tc>
        <w:tc>
          <w:tcPr>
            <w:tcW w:type="dxa" w:w="26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точное число строк registry</w:t>
            </w:r>
          </w:p>
        </w:tc>
      </w:tr>
      <w:tr>
        <w:trPr/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Именованные первичные объекты</w:t>
            </w:r>
          </w:p>
        </w:tc>
        <w:tc>
          <w:tcPr>
            <w:tcW w:type="dxa" w:w="40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20"/>
              </w:rPr>
              <w:t>99</w:t>
            </w:r>
          </w:p>
        </w:tc>
        <w:tc>
          <w:tcPr>
            <w:tcW w:type="dxa" w:w="26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дедупликация по названию; editions и repositories не считаются новыми works</w:t>
            </w:r>
          </w:p>
        </w:tc>
      </w:tr>
      <w:tr>
        <w:trPr/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Центральные названия</w:t>
            </w:r>
          </w:p>
        </w:tc>
        <w:tc>
          <w:tcPr>
            <w:tcW w:type="dxa" w:w="40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20"/>
              </w:rPr>
              <w:t>24</w:t>
            </w:r>
          </w:p>
        </w:tc>
        <w:tc>
          <w:tcPr>
            <w:tcW w:type="dxa" w:w="26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уникальные work/corpus titles, имеющие хотя бы одну запись core</w:t>
            </w:r>
          </w:p>
        </w:tc>
      </w:tr>
      <w:tr>
        <w:trPr/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Пробелы / follow-up candidates</w:t>
            </w:r>
          </w:p>
        </w:tc>
        <w:tc>
          <w:tcPr>
            <w:tcW w:type="dxa" w:w="40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20"/>
              </w:rPr>
              <w:t>14</w:t>
            </w:r>
          </w:p>
        </w:tc>
        <w:tc>
          <w:tcPr>
            <w:tcW w:type="dxa" w:w="26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отдельный лист gaps; не замаскированы общими порталами</w:t>
            </w:r>
          </w:p>
        </w:tc>
      </w:tr>
    </w:tbl>
    <w:p>
      <w:pPr>
        <w:pStyle w:val="Heading3"/>
      </w:pPr>
      <w:r>
        <w:t>Распределение записей по релевантности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CE4"/>
          <w:left w:val="single" w:sz="4" w:space="0" w:color="D3DCE4"/>
          <w:bottom w:val="single" w:sz="4" w:space="0" w:color="D3DCE4"/>
          <w:right w:val="single" w:sz="4" w:space="0" w:color="D3DCE4"/>
          <w:insideH w:val="single" w:sz="4" w:space="0" w:color="D3DCE4"/>
          <w:insideV w:val="single" w:sz="4" w:space="0" w:color="D3DCE4"/>
        </w:tblBorders>
        <w:tblLayout w:type="fixed"/>
      </w:tblPr>
      <w:tblGrid>
        <w:gridCol w:w="2494"/>
        <w:gridCol w:w="3571"/>
        <w:gridCol w:w="3798"/>
      </w:tblGrid>
      <w:tr>
        <w:trPr>
          <w:tblHeader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6B6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relevance</w:t>
            </w:r>
          </w:p>
        </w:tc>
        <w:tc>
          <w:tcPr>
            <w:tcW w:type="dxa" w:w="35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6B6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Пути доступа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6B6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Роль</w:t>
            </w:r>
          </w:p>
        </w:tc>
      </w:tr>
      <w:tr>
        <w:trPr/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core</w:t>
            </w:r>
          </w:p>
        </w:tc>
        <w:tc>
          <w:tcPr>
            <w:tcW w:type="dxa" w:w="35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7"/>
              </w:rPr>
              <w:t>52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центральные объекты</w:t>
            </w:r>
          </w:p>
        </w:tc>
      </w:tr>
      <w:tr>
        <w:trPr/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same_corpus_or_tradition</w:t>
            </w:r>
          </w:p>
        </w:tc>
        <w:tc>
          <w:tcPr>
            <w:tcW w:type="dxa" w:w="35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7"/>
              </w:rPr>
              <w:t>59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тот же корпус/традиция</w:t>
            </w:r>
          </w:p>
        </w:tc>
      </w:tr>
      <w:tr>
        <w:trPr/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antecedent</w:t>
            </w:r>
          </w:p>
        </w:tc>
        <w:tc>
          <w:tcPr>
            <w:tcW w:type="dxa" w:w="35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7"/>
              </w:rPr>
              <w:t>7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предшественники</w:t>
            </w:r>
          </w:p>
        </w:tc>
      </w:tr>
      <w:tr>
        <w:trPr/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continuation</w:t>
            </w:r>
          </w:p>
        </w:tc>
        <w:tc>
          <w:tcPr>
            <w:tcW w:type="dxa" w:w="35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7"/>
              </w:rPr>
              <w:t>2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продолжения</w:t>
            </w:r>
          </w:p>
        </w:tc>
      </w:tr>
      <w:tr>
        <w:trPr/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commentary_or_reception</w:t>
            </w:r>
          </w:p>
        </w:tc>
        <w:tc>
          <w:tcPr>
            <w:tcW w:type="dxa" w:w="35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7"/>
              </w:rPr>
              <w:t>9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комментарии/рецепция</w:t>
            </w:r>
          </w:p>
        </w:tc>
      </w:tr>
      <w:tr>
        <w:trPr/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transmission_or_preservation</w:t>
            </w:r>
          </w:p>
        </w:tc>
        <w:tc>
          <w:tcPr>
            <w:tcW w:type="dxa" w:w="35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7"/>
              </w:rPr>
              <w:t>23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передача/сохранение</w:t>
            </w:r>
          </w:p>
        </w:tc>
      </w:tr>
      <w:tr>
        <w:trPr/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supporting</w:t>
            </w:r>
          </w:p>
        </w:tc>
        <w:tc>
          <w:tcPr>
            <w:tcW w:type="dxa" w:w="35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7"/>
              </w:rPr>
              <w:t>4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вспомогательные</w:t>
            </w:r>
          </w:p>
        </w:tc>
      </w:tr>
      <w:tr>
        <w:trPr/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boundary</w:t>
            </w:r>
          </w:p>
        </w:tc>
        <w:tc>
          <w:tcPr>
            <w:tcW w:type="dxa" w:w="35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7"/>
              </w:rPr>
              <w:t>1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пограничные</w:t>
            </w:r>
          </w:p>
        </w:tc>
      </w:tr>
      <w:tr>
        <w:trPr/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infrastructure</w:t>
            </w:r>
          </w:p>
        </w:tc>
        <w:tc>
          <w:tcPr>
            <w:tcW w:type="dxa" w:w="35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7"/>
              </w:rPr>
              <w:t>7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инфраструктура</w:t>
            </w:r>
          </w:p>
        </w:tc>
      </w:tr>
      <w:tr>
        <w:trPr/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secondary_navigation</w:t>
            </w:r>
          </w:p>
        </w:tc>
        <w:tc>
          <w:tcPr>
            <w:tcW w:type="dxa" w:w="35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7"/>
              </w:rPr>
              <w:t>5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вторичная навигация</w:t>
            </w:r>
          </w:p>
        </w:tc>
      </w:tr>
    </w:tbl>
    <w:p>
      <w:pPr>
        <w:pStyle w:val="Small"/>
      </w:pPr>
      <w:r>
        <w:rPr>
          <w:i/>
        </w:rPr>
        <w:t>Здесь считаются записи доступа, а не произведения: несколько законных путей к одному тексту остаются несколькими строками.</w:t>
      </w:r>
    </w:p>
    <w:p>
      <w:pPr>
        <w:pStyle w:val="Heading1"/>
        <w:pBdr>
          <w:bottom w:val="single" w:sz="10" w:space="4" w:color="D9EAF7"/>
        </w:pBdr>
      </w:pPr>
      <w:r>
        <w:t>3. Лучшие пути доступа</w:t>
      </w:r>
    </w:p>
    <w:p>
      <w:pPr>
        <w:pStyle w:val="Heading2"/>
      </w:pPr>
      <w:r>
        <w:t>Corpus Hermeticum и Asclepius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Бесплатное чтение и скачивание: исторические издания Everard, Parthey, Mead и Scott на Internet Archive; Wikisource даёт вычитанные слои для Everard и Parthey.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Оригинальный язык / основа перевода: греко-латинское издание Parthey 1854 — наиболее чистый публичнодоменный слой; Scaife Viewer — лучший CTS-навигационный вход, но лицензию проверяют на уровне edition.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Современный научный вариант: Copenhaver, Hermetica (Cambridge); Litwa, Hermetica II; французская серия Budé, включая том V с NHC VI и армянскими Definitions.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Рецепция и сохранение: Stobaeus, Lactantius и ранние латинские Ficino-факсимиле.</w:t>
      </w:r>
    </w:p>
    <w:p>
      <w:pPr>
        <w:pStyle w:val="Heading2"/>
      </w:pPr>
      <w:r>
        <w:t>Nag Hammadi Library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Самый широкий бесплатный официальный слой: 51 отдельный provisional French PDF проекта Bibliothèque copte de Nag Hammadi (Université Laval).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Самый свободный английский слой для отдельных евангелий: переводы Mark M. Mattison на Gospels.net, прямо переданные в public domain.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Лучший машиночитаемый оригинал: Coptic SCRIPTORIUM Gospel of Thomas (CC BY 4.0, TEI/PAULA/ANNIS); для греческих фрагментов Thomas — DCLP/Papyri.info и idp.data (CC BY 3.0).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Факсимиле: Claremont Nag Hammadi Archive для отдельных страниц; права на фотографии требуют item-level проверки.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Современные полные английские сборники: Robinson через Controlled Digital Lending и Meyer через preview/purchase.</w:t>
      </w:r>
    </w:p>
    <w:p>
      <w:pPr>
        <w:pStyle w:val="Heading2"/>
      </w:pPr>
      <w:r>
        <w:t>Центральные тексты NHC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Apocryphon of John, Gospel of Truth, Tripartite Tractate, Discourse on the Eighth and Ninth, Prayer of Thanksgiving и Asclepius 21–29 получили официальный французский PDF Université Laval.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Gospel of Thomas дополнительно имеет открытый Coptic SCRIPTORIUM слой, три греческих Oxyrhynchus fragments и public-domain English translation.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Gospel of Philip и Gospel of Truth дополнительно имеют public-domain English translations на Gospels.net.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Legacy pages Gnostic Society сохранены как полезные ссылки, но на дату проверки возвращали ошибку автоматического доступа; права не подтверждены.</w:t>
      </w:r>
    </w:p>
    <w:p>
      <w:pPr>
        <w:pStyle w:val="Heading2"/>
      </w:pPr>
      <w:r>
        <w:t>Мандеистские комплексы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Оригинальный/лингвистический просмотр: CAL даёт полнотекстовые Mandaic HTML для Book of John, Qolasta, Right/Left Ginza и ряда связанных книг, но открытая лицензия не найдена.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Исторические издания: немецкие Lidzbarski scans на Wikimedia Commons и Internet Archive; public-domain вывод надёжен для США и life+70, но требует проверки для Мексики.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Лучший современный бесплатный английский путь: Häberl–McGrath, The Mandaean Book of John, institutional PDF с разрешением некоммерческого распространения.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Факсимиле: Digital Bodleian IIIF для четырёх Mandaean manuscripts и University of Exeter Worlds of Mandaean Priests; оба слоя пригодны для некоммерческого ToS при соблюдении item-level условий.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Современные Ginza/Qolasta с ясной цифровой лицензией остаются главным пробелом.</w:t>
      </w:r>
    </w:p>
    <w:p>
      <w:pPr>
        <w:pStyle w:val="Heading2"/>
      </w:pPr>
      <w:r>
        <w:t>Полемика, testimonia и рецепция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Irenaeus, Hippolytus, Tertullian, Clement и Epiphanius включены как тексты сохранения и переоформления гностического материала.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Plotinus, Ennead II.9 включён как прямой философский ответ гностикам: есть исторические бесплатные версии и современный платный научный том.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Ficino-вitnesses показывают ренессансную канонизацию Hermetica; Askew/Bruce/Codex Tchacos — продолжения и соседние линии позднеантичного сохранения.</w:t>
      </w:r>
    </w:p>
    <w:p>
      <w:pPr>
        <w:pStyle w:val="Heading2"/>
      </w:pPr>
      <w:r>
        <w:t>Ключевые item-level входы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4"/>
          <w:left w:val="single" w:sz="4" w:space="0" w:color="D3DCE4"/>
          <w:bottom w:val="single" w:sz="4" w:space="0" w:color="D3DCE4"/>
          <w:right w:val="single" w:sz="4" w:space="0" w:color="D3DCE4"/>
          <w:insideH w:val="single" w:sz="4" w:space="0" w:color="D3DCE4"/>
          <w:insideV w:val="single" w:sz="4" w:space="0" w:color="D3DCE4"/>
        </w:tblBorders>
      </w:tblPr>
      <w:tblGrid>
        <w:gridCol w:w="850"/>
        <w:gridCol w:w="2721"/>
        <w:gridCol w:w="6292"/>
      </w:tblGrid>
      <w:tr>
        <w:trPr>
          <w:tblHeader w:val="true"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Практическая ценность</w:t>
            </w:r>
          </w:p>
        </w:tc>
        <w:tc>
          <w:tcPr>
            <w:tcW w:type="dxa" w:w="62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Проверяемая страница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Coptic SCRIPTORIUM — Gospel of Thomas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CC BY 4.0; TEI/PAULA/ANNIS</w:t>
            </w:r>
          </w:p>
        </w:tc>
        <w:tc>
          <w:tcPr>
            <w:tcW w:type="dxa" w:w="62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1">
              <w:r>
                <w:rPr>
                  <w:color w:val="1F4E78"/>
                  <w:u w:val="single"/>
                  <w:rFonts w:ascii="Liberation Sans" w:hAnsi="Liberation Sans" w:eastAsia="Liberation Sans"/>
                  <w:sz w:val="18"/>
                </w:rPr>
                <w:t>открыть источник</w:t>
              </w:r>
            </w:hyperlink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Université Laval — BCNH translations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51 официальных PDF; free download, no blanket mirror</w:t>
            </w:r>
          </w:p>
        </w:tc>
        <w:tc>
          <w:tcPr>
            <w:tcW w:type="dxa" w:w="62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2">
              <w:r>
                <w:rPr>
                  <w:color w:val="1F4E78"/>
                  <w:u w:val="single"/>
                  <w:rFonts w:ascii="Liberation Sans" w:hAnsi="Liberation Sans" w:eastAsia="Liberation Sans"/>
                  <w:sz w:val="18"/>
                </w:rPr>
                <w:t>открыть источник</w:t>
              </w:r>
            </w:hyperlink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Gospels.net — Mattison translations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public-domain dedication for translation text</w:t>
            </w:r>
          </w:p>
        </w:tc>
        <w:tc>
          <w:tcPr>
            <w:tcW w:type="dxa" w:w="62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3">
              <w:r>
                <w:rPr>
                  <w:color w:val="1F4E78"/>
                  <w:u w:val="single"/>
                  <w:rFonts w:ascii="Liberation Sans" w:hAnsi="Liberation Sans" w:eastAsia="Liberation Sans"/>
                  <w:sz w:val="18"/>
                </w:rPr>
                <w:t>открыть источник</w:t>
              </w:r>
            </w:hyperlink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Papyri.info / idp.data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DCLP records; XML dataset CC BY 3.0</w:t>
            </w:r>
          </w:p>
        </w:tc>
        <w:tc>
          <w:tcPr>
            <w:tcW w:type="dxa" w:w="62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4">
              <w:r>
                <w:rPr>
                  <w:color w:val="1F4E78"/>
                  <w:u w:val="single"/>
                  <w:rFonts w:ascii="Liberation Sans" w:hAnsi="Liberation Sans" w:eastAsia="Liberation Sans"/>
                  <w:sz w:val="18"/>
                </w:rPr>
                <w:t>открыть источник</w:t>
              </w:r>
            </w:hyperlink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Digital Bodleian terms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most images CC BY-NC 4.0; item exceptions</w:t>
            </w:r>
          </w:p>
        </w:tc>
        <w:tc>
          <w:tcPr>
            <w:tcW w:type="dxa" w:w="62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5">
              <w:r>
                <w:rPr>
                  <w:color w:val="1F4E78"/>
                  <w:u w:val="single"/>
                  <w:rFonts w:ascii="Liberation Sans" w:hAnsi="Liberation Sans" w:eastAsia="Liberation Sans"/>
                  <w:sz w:val="18"/>
                </w:rPr>
                <w:t>открыть источник</w:t>
              </w:r>
            </w:hyperlink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Worlds of Mandaean Priests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original content CC BY-NC-SA 4.0</w:t>
            </w:r>
          </w:p>
        </w:tc>
        <w:tc>
          <w:tcPr>
            <w:tcW w:type="dxa" w:w="62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6">
              <w:r>
                <w:rPr>
                  <w:color w:val="1F4E78"/>
                  <w:u w:val="single"/>
                  <w:rFonts w:ascii="Liberation Sans" w:hAnsi="Liberation Sans" w:eastAsia="Liberation Sans"/>
                  <w:sz w:val="18"/>
                </w:rPr>
                <w:t>открыть источник</w:t>
              </w:r>
            </w:hyperlink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Mandaean Book of John — Butler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free noncommercial sharing of distributed PDF</w:t>
            </w:r>
          </w:p>
        </w:tc>
        <w:tc>
          <w:tcPr>
            <w:tcW w:type="dxa" w:w="62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7">
              <w:r>
                <w:rPr>
                  <w:color w:val="1F4E78"/>
                  <w:u w:val="single"/>
                  <w:rFonts w:ascii="Liberation Sans" w:hAnsi="Liberation Sans" w:eastAsia="Liberation Sans"/>
                  <w:sz w:val="18"/>
                </w:rPr>
                <w:t>открыть источник</w:t>
              </w:r>
            </w:hyperlink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Wikimedia Commons — Lidzbarski Ginza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file-level public-domain notices; jurisdiction caution</w:t>
            </w:r>
          </w:p>
        </w:tc>
        <w:tc>
          <w:tcPr>
            <w:tcW w:type="dxa" w:w="62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8">
              <w:r>
                <w:rPr>
                  <w:color w:val="1F4E78"/>
                  <w:u w:val="single"/>
                  <w:rFonts w:ascii="Liberation Sans" w:hAnsi="Liberation Sans" w:eastAsia="Liberation Sans"/>
                  <w:sz w:val="18"/>
                </w:rPr>
                <w:t>открыть источник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38A3E"/>
          <w:left w:val="single" w:sz="8" w:space="0" w:color="B38A3E"/>
          <w:bottom w:val="single" w:sz="8" w:space="0" w:color="B38A3E"/>
          <w:right w:val="single" w:sz="8" w:space="0" w:color="B38A3E"/>
          <w:insideH w:val="single" w:sz="8" w:space="0" w:color="B38A3E"/>
          <w:insideV w:val="single" w:sz="8" w:space="0" w:color="B38A3E"/>
        </w:tblBorders>
      </w:tblPr>
      <w:tblGrid>
        <w:gridCol w:w="2267"/>
      </w:tblGrid>
      <w:tr>
        <w:trPr/>
        <w:tc>
          <w:tcPr>
            <w:tcW w:type="dxa" w:w="2267"/>
            <w:shd w:fill="F6F0E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/>
                <w:color w:val="B38A3E"/>
                <w:sz w:val="19"/>
              </w:rPr>
              <w:t>Не смешивать «лучший научный» и «самый свободный»</w:t>
            </w:r>
          </w:p>
          <w:p>
            <w:pPr>
              <w:spacing w:after="0"/>
            </w:pPr>
            <w:r>
              <w:t>Parthey, SCRIPTORIUM, DCLP и исторические scans дают наиболее свободные слои. Copenhaver, Litwa, Budé, Robinson, Meyer, Williams и Häberl–McGrath дают более современную научную ориентацию, но их современные редакционные решения и переводы защищены.</w:t>
            </w:r>
          </w:p>
        </w:tc>
      </w:tr>
    </w:tbl>
    <w:p>
      <w:pPr>
        <w:pStyle w:val="Heading1"/>
        <w:pBdr>
          <w:bottom w:val="single" w:sz="10" w:space="4" w:color="D9EAF7"/>
        </w:pBdr>
      </w:pPr>
      <w:r>
        <w:t>4. Карта прав и практического использования</w:t>
      </w:r>
    </w:p>
    <w:p>
      <w:pPr>
        <w:widowControl/>
      </w:pPr>
      <w:r>
        <w:t>Ниже сгруппированы не отдельные записи, а повторяющиеся режимы. Любой положительный тег действует только в пределах rights_scope и coverage конкретной строки XLSX. Наличие RIGHTS_REVIEW_REQUIRED блокирует автоматическое расширение разрешения на другие компоненты.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4"/>
          <w:left w:val="single" w:sz="4" w:space="0" w:color="D3DCE4"/>
          <w:bottom w:val="single" w:sz="4" w:space="0" w:color="D3DCE4"/>
          <w:right w:val="single" w:sz="4" w:space="0" w:color="D3DCE4"/>
          <w:insideH w:val="single" w:sz="4" w:space="0" w:color="D3DCE4"/>
          <w:insideV w:val="single" w:sz="4" w:space="0" w:color="D3DCE4"/>
        </w:tblBorders>
      </w:tblPr>
      <w:tblGrid>
        <w:gridCol w:w="2494"/>
        <w:gridCol w:w="3572"/>
        <w:gridCol w:w="3798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Режим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Типичные объекты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Что практически допустимо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Открытые / наиболее переиспользуемые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Coptic SCRIPTORIUM Thomas; Papyri.info idp.data; Mattison/Gospels.net translations; отдельные public-domain historical editions.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MIRROR_WITH_ATTRIBUTION или MIRROR_OK; FULLTEXT_INDEX_OK; EMBEDDINGS_OK; OWN_TRANSLATION_POSSIBLE только от подтверждённого original-language layer.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Некоммерческие с условиями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Digital Bodleian images; Worlds of Mandaean Priests; Butler Book of John PDF.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CC BY-NC; CC BY-NC-SA; noncommercial unchanged sharing. Нужны атрибуция, scope control, иногда ShareAlike/UNCHANGED_ONLY.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Бесплатное чтение/скачивание без доказанного mirror right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Université Laval PDFs; CAL Mandaic; часть Internet Archive scans; Claremont images; New Advent/CCEL presentations.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LINK_OK; FREE_READ/FREE_DOWNLOAD; LOCAL_RESEARCH_COPY. Публичное зеркало — только после permission или item-level review.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Библиотечная выдача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Robinson Nag Hammadi Library; modern Corpus Hermeticum; Drower monographs/editions.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LIBRARY_BORROW; LINK_ONLY. CDL не даёт права извлекать и публиковать файл.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Preview / purchase / institutional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Copenhaver, Litwa, Budé, Meyer, Williams, modern publisher editions.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PREVIEW_ONLY; PURCHASE; institutional access. Современные переводы и apparatus — In Copyright.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6"/>
              </w:rPr>
              <w:t>Metadata only / incomplete witnesses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BL Or. 4926; Askew Codex catalogue; Archives Hub finding aids.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METADATA_ONLY; LINK_ONLY. Не считать карточку полноценным доступом к произведению.</w:t>
            </w:r>
          </w:p>
        </w:tc>
      </w:tr>
    </w:tbl>
    <w:p>
      <w:pPr>
        <w:pStyle w:val="Heading2"/>
      </w:pPr>
      <w:r>
        <w:t>Где ToS может потенциально зеркалировать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Coptic SCRIPTORIUM Gospel of Thomas — с атрибуцией и сохранением CC BY 4.0.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Papyri.info/idp.data XML — с атрибуцией по CC BY 3.0; linked manuscript images не входят автоматически.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Mark M. Mattison translations — translation text is public domain; site design/images остаются отдельными.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Digital Bodleian и Worlds of Mandaean Priests — некоммерчески, с атрибуцией; для WMP также ShareAlike; item-level exceptions обязательны.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Butler Mandaean Book of John — только неизменённый distributed PDF, noncommercial sharing и сохранение notices.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Public-domain historical scans — только в юрисдикции, где соответствующий edition действительно свободен; source scan rights и platform terms проверяются отдельно.</w:t>
      </w:r>
    </w:p>
    <w:p>
      <w:pPr>
        <w:pStyle w:val="Heading2"/>
      </w:pPr>
      <w:r>
        <w:t>Где возможен собственный перевод ToS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Полный Coptic Gospel of Thomas: открытая diplomatic edition SCRIPTORIUM.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Greek Thomas fragments: P.Oxy. 1, 654, 655 через DCLP/IDP и P.Oxy. 1 facsimile; перевод возможен только в объёме fragments.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Corpus Hermeticum в пределах public-domain Greek/Latin Parthey edition; современными critical editions следует проверять чтения, но не копировать их protected reconstruction.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Отдельные Bruce и Mandaean witnesses: по accessible facsimile, только в пределах конкретного witness и при соблюдении image licence.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Lidzbarski Mandaic layers: потенциально пригодны в US/life+70 jurisdictions; для Мексики требуется ручная проверка до истечения life+100.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CAL texts не получили безусловный OWN_TRANSLATION_POSSIBLE: древний work свободен, но licence электронной transcription не установлена.</w:t>
      </w:r>
    </w:p>
    <w:p>
      <w:pPr>
        <w:pStyle w:val="Heading1"/>
        <w:pBdr>
          <w:bottom w:val="single" w:sz="10" w:space="4" w:color="D9EAF7"/>
        </w:pBdr>
      </w:pPr>
      <w:r>
        <w:t>5. Характерные правовые тонкости</w:t>
      </w:r>
    </w:p>
    <w:p>
      <w:pPr>
        <w:pStyle w:val="ReportBullet"/>
        <w:ind w:left="312" w:hanging="159"/>
      </w:pPr>
      <w:r>
        <w:rPr>
          <w:b/>
          <w:color w:val="B38A3E"/>
        </w:rPr>
        <w:t xml:space="preserve">• </w:t>
      </w:r>
      <w:r>
        <w:rPr>
          <w:b/>
          <w:color w:val="17365D"/>
        </w:rPr>
        <w:t xml:space="preserve">Древний work ≠ свободный современный translation. </w:t>
      </w:r>
      <w:r>
        <w:t>Corpus Hermeticum, Nag Hammadi texts и Mandaean works исторически древние, однако Copenhaver, Meyer, Robinson, BCNH, Häberl–McGrath, Williams и другие современные версии имеют самостоятельный copyright.</w:t>
      </w:r>
    </w:p>
    <w:p>
      <w:pPr>
        <w:pStyle w:val="ReportBullet"/>
        <w:ind w:left="312" w:hanging="159"/>
      </w:pPr>
      <w:r>
        <w:rPr>
          <w:b/>
          <w:color w:val="B38A3E"/>
        </w:rPr>
        <w:t xml:space="preserve">• </w:t>
      </w:r>
      <w:r>
        <w:rPr>
          <w:b/>
          <w:color w:val="17365D"/>
        </w:rPr>
        <w:t xml:space="preserve">Фотография рукописи — отдельный объект. </w:t>
      </w:r>
      <w:r>
        <w:t>Claremont, Digital Bodleian, Commons и музейные страницы могут показывать один и тот же ancient witness, но разрешение на text не переносится на photograph/IIIF image.</w:t>
      </w:r>
    </w:p>
    <w:p>
      <w:pPr>
        <w:pStyle w:val="ReportBullet"/>
        <w:ind w:left="312" w:hanging="159"/>
      </w:pPr>
      <w:r>
        <w:rPr>
          <w:b/>
          <w:color w:val="B38A3E"/>
        </w:rPr>
        <w:t xml:space="preserve">• </w:t>
      </w:r>
      <w:r>
        <w:rPr>
          <w:b/>
          <w:color w:val="17365D"/>
        </w:rPr>
        <w:t xml:space="preserve">Лицензия проекта не покрывает third-party materials. </w:t>
      </w:r>
      <w:r>
        <w:t>CC BY-NC-SA 4.0 Worlds of Mandaean Priests относится к original project content; сторонние images, manuscripts и quotations проверяются отдельно.</w:t>
      </w:r>
    </w:p>
    <w:p>
      <w:pPr>
        <w:pStyle w:val="ReportBullet"/>
        <w:ind w:left="312" w:hanging="159"/>
      </w:pPr>
      <w:r>
        <w:rPr>
          <w:b/>
          <w:color w:val="B38A3E"/>
        </w:rPr>
        <w:t xml:space="preserve">• </w:t>
      </w:r>
      <w:r>
        <w:rPr>
          <w:b/>
          <w:color w:val="17365D"/>
        </w:rPr>
        <w:t xml:space="preserve">Free download не означает mirror right. </w:t>
      </w:r>
      <w:r>
        <w:t>Université Laval PDF и некоторые Internet Archive scans законно скачиваются для чтения, но отсутствие явной open licence не позволяет автоматически публиковать копию на ToS.</w:t>
      </w:r>
    </w:p>
    <w:p>
      <w:pPr>
        <w:pStyle w:val="ReportBullet"/>
        <w:ind w:left="312" w:hanging="159"/>
      </w:pPr>
      <w:r>
        <w:rPr>
          <w:b/>
          <w:color w:val="B38A3E"/>
        </w:rPr>
        <w:t xml:space="preserve">• </w:t>
      </w:r>
      <w:r>
        <w:rPr>
          <w:b/>
          <w:color w:val="17365D"/>
        </w:rPr>
        <w:t xml:space="preserve">Controlled Digital Lending остаётся выдачей. </w:t>
      </w:r>
      <w:r>
        <w:t>Borrowed Robinson, Corpus Hermeticum и Drower editions нельзя превращать в локальный публичный corpus или раздавать пользователям.</w:t>
      </w:r>
    </w:p>
    <w:p>
      <w:pPr>
        <w:pStyle w:val="ReportBullet"/>
        <w:ind w:left="312" w:hanging="159"/>
      </w:pPr>
      <w:r>
        <w:rPr>
          <w:b/>
          <w:color w:val="B38A3E"/>
        </w:rPr>
        <w:t xml:space="preserve">• </w:t>
      </w:r>
      <w:r>
        <w:rPr>
          <w:b/>
          <w:color w:val="17365D"/>
        </w:rPr>
        <w:t xml:space="preserve">Юрисдикции расходятся. </w:t>
      </w:r>
      <w:r>
        <w:t>Project Gutenberg и Commons часто опираются на public-domain status в США. Для Мексики действует особенно длинный срок life+100; Lidzbarski и Mead требуют отдельной temporal/jurisdiction review.</w:t>
      </w:r>
    </w:p>
    <w:p>
      <w:pPr>
        <w:pStyle w:val="ReportBullet"/>
        <w:ind w:left="312" w:hanging="159"/>
      </w:pPr>
      <w:r>
        <w:rPr>
          <w:b/>
          <w:color w:val="B38A3E"/>
        </w:rPr>
        <w:t xml:space="preserve">• </w:t>
      </w:r>
      <w:r>
        <w:rPr>
          <w:b/>
          <w:color w:val="17365D"/>
        </w:rPr>
        <w:t xml:space="preserve">Права внутри одного PDF могут быть смешанными. </w:t>
      </w:r>
      <w:r>
        <w:t>Butler Book of John разрешает noncommercial sharing полного PDF, но fonts, critical reconstruction, translation, layout и extracted data не становятся автоматически открытым dataset.</w:t>
      </w:r>
    </w:p>
    <w:p>
      <w:pPr>
        <w:pStyle w:val="ReportBullet"/>
        <w:ind w:left="312" w:hanging="159"/>
      </w:pPr>
      <w:r>
        <w:rPr>
          <w:b/>
          <w:color w:val="B38A3E"/>
        </w:rPr>
        <w:t xml:space="preserve">• </w:t>
      </w:r>
      <w:r>
        <w:rPr>
          <w:b/>
          <w:color w:val="17365D"/>
        </w:rPr>
        <w:t xml:space="preserve">OWN_TRANSLATION_POSSIBLE всегда ограничен coverage. </w:t>
      </w:r>
      <w:r>
        <w:t>P.Oxy. fragment позволяет перевести fragment; один Bodleian witness — только его сохранившийся текст; ни один такой тег не обещает полный корпус.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9C2F2F"/>
          <w:left w:val="single" w:sz="8" w:space="0" w:color="9C2F2F"/>
          <w:bottom w:val="single" w:sz="8" w:space="0" w:color="9C2F2F"/>
          <w:right w:val="single" w:sz="8" w:space="0" w:color="9C2F2F"/>
          <w:insideH w:val="single" w:sz="8" w:space="0" w:color="9C2F2F"/>
          <w:insideV w:val="single" w:sz="8" w:space="0" w:color="9C2F2F"/>
        </w:tblBorders>
      </w:tblPr>
      <w:tblGrid>
        <w:gridCol w:w="10036"/>
      </w:tblGrid>
      <w:tr>
        <w:trPr/>
        <w:tc>
          <w:tcPr>
            <w:tcW w:type="dxa" w:w="10036"/>
            <w:shd w:fill="F9EAE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/>
                <w:color w:val="9C2F2F"/>
                <w:sz w:val="19"/>
              </w:rPr>
              <w:t>Практическое правило для pipeline</w:t>
            </w:r>
          </w:p>
          <w:p>
            <w:pPr>
              <w:spacing w:after="0"/>
            </w:pPr>
            <w:r>
              <w:t>До ingest фиксировать три поля: конкретный digital object, его rights evidence URL и точный rights_scope. Только после этого включать mirror, public full-text index, embeddings или derivative translation workflow.</w:t>
            </w:r>
          </w:p>
        </w:tc>
      </w:tr>
    </w:tbl>
    <w:p>
      <w:pPr>
        <w:pStyle w:val="Heading1"/>
        <w:pBdr>
          <w:bottom w:val="single" w:sz="10" w:space="4" w:color="D9EAF7"/>
        </w:pBdr>
      </w:pPr>
      <w:r>
        <w:t>6. Пробелы и дальнейший поиск</w:t>
      </w:r>
    </w:p>
    <w:p>
      <w:pPr>
        <w:widowControl/>
      </w:pPr>
      <w:r>
        <w:t>Пробелы вынесены в отдельный лист gaps того же XLSX. Это не случайные соседние темы, а объекты, непосредственно влияющие на полноту A35: полные факсимиле, item-level rights, современные critical layers, Mandaic data licence и линии передачи, ещё не получившие надёжный цифровой вход.</w:t>
      </w:r>
    </w:p>
    <w:p>
      <w:pPr>
        <w:pStyle w:val="Heading2"/>
      </w:pPr>
      <w:r>
        <w:t>Главные незакрытые объекты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Полный официальный page-by-page facsimile всех Nag Hammadi codices с однородными stable manifests и item-level rights.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Полный BL Or. 4926 facsimile: сейчас подтверждена только официальная metadata record.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Berlin Codex 8502 и Askew Codex: нужна complete authoritative digitization с единым rights statement.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Codex Tchacos: нужен открытый Coptic transcription/facsimile package, а не только public-domain English translation.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Ginza Rabba и Qolasta: нужны complete current English/Mandaic critical editions с ясной digital licence.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CAL Mandaic: требуется explicit permission или open-data statement для bulk export, mirroring, indexing и embeddings.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Русские authorized translations core works систематически не покрыты.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Armenian Definitions и Arabic Hermetica требуют отдельного item-level pass.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Полная карта Stobaean Hermetic excerpts к open Greek CTS/TEI editions ещё не построена.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>
        <w:t>Gnosis.org legacy pages требуют повторной ручной проверки после автоматических 502 errors.</w:t>
      </w:r>
    </w:p>
    <w:p>
      <w:pPr>
        <w:pStyle w:val="Heading2"/>
      </w:pPr>
      <w:r>
        <w:t>Targeted follow-up, по приоритету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4"/>
          <w:left w:val="single" w:sz="4" w:space="0" w:color="D3DCE4"/>
          <w:bottom w:val="single" w:sz="4" w:space="0" w:color="D3DCE4"/>
          <w:right w:val="single" w:sz="4" w:space="0" w:color="D3DCE4"/>
          <w:insideH w:val="single" w:sz="4" w:space="0" w:color="D3DCE4"/>
          <w:insideV w:val="single" w:sz="4" w:space="0" w:color="D3DCE4"/>
        </w:tblBorders>
      </w:tblPr>
      <w:tblGrid>
        <w:gridCol w:w="850"/>
        <w:gridCol w:w="2721"/>
        <w:gridCol w:w="6293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6B6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6B6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6B6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Конкретное действие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8"/>
              </w:rPr>
              <w:t>1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Coptic Museum / Claremont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сопоставить все codex leaves, проверить completeness и rights per image; получить list/IIIF if available.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8"/>
              </w:rPr>
              <w:t>2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British Library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найти или запросить digitization BL Or. 4926 и Add MS 5114; зафиксировать image reuse terms.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8"/>
              </w:rPr>
              <w:t>3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Papyrussammlung Berlin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разыскать official Berlin Codex 8502 image set и shelfmark-level rights statement.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8"/>
              </w:rPr>
              <w:t>4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CAL maintainers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запросить условия research corpus download, public full-text index и embeddings; отделить transcription от lexicon interface.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8"/>
              </w:rPr>
              <w:t>5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Mandaean community publishers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item-level проверить current Ginza, Qolasta and Arabic/English editions, purchase links и permissions для noncommercial educational linking.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8"/>
              </w:rPr>
              <w:t>6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Open Greek and Latin / Scaife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собрать exact CTS URNs и licences for Corpus Hermeticum, Plotinus II.9 and Stobaean excerpts.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8"/>
              </w:rPr>
              <w:t>7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Russian-language pass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искать по translators, ISBN, publisher pages, eLibrary/repositories and national library catalogues; исключить unauthorized mirrors.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8"/>
              </w:rPr>
              <w:t>8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Armenian/Arabic Hermetica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искать manuscript catalogues, open critical texts and authorized translations by original title/transliteration.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8"/>
              </w:rPr>
              <w:t>9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Legacy link recovery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повторно открыть Gnosis.org item pages; при сбое определить source edition, а не использовать archived copy как rights evidence.</w:t>
            </w:r>
          </w:p>
        </w:tc>
      </w:tr>
      <w:tr>
        <w:trPr/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8"/>
              </w:rPr>
              <w:t>10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1F4E78"/>
                <w:sz w:val="16"/>
              </w:rPr>
              <w:t>Drower collection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6"/>
              </w:rPr>
              <w:t>расширить Digital Bodleian item mapping от четырёх witnesses к Ginza/Qolasta/Book of John and priestly scrolls.</w:t>
            </w:r>
          </w:p>
        </w:tc>
      </w:tr>
    </w:tbl>
    <w:p>
      <w:pPr>
        <w:pStyle w:val="Heading2"/>
      </w:pPr>
      <w:r>
        <w:t>Ссылки и права, требующие повторной проверки</w:t>
      </w:r>
    </w:p>
    <w:p>
      <w:pPr>
        <w:widowControl/>
      </w:pPr>
      <w:r>
        <w:t>Восемь legacy translation pages Gnostic Society Library сохранены в registry со статусом temporarily_unavailable, low rights confidence и без положительных reuse claims. Claremont image records и Commons categories сохранены как item-level routes, но никакая category-level availability не интерпретирована как единая лицензия. Internet Archive scans современных или поздних scholarly editions оставлены как read/download/borrow paths без предположения о mirror rights.</w:t>
      </w:r>
    </w:p>
    <w:p>
      <w:pPr>
        <w:pStyle w:val="Heading1"/>
        <w:pBdr>
          <w:bottom w:val="single" w:sz="10" w:space="4" w:color="D9EAF7"/>
        </w:pBdr>
      </w:pPr>
      <w: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4"/>
          <w:left w:val="single" w:sz="4" w:space="0" w:color="D3DCE4"/>
          <w:bottom w:val="single" w:sz="4" w:space="0" w:color="D3DCE4"/>
          <w:right w:val="single" w:sz="4" w:space="0" w:color="D3DCE4"/>
          <w:insideH w:val="single" w:sz="4" w:space="0" w:color="D3DCE4"/>
          <w:insideV w:val="single" w:sz="4" w:space="0" w:color="D3DCE4"/>
        </w:tblBorders>
      </w:tblPr>
      <w:tblGrid>
        <w:gridCol w:w="2268"/>
        <w:gridCol w:w="7597"/>
      </w:tblGrid>
      <w:tr>
        <w:trPr/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Покрытие корпуса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7"/>
              </w:rPr>
              <w:t>Высокое для именованного ядра и прямых корпусных родственников. Все основные произведения из исходного DR имеют как минимум один путь доступа либо явный gap; Nag Hammadi translation layer покрыт особенно широко.</w:t>
            </w:r>
          </w:p>
        </w:tc>
      </w:tr>
      <w:tr>
        <w:trPr/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6B66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Доступность оригиналов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7"/>
              </w:rPr>
              <w:t>Сильная точечно: complete Coptic Thomas, Greek Thomas fragments, historical Greek/Latin Hermetica, Bruce and selected Mandaean facsimiles. Главный дефицит — complete uniform facsimile set of all Nag Hammadi codices and several British Library witnesses.</w:t>
            </w:r>
          </w:p>
        </w:tc>
      </w:tr>
      <w:tr>
        <w:trPr/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Доступность переводов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7"/>
              </w:rPr>
              <w:t>Очень высокая по французскому Nag Hammadi layer; высокая по английским Hermetica и selected gnostic texts; умеренная по modern Mandaean corpus. Систематический русский legal layer остаётся пробелом.</w:t>
            </w:r>
          </w:p>
        </w:tc>
      </w:tr>
      <w:tr>
        <w:trPr/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6B66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Наиболее свободный слой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7"/>
              </w:rPr>
              <w:t>CC BY 4.0 Coptic SCRIPTORIUM, CC BY 3.0 Papyri.info data, public-domain Mattison translations, public-domain historical editions and item-level CC BY-NC/CC BY-NC-SA facsimiles.</w:t>
            </w:r>
          </w:p>
        </w:tc>
      </w:tr>
      <w:tr>
        <w:trPr/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Главные ограничения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7"/>
              </w:rPr>
              <w:t>Modern critical editions and translations, manuscript photography, inconsistent item-level rights, CAL reuse uncertainty, jurisdictional divergence between US public domain and Mexico life+100.</w:t>
            </w:r>
          </w:p>
        </w:tc>
      </w:tr>
      <w:tr>
        <w:trPr/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6B66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Готовность для Codex</w:t>
            </w:r>
          </w:p>
        </w:tc>
        <w:tc>
          <w:tcPr>
            <w:tcW w:type="dxa" w:w="50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20242A"/>
                <w:sz w:val="17"/>
              </w:rPr>
              <w:t>Пакет пригоден для передачи Codex: schema is flat, record IDs stable within A35, rights_scope and coverage explicit, gaps separated, no global ontology or premature relationship graph imposed.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2F6B66"/>
          <w:left w:val="single" w:sz="8" w:space="0" w:color="2F6B66"/>
          <w:bottom w:val="single" w:sz="8" w:space="0" w:color="2F6B66"/>
          <w:right w:val="single" w:sz="8" w:space="0" w:color="2F6B66"/>
          <w:insideH w:val="single" w:sz="8" w:space="0" w:color="2F6B66"/>
          <w:insideV w:val="single" w:sz="8" w:space="0" w:color="2F6B66"/>
        </w:tblBorders>
      </w:tblPr>
      <w:tblGrid>
        <w:gridCol w:w="10036"/>
      </w:tblGrid>
      <w:tr>
        <w:trPr/>
        <w:tc>
          <w:tcPr>
            <w:tcW w:type="dxa" w:w="10036"/>
            <w:shd w:fill="E5F1E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/>
                <w:color w:val="2F6B66"/>
                <w:sz w:val="19"/>
              </w:rPr>
              <w:t>Итог</w:t>
            </w:r>
          </w:p>
          <w:p>
            <w:pPr>
              <w:spacing w:after="0"/>
            </w:pPr>
            <w:r>
              <w:t>Реестр содержит 169 практически отличимых путей доступа и 14 честно зафиксированных пробелов. Он сохраняет read-only, download, borrow, preview, purchase and metadata-only options, не смешивает copyright layers и даёт конкретные основания для будущих ingest/translation decisions.</w:t>
            </w:r>
          </w:p>
        </w:tc>
      </w:tr>
    </w:tbl>
    <w:p>
      <w:pPr>
        <w:pStyle w:val="Heading2"/>
      </w:pPr>
      <w:r>
        <w:t>Краткая легенда к XLSX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/>
      <w:r>
        <w:rPr>
          <w:rFonts w:ascii="Liberation Mono" w:hAnsi="Liberation Mono"/>
          <w:b/>
          <w:color w:val="1F4E78"/>
          <w:sz w:val="17"/>
        </w:rPr>
        <w:t>access_mode</w:t>
      </w:r>
      <w:r>
        <w:t xml:space="preserve"> показывает, что реально может сделать пользователь на сайте.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/>
      <w:r>
        <w:rPr>
          <w:rFonts w:ascii="Liberation Mono" w:hAnsi="Liberation Mono"/>
          <w:b/>
          <w:color w:val="1F4E78"/>
          <w:sz w:val="17"/>
        </w:rPr>
        <w:t>coverage</w:t>
      </w:r>
      <w:r>
        <w:t xml:space="preserve"> ограничивает объём: complete work, selected sections, fragment, single witness или metadata only.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/>
      <w:r>
        <w:rPr>
          <w:rFonts w:ascii="Liberation Mono" w:hAnsi="Liberation Mono"/>
          <w:b/>
          <w:color w:val="1F4E78"/>
          <w:sz w:val="17"/>
        </w:rPr>
        <w:t>rights_scope</w:t>
      </w:r>
      <w:r>
        <w:t xml:space="preserve"> определяет компонент, к которому относится licence/rights statement.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/>
      <w:r>
        <w:rPr>
          <w:rFonts w:ascii="Liberation Mono" w:hAnsi="Liberation Mono"/>
          <w:b/>
          <w:color w:val="1F4E78"/>
          <w:sz w:val="17"/>
        </w:rPr>
        <w:t>tos_use</w:t>
      </w:r>
      <w:r>
        <w:t xml:space="preserve"> — практические теги, но они действуют только вместе с rights_scope, coverage и notes.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/>
      <w:r>
        <w:rPr>
          <w:rFonts w:ascii="Liberation Mono" w:hAnsi="Liberation Mono"/>
          <w:b/>
          <w:color w:val="1F4E78"/>
          <w:sz w:val="17"/>
        </w:rPr>
        <w:t>own_translation_basis</w:t>
      </w:r>
      <w:r>
        <w:t xml:space="preserve"> фиксирует конкретную основу; защищённый modern translation не считается такой основой.</w:t>
      </w:r>
    </w:p>
    <w:p>
      <w:pPr>
        <w:pStyle w:val="ReportBullet"/>
        <w:ind w:left="312" w:hanging="159"/>
      </w:pPr>
      <w:r>
        <w:rPr>
          <w:b/>
          <w:color w:val="2F6B66"/>
        </w:rPr>
        <w:t xml:space="preserve">• </w:t>
      </w:r>
      <w:r/>
      <w:r>
        <w:rPr>
          <w:rFonts w:ascii="Liberation Mono" w:hAnsi="Liberation Mono"/>
          <w:b/>
          <w:color w:val="1F4E78"/>
          <w:sz w:val="17"/>
        </w:rPr>
        <w:t>rights_confidence</w:t>
      </w:r>
      <w:r>
        <w:t xml:space="preserve"> оценивает доказательность вывода, а не историческую значимость объекта.</w:t>
      </w:r>
    </w:p>
    <w:p>
      <w:pPr>
        <w:pStyle w:val="Small"/>
        <w:spacing w:before="240"/>
        <w:jc w:val="center"/>
      </w:pPr>
      <w:r>
        <w:rPr>
          <w:b/>
        </w:rPr>
        <w:t>Конец отчёта · A35 · ToS Corpus &amp; Rights Registry · 3 сентября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54"/>
      <w:gridCol w:w="2381"/>
    </w:tblGrid>
    <w:tr>
      <w:tc>
        <w:tcPr>
          <w:tcW w:type="dxa" w:w="5017"/>
          <w:vAlign w:val="center"/>
          <w:tcMar>
            <w:top w:w="80" w:type="dxa"/>
            <w:start w:w="90" w:type="dxa"/>
            <w:bottom w:w="80" w:type="dxa"/>
            <w:end w:w="90" w:type="dxa"/>
          </w:tcMar>
        </w:tcPr>
        <w:p>
          <w:pPr>
            <w:spacing w:after="0"/>
          </w:pPr>
          <w:r/>
          <w:r>
            <w:rPr>
              <w:rFonts w:ascii="Liberation Sans" w:hAnsi="Liberation Sans" w:eastAsia="Liberation Sans"/>
              <w:b w:val="0"/>
              <w:color w:val="5B6573"/>
              <w:sz w:val="14"/>
            </w:rPr>
            <w:t>ToS Corpus &amp; Rights Registry · проверено 03.09.2026</w:t>
          </w:r>
        </w:p>
      </w:tc>
      <w:tc>
        <w:tcPr>
          <w:tcW w:type="dxa" w:w="5017"/>
        </w:tcPr>
        <w:p>
          <w:pPr>
            <w:spacing w:after="0"/>
            <w:jc w:val="right"/>
          </w:pPr>
          <w:r>
            <w:rPr>
              <w:rFonts w:ascii="Liberation Sans" w:hAnsi="Liberation Sans"/>
              <w:color w:val="5B6573"/>
              <w:sz w:val="14"/>
            </w:rPr>
            <w:t xml:space="preserve">стр.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51" w:val="right"/>
      </w:tabs>
      <w:spacing w:after="0"/>
      <w:jc w:val="left"/>
    </w:pPr>
    <w:r>
      <w:rPr>
        <w:rFonts w:ascii="Liberation Sans" w:hAnsi="Liberation Sans" w:eastAsia="Liberation Sans"/>
        <w:b/>
        <w:color w:val="5B6573"/>
        <w:sz w:val="15"/>
      </w:rPr>
      <w:t>TREE OF SOPHIA  ·  CORPUS &amp; RIGHTS</w:t>
    </w:r>
    <w:r>
      <w:rPr>
        <w:color w:val="1F4E78"/>
      </w:rPr>
      <w:tab/>
      <w:t>A35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47" w:lineRule="auto"/>
    </w:pPr>
    <w:rPr>
      <w:rFonts w:ascii="Liberation Sans" w:hAnsi="Liberation Sans" w:eastAsia="Liberation Sans"/>
      <w:color w:val="2024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6B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 w:eastAsia="Liberation Sans"/>
      <w:b w:val="0"/>
      <w:i/>
      <w:iCs/>
      <w:color w:val="2F6B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Liberation Sans" w:hAnsi="Liberation Sans" w:eastAsia="Liberation Sans"/>
      <w:color w:val="5B6573"/>
      <w:sz w:val="16"/>
    </w:rPr>
  </w:style>
  <w:style w:type="paragraph" w:customStyle="1" w:styleId="ReportBullet">
    <w:name w:val="Report Bullet"/>
    <w:basedOn w:val="Normal"/>
    <w:pPr>
      <w:spacing w:after="44"/>
      <w:ind w:left="312" w:hanging="159"/>
    </w:pPr>
    <w:rPr>
      <w:rFonts w:ascii="Liberation Sans" w:hAnsi="Liberation Sans" w:eastAsia="Liberation San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ata.copticscriptorium.org/texts/thomasgospel/gospel-of-thomas/dipl/" TargetMode="External"/><Relationship Id="rId12" Type="http://schemas.openxmlformats.org/officeDocument/2006/relationships/hyperlink" Target="https://www.naghammadi.org/en/translations" TargetMode="External"/><Relationship Id="rId13" Type="http://schemas.openxmlformats.org/officeDocument/2006/relationships/hyperlink" Target="https://www.gospels.net/thomas" TargetMode="External"/><Relationship Id="rId14" Type="http://schemas.openxmlformats.org/officeDocument/2006/relationships/hyperlink" Target="https://github.com/papyri/idp.data" TargetMode="External"/><Relationship Id="rId15" Type="http://schemas.openxmlformats.org/officeDocument/2006/relationships/hyperlink" Target="https://digital.bodleian.ox.ac.uk/terms/" TargetMode="External"/><Relationship Id="rId16" Type="http://schemas.openxmlformats.org/officeDocument/2006/relationships/hyperlink" Target="https://mandaeanpriests.exeter.ac.uk/terms-and-conditions" TargetMode="External"/><Relationship Id="rId17" Type="http://schemas.openxmlformats.org/officeDocument/2006/relationships/hyperlink" Target="https://digitalcommons.butler.edu/facsch_papers/1065/" TargetMode="External"/><Relationship Id="rId18" Type="http://schemas.openxmlformats.org/officeDocument/2006/relationships/hyperlink" Target="https://commons.wikimedia.org/wiki/File:LidzbarskiGinz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A35</dc:title>
  <dc:subject>Герметические, гностические и мандеистские письменные комплексы поздней античности</dc:subject>
  <dc:creator>Tree of Sophia research workflow</dc:creator>
  <cp:keywords>ToS, A35, Corpus Hermeticum, Nag Hammadi, Mandaeism, rights, digital access</cp:keywords>
  <dc:description>Research package checked 2026-09-03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