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T2-12 • Андалусско-магрибская философия и медицина</w:t>
      </w:r>
    </w:p>
    <w:p>
      <w:pPr>
        <w:pStyle w:val="Subtitle"/>
      </w:pPr>
      <w:r>
        <w:t>80 записей доступа  |  не менее 50 первичных текстовых единиц  |  34 пробела</w:t>
      </w:r>
    </w:p>
    <w:p>
      <w:pPr>
        <w:pStyle w:val="Heading1"/>
      </w:pPr>
      <w:r>
        <w:t>1. Паспорт</w:t>
      </w:r>
    </w:p>
    <w:tbl>
      <w:tblPr>
        <w:tblW w:type="auto" w:w="0"/>
        <w:jc w:val="center"/>
        <w:tblLayout w:type="fixed"/>
        <w:tblLook w:firstColumn="1" w:firstRow="1" w:lastColumn="0" w:lastRow="0" w:noHBand="0" w:noVBand="1" w:val="04A0"/>
      </w:tblPr>
      <w:tblGrid>
        <w:gridCol w:w="1757"/>
        <w:gridCol w:w="7767"/>
      </w:tblGrid>
      <w:tr>
        <w:trPr>
          <w:cantSplit/>
          <w:tblHeader/>
        </w:trPr>
        <w:tc>
          <w:tcPr>
            <w:tcW w:type="dxa" w:w="1757"/>
            <w:vAlign w:val="top"/>
            <w:shd w:fill="17354A"/>
          </w:tcPr>
          <w:p>
            <w:pPr>
              <w:spacing w:after="80" w:before="80" w:line="254" w:lineRule="auto"/>
            </w:pPr>
            <w:r>
              <w:rPr>
                <w:b/>
                <w:color w:val="FFFFFF"/>
                <w:sz w:val="17"/>
              </w:rPr>
              <w:t>Параметр</w:t>
            </w:r>
          </w:p>
        </w:tc>
        <w:tc>
          <w:tcPr>
            <w:tcW w:type="dxa" w:w="7767"/>
            <w:vAlign w:val="top"/>
            <w:shd w:fill="17354A"/>
          </w:tcPr>
          <w:p>
            <w:pPr>
              <w:spacing w:after="80" w:before="80" w:line="254" w:lineRule="auto"/>
            </w:pPr>
            <w:r>
              <w:rPr>
                <w:b/>
                <w:color w:val="FFFFFF"/>
                <w:sz w:val="17"/>
              </w:rPr>
              <w:t>Значение</w:t>
            </w:r>
          </w:p>
        </w:tc>
      </w:tr>
      <w:tr>
        <w:trPr>
          <w:cantSplit/>
        </w:trPr>
        <w:tc>
          <w:tcPr>
            <w:tcW w:type="dxa" w:w="1757"/>
            <w:vAlign w:val="top"/>
            <w:shd w:fill="F0F5F6"/>
          </w:tcPr>
          <w:p>
            <w:pPr>
              <w:spacing w:after="80" w:before="80" w:line="254" w:lineRule="auto"/>
            </w:pPr>
            <w:r>
              <w:rPr>
                <w:sz w:val="17"/>
              </w:rPr>
              <w:t>Мастер-строка</w:t>
            </w:r>
          </w:p>
        </w:tc>
        <w:tc>
          <w:tcPr>
            <w:tcW w:type="dxa" w:w="7767"/>
            <w:vAlign w:val="top"/>
            <w:shd w:fill="F0F5F6"/>
          </w:tcPr>
          <w:p>
            <w:pPr>
              <w:spacing w:after="80" w:before="80" w:line="254" w:lineRule="auto"/>
            </w:pPr>
            <w:r>
              <w:rPr>
                <w:sz w:val="17"/>
              </w:rPr>
              <w:t>T2-12; Таблица II; исходный статус A, уверенность 5/5 — без изменений.</w:t>
            </w:r>
          </w:p>
        </w:tc>
      </w:tr>
      <w:tr>
        <w:trPr>
          <w:cantSplit/>
        </w:trPr>
        <w:tc>
          <w:tcPr>
            <w:tcW w:type="dxa" w:w="1757"/>
            <w:vAlign w:val="top"/>
            <w:shd w:fill="FFFFFF"/>
          </w:tcPr>
          <w:p>
            <w:pPr>
              <w:spacing w:after="80" w:before="80" w:line="254" w:lineRule="auto"/>
            </w:pPr>
            <w:r>
              <w:rPr>
                <w:sz w:val="17"/>
              </w:rPr>
              <w:t>Исторические границы</w:t>
            </w:r>
          </w:p>
        </w:tc>
        <w:tc>
          <w:tcPr>
            <w:tcW w:type="dxa" w:w="7767"/>
            <w:vAlign w:val="top"/>
            <w:shd w:fill="FFFFFF"/>
          </w:tcPr>
          <w:p>
            <w:pPr>
              <w:spacing w:after="80" w:before="80" w:line="254" w:lineRule="auto"/>
            </w:pPr>
            <w:r>
              <w:rPr>
                <w:sz w:val="17"/>
              </w:rPr>
              <w:t>Формирование X–XII вв.; письменная передача X–XIII вв.; канонизация/комментарий XII–XIII вв. Авторское ядро — XI–XII вв.</w:t>
            </w:r>
          </w:p>
        </w:tc>
      </w:tr>
      <w:tr>
        <w:trPr>
          <w:cantSplit/>
        </w:trPr>
        <w:tc>
          <w:tcPr>
            <w:tcW w:type="dxa" w:w="1757"/>
            <w:vAlign w:val="top"/>
            <w:shd w:fill="F0F5F6"/>
          </w:tcPr>
          <w:p>
            <w:pPr>
              <w:spacing w:after="80" w:before="80" w:line="254" w:lineRule="auto"/>
            </w:pPr>
            <w:r>
              <w:rPr>
                <w:sz w:val="17"/>
              </w:rPr>
              <w:t>Исходный документ</w:t>
            </w:r>
          </w:p>
        </w:tc>
        <w:tc>
          <w:tcPr>
            <w:tcW w:type="dxa" w:w="7767"/>
            <w:vAlign w:val="top"/>
            <w:shd w:fill="F0F5F6"/>
          </w:tcPr>
          <w:p>
            <w:pPr>
              <w:spacing w:after="80" w:before="80" w:line="254" w:lineRule="auto"/>
            </w:pPr>
            <w:r>
              <w:rPr>
                <w:sz w:val="17"/>
              </w:rPr>
              <w:t>ToS Deep Research_ T2-12 — Андалусско-магрибская философия и медицина(1).docx. Использованы прежде всего разделы 1, 6, 12–17; исходник не редактировался.</w:t>
            </w:r>
          </w:p>
        </w:tc>
      </w:tr>
      <w:tr>
        <w:trPr>
          <w:cantSplit/>
        </w:trPr>
        <w:tc>
          <w:tcPr>
            <w:tcW w:type="dxa" w:w="1757"/>
            <w:vAlign w:val="top"/>
            <w:shd w:fill="FFFFFF"/>
          </w:tcPr>
          <w:p>
            <w:pPr>
              <w:spacing w:after="80" w:before="80" w:line="254" w:lineRule="auto"/>
            </w:pPr>
            <w:r>
              <w:rPr>
                <w:sz w:val="17"/>
              </w:rPr>
              <w:t>Дата и результат</w:t>
            </w:r>
          </w:p>
        </w:tc>
        <w:tc>
          <w:tcPr>
            <w:tcW w:type="dxa" w:w="7767"/>
            <w:vAlign w:val="top"/>
            <w:shd w:fill="FFFFFF"/>
          </w:tcPr>
          <w:p>
            <w:pPr>
              <w:spacing w:after="80" w:before="80" w:line="254" w:lineRule="auto"/>
            </w:pPr>
            <w:r>
              <w:rPr>
                <w:sz w:val="17"/>
              </w:rPr>
              <w:t>Веб-проверка: 4 сентября 2026 г. Реестр: registry, 80 строк × 32 поля; gaps, 34 записи. Отчёт объясняет те же результаты.</w:t>
            </w:r>
          </w:p>
        </w:tc>
      </w:tr>
      <w:tr>
        <w:trPr>
          <w:cantSplit/>
        </w:trPr>
        <w:tc>
          <w:tcPr>
            <w:tcW w:type="dxa" w:w="1757"/>
            <w:vAlign w:val="top"/>
            <w:shd w:fill="F0F5F6"/>
          </w:tcPr>
          <w:p>
            <w:pPr>
              <w:spacing w:after="80" w:before="80" w:line="254" w:lineRule="auto"/>
            </w:pPr>
            <w:r>
              <w:rPr>
                <w:sz w:val="17"/>
              </w:rPr>
              <w:t>Языки поиска</w:t>
            </w:r>
          </w:p>
        </w:tc>
        <w:tc>
          <w:tcPr>
            <w:tcW w:type="dxa" w:w="7767"/>
            <w:vAlign w:val="top"/>
            <w:shd w:fill="F0F5F6"/>
          </w:tcPr>
          <w:p>
            <w:pPr>
              <w:spacing w:after="80" w:before="80" w:line="254" w:lineRule="auto"/>
            </w:pPr>
            <w:r>
              <w:rPr>
                <w:sz w:val="17"/>
              </w:rPr>
              <w:t>Арабский, английский, русский, французский, испанский, немецкий; латинские и еврейские заглавия, транслитерации и библиотечные шифры.</w:t>
            </w:r>
          </w:p>
        </w:tc>
      </w:tr>
      <w:tr>
        <w:trPr>
          <w:cantSplit/>
        </w:trPr>
        <w:tc>
          <w:tcPr>
            <w:tcW w:type="dxa" w:w="1757"/>
            <w:vAlign w:val="top"/>
            <w:shd w:fill="FFFFFF"/>
          </w:tcPr>
          <w:p>
            <w:pPr>
              <w:spacing w:after="80" w:before="80" w:line="254" w:lineRule="auto"/>
            </w:pPr>
            <w:r>
              <w:rPr>
                <w:sz w:val="17"/>
              </w:rPr>
              <w:t>Обозначения</w:t>
            </w:r>
          </w:p>
        </w:tc>
        <w:tc>
          <w:tcPr>
            <w:tcW w:type="dxa" w:w="7767"/>
            <w:vAlign w:val="top"/>
            <w:shd w:fill="FFFFFF"/>
          </w:tcPr>
          <w:p>
            <w:pPr>
              <w:spacing w:after="80" w:before="80" w:line="254" w:lineRule="auto"/>
            </w:pPr>
            <w:r>
              <w:rPr>
                <w:sz w:val="17"/>
              </w:rPr>
              <w:t>R001–R080 в отчёте сокращают record_id T2-12-R001–T2-12-R080. Ссылки после абзацев ведут к источникам этих записей. Все условия находятся в XLSX.</w:t>
            </w:r>
          </w:p>
        </w:tc>
      </w:tr>
    </w:tbl>
    <w:p>
      <w:pPr>
        <w:spacing w:after="20"/>
      </w:pPr>
    </w:p>
    <w:p>
      <w:r>
        <w:t>Ядром считались четыре связанных авторских комплекса: философия и медицина Ибн Баджжи; Ḥayy и медицинская поэзия Ибн Туфайля; комментарии, самостоятельные трактаты и медицина Ибн Рушда; медицинское окружение Ибн Зухра. Поздние переводы, компиляции и суперкомментарии включались по конкретной текстовой связи, не по одной географии или принадлежности к исламу.</w:t>
      </w:r>
    </w:p>
    <w:p>
      <w:r>
        <w:t>Искались произведения и сборники, критические издания, переводы, отдельные рукописи и ранняя печать, цифровые тексты, сканы, XML и корпусные пакеты. Граф и задачи из внутренних рекомендаций DR не создавались. Эпиграфический массив не оказался необходимым для данного читаемого рукописного узла.</w:t>
      </w:r>
    </w:p>
    <w:p>
      <w:r>
        <w:t>Для доступа использованы официальные DARE, GRAR и SIEPM, QDL/British Library, Bodleian, Wellcome, институциональные коллекции NLM и Robarts на Internet Archive, Hindawi, издатели и библиотечные каталоги. Идентификация опиралась на издания, академические библиографии, ISBN, DOI и шифры. Права проверялись по item-level statements, лицензиям и уведомлениям в PDF; общий сайт не подменял права его компонентов.</w:t>
      </w:r>
    </w:p>
    <w:p>
      <w:r>
        <w:t>Wikipedia не используется в результате как доказательство. Поисковые выдачи и слабые подсказки не превращались в установленный доступ: нерешённые кандидаты, включая литературную генеалогию и неразобранный русский многоавторский сборник, оставлены в gaps. Неавторизованные современные копии исключены.</w:t>
      </w:r>
    </w:p>
    <w:p>
      <w:r>
        <w:br w:type="page"/>
      </w:r>
    </w:p>
    <w:p>
      <w:pPr>
        <w:pStyle w:val="Heading1"/>
      </w:pPr>
      <w:r>
        <w:t>2. Охват корпуса</w:t>
      </w:r>
    </w:p>
    <w:p>
      <w:pPr>
        <w:pStyle w:val="Heading2"/>
      </w:pPr>
      <w:r>
        <w:t>Исходное ядро и веб-расширение</w:t>
      </w:r>
    </w:p>
    <w:p>
      <w:r>
        <w:t>Из DR перешли Tadbīr al-mutawaḥḥid, послания о прощании и соединении, Pococke 206, логико-натурфилософский и медицинский корпус Баджжи; Ḥayy Туфайля; Faṣl, Tahāfut, аристотелевские комментарии, Kulliyyāt и галеновские сочинения Рушда; Taysīr Зухра. Для Escorial 612, отдельных логических текстов и полного Sharḥ fī al-Fuṣūl сохранены явные пробелы: общий сборник или исследовательская статья не подменяют все самостоятельные произведения.</w:t>
      </w:r>
      <w:r>
        <w:t xml:space="preserve"> </w:t>
      </w:r>
      <w:hyperlink r:id="rId11">
        <w:r>
          <w:rPr>
            <w:color w:val="17636B"/>
            <w:u w:val="single"/>
            <w:sz w:val="17"/>
          </w:rPr>
          <w:t>[R001]</w:t>
        </w:r>
      </w:hyperlink>
      <w:r>
        <w:t xml:space="preserve"> · </w:t>
      </w:r>
      <w:hyperlink r:id="rId12">
        <w:r>
          <w:rPr>
            <w:color w:val="17636B"/>
            <w:u w:val="single"/>
            <w:sz w:val="17"/>
          </w:rPr>
          <w:t>[R002]</w:t>
        </w:r>
      </w:hyperlink>
      <w:r>
        <w:t xml:space="preserve"> · </w:t>
      </w:r>
      <w:hyperlink r:id="rId13">
        <w:r>
          <w:rPr>
            <w:color w:val="17636B"/>
            <w:u w:val="single"/>
            <w:sz w:val="17"/>
          </w:rPr>
          <w:t>[R006]</w:t>
        </w:r>
      </w:hyperlink>
      <w:r>
        <w:t xml:space="preserve"> · </w:t>
      </w:r>
      <w:hyperlink r:id="rId14">
        <w:r>
          <w:rPr>
            <w:color w:val="17636B"/>
            <w:u w:val="single"/>
            <w:sz w:val="17"/>
          </w:rPr>
          <w:t>[R007]</w:t>
        </w:r>
      </w:hyperlink>
      <w:r>
        <w:t xml:space="preserve"> · </w:t>
      </w:r>
      <w:hyperlink r:id="rId15">
        <w:r>
          <w:rPr>
            <w:color w:val="17636B"/>
            <w:u w:val="single"/>
            <w:sz w:val="17"/>
          </w:rPr>
          <w:t>[R008]</w:t>
        </w:r>
      </w:hyperlink>
      <w:r>
        <w:t xml:space="preserve"> · </w:t>
      </w:r>
      <w:hyperlink r:id="rId16">
        <w:r>
          <w:rPr>
            <w:color w:val="17636B"/>
            <w:u w:val="single"/>
            <w:sz w:val="17"/>
          </w:rPr>
          <w:t>[R011]</w:t>
        </w:r>
      </w:hyperlink>
      <w:r>
        <w:t xml:space="preserve"> · </w:t>
      </w:r>
      <w:hyperlink r:id="rId17">
        <w:r>
          <w:rPr>
            <w:color w:val="17636B"/>
            <w:u w:val="single"/>
            <w:sz w:val="17"/>
          </w:rPr>
          <w:t>[R013]</w:t>
        </w:r>
      </w:hyperlink>
      <w:r>
        <w:t xml:space="preserve"> · </w:t>
      </w:r>
      <w:hyperlink r:id="rId18">
        <w:r>
          <w:rPr>
            <w:color w:val="17636B"/>
            <w:u w:val="single"/>
            <w:sz w:val="17"/>
          </w:rPr>
          <w:t>[R077]</w:t>
        </w:r>
      </w:hyperlink>
    </w:p>
    <w:p>
      <w:r>
        <w:t>Поиск добавил «Метеорологику» Баджжи, медицинскую урджузу Туфайля, Kitāb al-aghdhiya Зухра, Kašf и Bidāya Рушда. Bidāya включена как произведение того же автора и часть его правоведческого контекста, а не как приглашение каталогизировать всё исламское право. Отдельно найдено трёхъязычное издание комментария Рушда к медицинской поэме Ибн Сины.</w:t>
      </w:r>
      <w:r>
        <w:t xml:space="preserve"> </w:t>
      </w:r>
      <w:hyperlink r:id="rId19">
        <w:r>
          <w:rPr>
            <w:color w:val="17636B"/>
            <w:u w:val="single"/>
            <w:sz w:val="17"/>
          </w:rPr>
          <w:t>[R052]</w:t>
        </w:r>
      </w:hyperlink>
      <w:r>
        <w:t xml:space="preserve"> · </w:t>
      </w:r>
      <w:hyperlink r:id="rId20">
        <w:r>
          <w:rPr>
            <w:color w:val="17636B"/>
            <w:u w:val="single"/>
            <w:sz w:val="17"/>
          </w:rPr>
          <w:t>[R053]</w:t>
        </w:r>
      </w:hyperlink>
      <w:r>
        <w:t xml:space="preserve"> · </w:t>
      </w:r>
      <w:hyperlink r:id="rId21">
        <w:r>
          <w:rPr>
            <w:color w:val="17636B"/>
            <w:u w:val="single"/>
            <w:sz w:val="17"/>
          </w:rPr>
          <w:t>[R072]</w:t>
        </w:r>
      </w:hyperlink>
      <w:r>
        <w:t xml:space="preserve"> · </w:t>
      </w:r>
      <w:hyperlink r:id="rId22">
        <w:r>
          <w:rPr>
            <w:color w:val="17636B"/>
            <w:u w:val="single"/>
            <w:sz w:val="17"/>
          </w:rPr>
          <w:t>[R073]</w:t>
        </w:r>
      </w:hyperlink>
      <w:r>
        <w:t xml:space="preserve"> · </w:t>
      </w:r>
      <w:hyperlink r:id="rId23">
        <w:r>
          <w:rPr>
            <w:color w:val="17636B"/>
            <w:u w:val="single"/>
            <w:sz w:val="17"/>
          </w:rPr>
          <w:t>[R074]</w:t>
        </w:r>
      </w:hyperlink>
      <w:r>
        <w:t xml:space="preserve"> · </w:t>
      </w:r>
      <w:hyperlink r:id="rId24">
        <w:r>
          <w:rPr>
            <w:color w:val="17636B"/>
            <w:u w:val="single"/>
            <w:sz w:val="17"/>
          </w:rPr>
          <w:t>[R075]</w:t>
        </w:r>
      </w:hyperlink>
    </w:p>
    <w:p>
      <w:r>
        <w:t>Общее обозначение «комментарии Аверроэса» раскрыто в разные входы: De interpretatione, Prior/Posterior Analytics, смешанные посылки, De caelo, De generatione et corruptione, Poetics, Parva naturalia, De anima, Metaphysics, Ethics, Republic и естественно-научные печатные сборники. Краткий, средний и большой комментарии не смешаны с переводами одного и того же сочинения. Однако все малые трактаты Рушда здесь не перечислены.</w:t>
      </w:r>
      <w:r>
        <w:t xml:space="preserve"> </w:t>
      </w:r>
      <w:hyperlink r:id="rId25">
        <w:r>
          <w:rPr>
            <w:color w:val="17636B"/>
            <w:u w:val="single"/>
            <w:sz w:val="17"/>
          </w:rPr>
          <w:t>[R014]</w:t>
        </w:r>
      </w:hyperlink>
      <w:r>
        <w:t xml:space="preserve"> · </w:t>
      </w:r>
      <w:hyperlink r:id="rId26">
        <w:r>
          <w:rPr>
            <w:color w:val="17636B"/>
            <w:u w:val="single"/>
            <w:sz w:val="17"/>
          </w:rPr>
          <w:t>[R015]</w:t>
        </w:r>
      </w:hyperlink>
      <w:r>
        <w:t xml:space="preserve"> · </w:t>
      </w:r>
      <w:hyperlink r:id="rId27">
        <w:r>
          <w:rPr>
            <w:color w:val="17636B"/>
            <w:u w:val="single"/>
            <w:sz w:val="17"/>
          </w:rPr>
          <w:t>[R016]</w:t>
        </w:r>
      </w:hyperlink>
      <w:r>
        <w:t xml:space="preserve"> · </w:t>
      </w:r>
      <w:hyperlink r:id="rId28">
        <w:r>
          <w:rPr>
            <w:color w:val="17636B"/>
            <w:u w:val="single"/>
            <w:sz w:val="17"/>
          </w:rPr>
          <w:t>[R019]</w:t>
        </w:r>
      </w:hyperlink>
      <w:r>
        <w:t xml:space="preserve"> · </w:t>
      </w:r>
      <w:hyperlink r:id="rId29">
        <w:r>
          <w:rPr>
            <w:color w:val="17636B"/>
            <w:u w:val="single"/>
            <w:sz w:val="17"/>
          </w:rPr>
          <w:t>[R020]</w:t>
        </w:r>
      </w:hyperlink>
      <w:r>
        <w:t xml:space="preserve"> · </w:t>
      </w:r>
      <w:hyperlink r:id="rId30">
        <w:r>
          <w:rPr>
            <w:color w:val="17636B"/>
            <w:u w:val="single"/>
            <w:sz w:val="17"/>
          </w:rPr>
          <w:t>[R047]</w:t>
        </w:r>
      </w:hyperlink>
      <w:r>
        <w:t xml:space="preserve"> · </w:t>
      </w:r>
      <w:hyperlink r:id="rId31">
        <w:r>
          <w:rPr>
            <w:color w:val="17636B"/>
            <w:u w:val="single"/>
            <w:sz w:val="17"/>
          </w:rPr>
          <w:t>[R048]</w:t>
        </w:r>
      </w:hyperlink>
      <w:r>
        <w:t xml:space="preserve"> · </w:t>
      </w:r>
      <w:hyperlink r:id="rId32">
        <w:r>
          <w:rPr>
            <w:color w:val="17636B"/>
            <w:u w:val="single"/>
            <w:sz w:val="17"/>
          </w:rPr>
          <w:t>[R051]</w:t>
        </w:r>
      </w:hyperlink>
      <w:r>
        <w:t xml:space="preserve"> · </w:t>
      </w:r>
      <w:hyperlink r:id="rId33">
        <w:r>
          <w:rPr>
            <w:color w:val="17636B"/>
            <w:u w:val="single"/>
            <w:sz w:val="17"/>
          </w:rPr>
          <w:t>[R056]</w:t>
        </w:r>
      </w:hyperlink>
      <w:r>
        <w:t xml:space="preserve"> · </w:t>
      </w:r>
      <w:hyperlink r:id="rId34">
        <w:r>
          <w:rPr>
            <w:color w:val="17636B"/>
            <w:u w:val="single"/>
            <w:sz w:val="17"/>
          </w:rPr>
          <w:t>[R057]</w:t>
        </w:r>
      </w:hyperlink>
      <w:r>
        <w:t xml:space="preserve"> · </w:t>
      </w:r>
      <w:hyperlink r:id="rId35">
        <w:r>
          <w:rPr>
            <w:color w:val="17636B"/>
            <w:u w:val="single"/>
            <w:sz w:val="17"/>
          </w:rPr>
          <w:t>[R059]</w:t>
        </w:r>
      </w:hyperlink>
      <w:r>
        <w:t xml:space="preserve"> · </w:t>
      </w:r>
      <w:hyperlink r:id="rId36">
        <w:r>
          <w:rPr>
            <w:color w:val="17636B"/>
            <w:u w:val="single"/>
            <w:sz w:val="17"/>
          </w:rPr>
          <w:t>[R063]</w:t>
        </w:r>
      </w:hyperlink>
      <w:r>
        <w:t xml:space="preserve"> · </w:t>
      </w:r>
      <w:hyperlink r:id="rId37">
        <w:r>
          <w:rPr>
            <w:color w:val="17636B"/>
            <w:u w:val="single"/>
            <w:sz w:val="17"/>
          </w:rPr>
          <w:t>[R064]</w:t>
        </w:r>
      </w:hyperlink>
      <w:r>
        <w:t xml:space="preserve"> · </w:t>
      </w:r>
      <w:hyperlink r:id="rId38">
        <w:r>
          <w:rPr>
            <w:color w:val="17636B"/>
            <w:u w:val="single"/>
            <w:sz w:val="17"/>
          </w:rPr>
          <w:t>[R066]</w:t>
        </w:r>
      </w:hyperlink>
      <w:r>
        <w:t xml:space="preserve"> · </w:t>
      </w:r>
      <w:hyperlink r:id="rId39">
        <w:r>
          <w:rPr>
            <w:color w:val="17636B"/>
            <w:u w:val="single"/>
            <w:sz w:val="17"/>
          </w:rPr>
          <w:t>[R067]</w:t>
        </w:r>
      </w:hyperlink>
    </w:p>
    <w:p>
      <w:pPr>
        <w:pStyle w:val="Heading2"/>
      </w:pPr>
      <w:r>
        <w:t>Проход назад: предшествующие тексты</w:t>
      </w:r>
    </w:p>
    <w:p>
      <w:r>
        <w:t>Греко-арабская психология и поэтика представлены арабскими версиями «О душе» и «Поэтики» Аристотеля. К той же комментаторской семье относятся «Каноны искусства поэтов» Фараби и поэтический раздел al-Šifāʾ Ибн Сины. Они включены как предшествующий материал этой линии; это не утверждение, что именно доступная редакция лежала перед андалусским автором.</w:t>
      </w:r>
      <w:r>
        <w:t xml:space="preserve"> </w:t>
      </w:r>
      <w:hyperlink r:id="rId40">
        <w:r>
          <w:rPr>
            <w:color w:val="17636B"/>
            <w:u w:val="single"/>
            <w:sz w:val="17"/>
          </w:rPr>
          <w:t>[R021]</w:t>
        </w:r>
      </w:hyperlink>
      <w:r>
        <w:t xml:space="preserve"> · </w:t>
      </w:r>
      <w:hyperlink r:id="rId41">
        <w:r>
          <w:rPr>
            <w:color w:val="17636B"/>
            <w:u w:val="single"/>
            <w:sz w:val="17"/>
          </w:rPr>
          <w:t>[R022]</w:t>
        </w:r>
      </w:hyperlink>
      <w:r>
        <w:t xml:space="preserve"> · </w:t>
      </w:r>
      <w:hyperlink r:id="rId42">
        <w:r>
          <w:rPr>
            <w:color w:val="17636B"/>
            <w:u w:val="single"/>
            <w:sz w:val="17"/>
          </w:rPr>
          <w:t>[R023]</w:t>
        </w:r>
      </w:hyperlink>
      <w:r>
        <w:t xml:space="preserve"> · </w:t>
      </w:r>
      <w:hyperlink r:id="rId43">
        <w:r>
          <w:rPr>
            <w:color w:val="17636B"/>
            <w:u w:val="single"/>
            <w:sz w:val="17"/>
          </w:rPr>
          <w:t>[R024]</w:t>
        </w:r>
      </w:hyperlink>
    </w:p>
    <w:p>
      <w:r>
        <w:t>Для медицинского Sharḥ Баджжи непосредственно важен арабский Гален на «Афоризмы» Гиппократа: найдено открытое научное издание всех семи книг. Политические тексты Фараби дают вход в линию философа и города; Tahāfut аль-Газали — прямой полемический адресат ответа Рушда. Эти связи сильнее простого тематического сходства.</w:t>
      </w:r>
      <w:r>
        <w:t xml:space="preserve"> </w:t>
      </w:r>
      <w:hyperlink r:id="rId44">
        <w:r>
          <w:rPr>
            <w:color w:val="17636B"/>
            <w:u w:val="single"/>
            <w:sz w:val="17"/>
          </w:rPr>
          <w:t>[R025]</w:t>
        </w:r>
      </w:hyperlink>
      <w:r>
        <w:t xml:space="preserve"> · </w:t>
      </w:r>
      <w:hyperlink r:id="rId45">
        <w:r>
          <w:rPr>
            <w:color w:val="17636B"/>
            <w:u w:val="single"/>
            <w:sz w:val="17"/>
          </w:rPr>
          <w:t>[R070]</w:t>
        </w:r>
      </w:hyperlink>
      <w:r>
        <w:t xml:space="preserve"> · </w:t>
      </w:r>
      <w:hyperlink r:id="rId46">
        <w:r>
          <w:rPr>
            <w:color w:val="17636B"/>
            <w:u w:val="single"/>
            <w:sz w:val="17"/>
          </w:rPr>
          <w:t>[R071]</w:t>
        </w:r>
      </w:hyperlink>
    </w:p>
    <w:p>
      <w:r>
        <w:t>Ḥayy Ибн Сины — отдельное более раннее произведение, а не ранняя редакция повести Туфайля. Его свидетель и комментарий Ибн Зайлы найдены в QDL. Комментарий Зайлы помечен supporting: он раскрывает раннюю текстовую семью, но его прямое использование Ибн Туфайлем здесь не доказано.</w:t>
      </w:r>
      <w:r>
        <w:t xml:space="preserve"> </w:t>
      </w:r>
      <w:hyperlink r:id="rId47">
        <w:r>
          <w:rPr>
            <w:color w:val="17636B"/>
            <w:u w:val="single"/>
            <w:sz w:val="17"/>
          </w:rPr>
          <w:t>[R068]</w:t>
        </w:r>
      </w:hyperlink>
      <w:r>
        <w:t xml:space="preserve"> · </w:t>
      </w:r>
      <w:hyperlink r:id="rId48">
        <w:r>
          <w:rPr>
            <w:color w:val="17636B"/>
            <w:u w:val="single"/>
            <w:sz w:val="17"/>
          </w:rPr>
          <w:t>[R069]</w:t>
        </w:r>
      </w:hyperlink>
    </w:p>
    <w:p>
      <w:pPr>
        <w:pStyle w:val="Heading2"/>
      </w:pPr>
      <w:r>
        <w:t>Проход вперёд: сохранение, продолжения, полемика</w:t>
      </w:r>
    </w:p>
    <w:p>
      <w:r>
        <w:t>Корпус прослежен через еврейские версии Анатоли, Соломона ибн Айюба, Калонимоса и других переводчиков, латинскую раннюю печать и CCAA. Венецианские тома XVI века — поздний доступ к средневековым текстам, а не изменение датировки мастер-строки. Annotationes и указатель Зимары включены как рецепционные слои.</w:t>
      </w:r>
      <w:r>
        <w:t xml:space="preserve"> </w:t>
      </w:r>
      <w:hyperlink r:id="rId49">
        <w:r>
          <w:rPr>
            <w:color w:val="17636B"/>
            <w:u w:val="single"/>
            <w:sz w:val="17"/>
          </w:rPr>
          <w:t>[R030]</w:t>
        </w:r>
      </w:hyperlink>
      <w:r>
        <w:t xml:space="preserve"> · </w:t>
      </w:r>
      <w:hyperlink r:id="rId50">
        <w:r>
          <w:rPr>
            <w:color w:val="17636B"/>
            <w:u w:val="single"/>
            <w:sz w:val="17"/>
          </w:rPr>
          <w:t>[R034]</w:t>
        </w:r>
      </w:hyperlink>
      <w:r>
        <w:t xml:space="preserve"> · </w:t>
      </w:r>
      <w:hyperlink r:id="rId51">
        <w:r>
          <w:rPr>
            <w:color w:val="17636B"/>
            <w:u w:val="single"/>
            <w:sz w:val="17"/>
          </w:rPr>
          <w:t>[R043]</w:t>
        </w:r>
      </w:hyperlink>
      <w:r>
        <w:t xml:space="preserve"> · </w:t>
      </w:r>
      <w:hyperlink r:id="rId52">
        <w:r>
          <w:rPr>
            <w:color w:val="17636B"/>
            <w:u w:val="single"/>
            <w:sz w:val="17"/>
          </w:rPr>
          <w:t>[R044]</w:t>
        </w:r>
      </w:hyperlink>
      <w:r>
        <w:t xml:space="preserve"> · </w:t>
      </w:r>
      <w:hyperlink r:id="rId53">
        <w:r>
          <w:rPr>
            <w:color w:val="17636B"/>
            <w:u w:val="single"/>
            <w:sz w:val="17"/>
          </w:rPr>
          <w:t>[R045]</w:t>
        </w:r>
      </w:hyperlink>
      <w:r>
        <w:t xml:space="preserve"> · </w:t>
      </w:r>
      <w:hyperlink r:id="rId30">
        <w:r>
          <w:rPr>
            <w:color w:val="17636B"/>
            <w:u w:val="single"/>
            <w:sz w:val="17"/>
          </w:rPr>
          <w:t>[R047]</w:t>
        </w:r>
      </w:hyperlink>
      <w:r>
        <w:t xml:space="preserve"> · </w:t>
      </w:r>
      <w:hyperlink r:id="rId31">
        <w:r>
          <w:rPr>
            <w:color w:val="17636B"/>
            <w:u w:val="single"/>
            <w:sz w:val="17"/>
          </w:rPr>
          <w:t>[R048]</w:t>
        </w:r>
      </w:hyperlink>
      <w:r>
        <w:t xml:space="preserve"> · </w:t>
      </w:r>
      <w:hyperlink r:id="rId54">
        <w:r>
          <w:rPr>
            <w:color w:val="17636B"/>
            <w:u w:val="single"/>
            <w:sz w:val="17"/>
          </w:rPr>
          <w:t>[R050]</w:t>
        </w:r>
      </w:hyperlink>
      <w:r>
        <w:t xml:space="preserve"> · </w:t>
      </w:r>
      <w:hyperlink r:id="rId55">
        <w:r>
          <w:rPr>
            <w:color w:val="17636B"/>
            <w:u w:val="single"/>
            <w:sz w:val="17"/>
          </w:rPr>
          <w:t>[R058]</w:t>
        </w:r>
      </w:hyperlink>
      <w:r>
        <w:t xml:space="preserve"> · </w:t>
      </w:r>
      <w:hyperlink r:id="rId56">
        <w:r>
          <w:rPr>
            <w:color w:val="17636B"/>
            <w:u w:val="single"/>
            <w:sz w:val="17"/>
          </w:rPr>
          <w:t>[R060]</w:t>
        </w:r>
      </w:hyperlink>
      <w:r>
        <w:t xml:space="preserve"> · </w:t>
      </w:r>
      <w:hyperlink r:id="rId57">
        <w:r>
          <w:rPr>
            <w:color w:val="17636B"/>
            <w:u w:val="single"/>
            <w:sz w:val="17"/>
          </w:rPr>
          <w:t>[R062]</w:t>
        </w:r>
      </w:hyperlink>
      <w:r>
        <w:t xml:space="preserve"> · </w:t>
      </w:r>
      <w:hyperlink r:id="rId58">
        <w:r>
          <w:rPr>
            <w:color w:val="17636B"/>
            <w:u w:val="single"/>
            <w:sz w:val="17"/>
          </w:rPr>
          <w:t>[R065]</w:t>
        </w:r>
      </w:hyperlink>
    </w:p>
    <w:p>
      <w:r>
        <w:t>De unitate intellectus contra Averroistas Фомы Аквинского представляет прямую полемику. Трактат Абу Мухаммада ʿАбдаллаха ибн Рушда о соединении интеллектов добавлен как ближайшее продолжение; он не приписан Абу-ль-Валиду. ʿUyūn al-anbāʾ Ибн Аби Усайбиа включён как источник сохранения биографий и перечней трудов, прежде всего в главе о западных землях. Линии Нарбони, Фалакеры и Ибн ан-Нафиса сохранены в gaps, где недостаёт свидетелей либо проверки доступа.</w:t>
      </w:r>
      <w:r>
        <w:t xml:space="preserve"> </w:t>
      </w:r>
      <w:hyperlink r:id="rId59">
        <w:r>
          <w:rPr>
            <w:color w:val="17636B"/>
            <w:u w:val="single"/>
            <w:sz w:val="17"/>
          </w:rPr>
          <w:t>[R054]</w:t>
        </w:r>
      </w:hyperlink>
      <w:r>
        <w:t xml:space="preserve"> · </w:t>
      </w:r>
      <w:hyperlink r:id="rId60">
        <w:r>
          <w:rPr>
            <w:color w:val="17636B"/>
            <w:u w:val="single"/>
            <w:sz w:val="17"/>
          </w:rPr>
          <w:t>[R055]</w:t>
        </w:r>
      </w:hyperlink>
      <w:r>
        <w:t xml:space="preserve"> · </w:t>
      </w:r>
      <w:hyperlink r:id="rId61">
        <w:r>
          <w:rPr>
            <w:color w:val="17636B"/>
            <w:u w:val="single"/>
            <w:sz w:val="17"/>
          </w:rPr>
          <w:t>[R078]</w:t>
        </w:r>
      </w:hyperlink>
    </w:p>
    <w:p>
      <w:pPr>
        <w:pStyle w:val="Heading2"/>
      </w:pPr>
      <w:r>
        <w:t>Количественный итог и предел счёта</w:t>
      </w:r>
    </w:p>
    <w:p>
      <w:r>
        <w:t>80 записей доступа не означают 80 разных произведений. Консервативный ручной подсчёт даёт не менее 50 поимённо различимых первичных произведений и комментаторских текстов; часть известна здесь только по каталогу или составу издания. Составные собрания Баджжи, Commentaria in Galenum, печатные серии и цифровые массивы не разложены в полный каталог всех внутренних сочинений. Новые переводы и репозитории увеличивают число путей, но не число исходных текстов.</w:t>
      </w:r>
    </w:p>
    <w:tbl>
      <w:tblPr>
        <w:tblW w:type="auto" w:w="0"/>
        <w:jc w:val="center"/>
        <w:tblLayout w:type="fixed"/>
        <w:tblLook w:firstColumn="1" w:firstRow="1" w:lastColumn="0" w:lastRow="0" w:noHBand="0" w:noVBand="1" w:val="04A0"/>
      </w:tblPr>
      <w:tblGrid>
        <w:gridCol w:w="3175"/>
        <w:gridCol w:w="1020"/>
        <w:gridCol w:w="5329"/>
      </w:tblGrid>
      <w:tr>
        <w:trPr>
          <w:cantSplit/>
          <w:tblHeader/>
        </w:trPr>
        <w:tc>
          <w:tcPr>
            <w:tcW w:type="dxa" w:w="3175"/>
            <w:vAlign w:val="top"/>
            <w:shd w:fill="17354A"/>
          </w:tcPr>
          <w:p>
            <w:pPr>
              <w:spacing w:after="80" w:before="80" w:line="254" w:lineRule="auto"/>
            </w:pPr>
            <w:r>
              <w:rPr>
                <w:b/>
                <w:color w:val="FFFFFF"/>
                <w:sz w:val="17"/>
              </w:rPr>
              <w:t>Роль</w:t>
            </w:r>
          </w:p>
        </w:tc>
        <w:tc>
          <w:tcPr>
            <w:tcW w:type="dxa" w:w="1020"/>
            <w:vAlign w:val="top"/>
            <w:shd w:fill="17354A"/>
          </w:tcPr>
          <w:p>
            <w:pPr>
              <w:spacing w:after="80" w:before="80" w:line="254" w:lineRule="auto"/>
            </w:pPr>
            <w:r>
              <w:rPr>
                <w:b/>
                <w:color w:val="FFFFFF"/>
                <w:sz w:val="17"/>
              </w:rPr>
              <w:t>Путей</w:t>
            </w:r>
          </w:p>
        </w:tc>
        <w:tc>
          <w:tcPr>
            <w:tcW w:type="dxa" w:w="5329"/>
            <w:vAlign w:val="top"/>
            <w:shd w:fill="17354A"/>
          </w:tcPr>
          <w:p>
            <w:pPr>
              <w:spacing w:after="80" w:before="80" w:line="254" w:lineRule="auto"/>
            </w:pPr>
            <w:r>
              <w:rPr>
                <w:b/>
                <w:color w:val="FFFFFF"/>
                <w:sz w:val="17"/>
              </w:rPr>
              <w:t>Содержательный смысл</w:t>
            </w:r>
          </w:p>
        </w:tc>
      </w:tr>
      <w:tr>
        <w:trPr>
          <w:cantSplit/>
        </w:trPr>
        <w:tc>
          <w:tcPr>
            <w:tcW w:type="dxa" w:w="3175"/>
            <w:vAlign w:val="top"/>
            <w:shd w:fill="F0F5F6"/>
          </w:tcPr>
          <w:p>
            <w:pPr>
              <w:spacing w:after="80" w:before="80" w:line="254" w:lineRule="auto"/>
            </w:pPr>
            <w:r>
              <w:rPr>
                <w:sz w:val="17"/>
              </w:rPr>
              <w:t>core</w:t>
            </w:r>
          </w:p>
        </w:tc>
        <w:tc>
          <w:tcPr>
            <w:tcW w:type="dxa" w:w="1020"/>
            <w:vAlign w:val="top"/>
            <w:shd w:fill="F0F5F6"/>
          </w:tcPr>
          <w:p>
            <w:pPr>
              <w:spacing w:after="80" w:before="80" w:line="254" w:lineRule="auto"/>
            </w:pPr>
            <w:r>
              <w:rPr>
                <w:sz w:val="17"/>
              </w:rPr>
              <w:t>33</w:t>
            </w:r>
          </w:p>
        </w:tc>
        <w:tc>
          <w:tcPr>
            <w:tcW w:type="dxa" w:w="5329"/>
            <w:vAlign w:val="top"/>
            <w:shd w:fill="F0F5F6"/>
          </w:tcPr>
          <w:p>
            <w:pPr>
              <w:spacing w:after="80" w:before="80" w:line="254" w:lineRule="auto"/>
            </w:pPr>
            <w:r>
              <w:rPr>
                <w:sz w:val="17"/>
              </w:rPr>
              <w:t>Произведения, версии и свидетели ядра.</w:t>
            </w:r>
          </w:p>
        </w:tc>
      </w:tr>
      <w:tr>
        <w:trPr>
          <w:cantSplit/>
        </w:trPr>
        <w:tc>
          <w:tcPr>
            <w:tcW w:type="dxa" w:w="3175"/>
            <w:vAlign w:val="top"/>
            <w:shd w:fill="FFFFFF"/>
          </w:tcPr>
          <w:p>
            <w:pPr>
              <w:spacing w:after="80" w:before="80" w:line="254" w:lineRule="auto"/>
            </w:pPr>
            <w:r>
              <w:rPr>
                <w:sz w:val="17"/>
              </w:rPr>
              <w:t>same_corpus_or_tradition</w:t>
            </w:r>
          </w:p>
        </w:tc>
        <w:tc>
          <w:tcPr>
            <w:tcW w:type="dxa" w:w="1020"/>
            <w:vAlign w:val="top"/>
            <w:shd w:fill="FFFFFF"/>
          </w:tcPr>
          <w:p>
            <w:pPr>
              <w:spacing w:after="80" w:before="80" w:line="254" w:lineRule="auto"/>
            </w:pPr>
            <w:r>
              <w:rPr>
                <w:sz w:val="17"/>
              </w:rPr>
              <w:t>4</w:t>
            </w:r>
          </w:p>
        </w:tc>
        <w:tc>
          <w:tcPr>
            <w:tcW w:type="dxa" w:w="5329"/>
            <w:vAlign w:val="top"/>
            <w:shd w:fill="FFFFFF"/>
          </w:tcPr>
          <w:p>
            <w:pPr>
              <w:spacing w:after="80" w:before="80" w:line="254" w:lineRule="auto"/>
            </w:pPr>
            <w:r>
              <w:rPr>
                <w:sz w:val="17"/>
              </w:rPr>
              <w:t>Метеорология Баджжи; урджуза Туфайля; Aghdhiya; Bidāya.</w:t>
            </w:r>
          </w:p>
        </w:tc>
      </w:tr>
      <w:tr>
        <w:trPr>
          <w:cantSplit/>
        </w:trPr>
        <w:tc>
          <w:tcPr>
            <w:tcW w:type="dxa" w:w="3175"/>
            <w:vAlign w:val="top"/>
            <w:shd w:fill="F0F5F6"/>
          </w:tcPr>
          <w:p>
            <w:pPr>
              <w:spacing w:after="80" w:before="80" w:line="254" w:lineRule="auto"/>
            </w:pPr>
            <w:r>
              <w:rPr>
                <w:sz w:val="17"/>
              </w:rPr>
              <w:t>antecedent</w:t>
            </w:r>
          </w:p>
        </w:tc>
        <w:tc>
          <w:tcPr>
            <w:tcW w:type="dxa" w:w="1020"/>
            <w:vAlign w:val="top"/>
            <w:shd w:fill="F0F5F6"/>
          </w:tcPr>
          <w:p>
            <w:pPr>
              <w:spacing w:after="80" w:before="80" w:line="254" w:lineRule="auto"/>
            </w:pPr>
            <w:r>
              <w:rPr>
                <w:sz w:val="17"/>
              </w:rPr>
              <w:t>8</w:t>
            </w:r>
          </w:p>
        </w:tc>
        <w:tc>
          <w:tcPr>
            <w:tcW w:type="dxa" w:w="5329"/>
            <w:vAlign w:val="top"/>
            <w:shd w:fill="F0F5F6"/>
          </w:tcPr>
          <w:p>
            <w:pPr>
              <w:spacing w:after="80" w:before="80" w:line="254" w:lineRule="auto"/>
            </w:pPr>
            <w:r>
              <w:rPr>
                <w:sz w:val="17"/>
              </w:rPr>
              <w:t>Греко-арабские, фарабийские, авиценновские, галеновские и газалийские входы.</w:t>
            </w:r>
          </w:p>
        </w:tc>
      </w:tr>
      <w:tr>
        <w:trPr>
          <w:cantSplit/>
        </w:trPr>
        <w:tc>
          <w:tcPr>
            <w:tcW w:type="dxa" w:w="3175"/>
            <w:vAlign w:val="top"/>
            <w:shd w:fill="FFFFFF"/>
          </w:tcPr>
          <w:p>
            <w:pPr>
              <w:spacing w:after="80" w:before="80" w:line="254" w:lineRule="auto"/>
            </w:pPr>
            <w:r>
              <w:rPr>
                <w:sz w:val="17"/>
              </w:rPr>
              <w:t>transmission_or_preservation</w:t>
            </w:r>
          </w:p>
        </w:tc>
        <w:tc>
          <w:tcPr>
            <w:tcW w:type="dxa" w:w="1020"/>
            <w:vAlign w:val="top"/>
            <w:shd w:fill="FFFFFF"/>
          </w:tcPr>
          <w:p>
            <w:pPr>
              <w:spacing w:after="80" w:before="80" w:line="254" w:lineRule="auto"/>
            </w:pPr>
            <w:r>
              <w:rPr>
                <w:sz w:val="17"/>
              </w:rPr>
              <w:t>25</w:t>
            </w:r>
          </w:p>
        </w:tc>
        <w:tc>
          <w:tcPr>
            <w:tcW w:type="dxa" w:w="5329"/>
            <w:vAlign w:val="top"/>
            <w:shd w:fill="FFFFFF"/>
          </w:tcPr>
          <w:p>
            <w:pPr>
              <w:spacing w:after="80" w:before="80" w:line="254" w:lineRule="auto"/>
            </w:pPr>
            <w:r>
              <w:rPr>
                <w:sz w:val="17"/>
              </w:rPr>
              <w:t>Языковые версии, ранняя печать и биобиблиографическое сохранение.</w:t>
            </w:r>
          </w:p>
        </w:tc>
      </w:tr>
      <w:tr>
        <w:trPr>
          <w:cantSplit/>
        </w:trPr>
        <w:tc>
          <w:tcPr>
            <w:tcW w:type="dxa" w:w="3175"/>
            <w:vAlign w:val="top"/>
            <w:shd w:fill="F0F5F6"/>
          </w:tcPr>
          <w:p>
            <w:pPr>
              <w:spacing w:after="80" w:before="80" w:line="254" w:lineRule="auto"/>
            </w:pPr>
            <w:r>
              <w:rPr>
                <w:sz w:val="17"/>
              </w:rPr>
              <w:t>continuation</w:t>
            </w:r>
          </w:p>
        </w:tc>
        <w:tc>
          <w:tcPr>
            <w:tcW w:type="dxa" w:w="1020"/>
            <w:vAlign w:val="top"/>
            <w:shd w:fill="F0F5F6"/>
          </w:tcPr>
          <w:p>
            <w:pPr>
              <w:spacing w:after="80" w:before="80" w:line="254" w:lineRule="auto"/>
            </w:pPr>
            <w:r>
              <w:rPr>
                <w:sz w:val="17"/>
              </w:rPr>
              <w:t>1</w:t>
            </w:r>
          </w:p>
        </w:tc>
        <w:tc>
          <w:tcPr>
            <w:tcW w:type="dxa" w:w="5329"/>
            <w:vAlign w:val="top"/>
            <w:shd w:fill="F0F5F6"/>
          </w:tcPr>
          <w:p>
            <w:pPr>
              <w:spacing w:after="80" w:before="80" w:line="254" w:lineRule="auto"/>
            </w:pPr>
            <w:r>
              <w:rPr>
                <w:sz w:val="17"/>
              </w:rPr>
              <w:t>Трактат ʿАбдаллаха ибн Рушда об интеллекте.</w:t>
            </w:r>
          </w:p>
        </w:tc>
      </w:tr>
      <w:tr>
        <w:trPr>
          <w:cantSplit/>
        </w:trPr>
        <w:tc>
          <w:tcPr>
            <w:tcW w:type="dxa" w:w="3175"/>
            <w:vAlign w:val="top"/>
            <w:shd w:fill="FFFFFF"/>
          </w:tcPr>
          <w:p>
            <w:pPr>
              <w:spacing w:after="80" w:before="80" w:line="254" w:lineRule="auto"/>
            </w:pPr>
            <w:r>
              <w:rPr>
                <w:sz w:val="17"/>
              </w:rPr>
              <w:t>commentary_or_reception</w:t>
            </w:r>
          </w:p>
        </w:tc>
        <w:tc>
          <w:tcPr>
            <w:tcW w:type="dxa" w:w="1020"/>
            <w:vAlign w:val="top"/>
            <w:shd w:fill="FFFFFF"/>
          </w:tcPr>
          <w:p>
            <w:pPr>
              <w:spacing w:after="80" w:before="80" w:line="254" w:lineRule="auto"/>
            </w:pPr>
            <w:r>
              <w:rPr>
                <w:sz w:val="17"/>
              </w:rPr>
              <w:t>3</w:t>
            </w:r>
          </w:p>
        </w:tc>
        <w:tc>
          <w:tcPr>
            <w:tcW w:type="dxa" w:w="5329"/>
            <w:vAlign w:val="top"/>
            <w:shd w:fill="FFFFFF"/>
          </w:tcPr>
          <w:p>
            <w:pPr>
              <w:spacing w:after="80" w:before="80" w:line="254" w:lineRule="auto"/>
            </w:pPr>
            <w:r>
              <w:rPr>
                <w:sz w:val="17"/>
              </w:rPr>
              <w:t>Аквинат и два рецепционных печатных входа Зимары.</w:t>
            </w:r>
          </w:p>
        </w:tc>
      </w:tr>
      <w:tr>
        <w:trPr>
          <w:cantSplit/>
        </w:trPr>
        <w:tc>
          <w:tcPr>
            <w:tcW w:type="dxa" w:w="3175"/>
            <w:vAlign w:val="top"/>
            <w:shd w:fill="F0F5F6"/>
          </w:tcPr>
          <w:p>
            <w:pPr>
              <w:spacing w:after="80" w:before="80" w:line="254" w:lineRule="auto"/>
            </w:pPr>
            <w:r>
              <w:rPr>
                <w:sz w:val="17"/>
              </w:rPr>
              <w:t>supporting / infrastructure / secondary_navigation</w:t>
            </w:r>
          </w:p>
        </w:tc>
        <w:tc>
          <w:tcPr>
            <w:tcW w:type="dxa" w:w="1020"/>
            <w:vAlign w:val="top"/>
            <w:shd w:fill="F0F5F6"/>
          </w:tcPr>
          <w:p>
            <w:pPr>
              <w:spacing w:after="80" w:before="80" w:line="254" w:lineRule="auto"/>
            </w:pPr>
            <w:r>
              <w:rPr>
                <w:sz w:val="17"/>
              </w:rPr>
              <w:t>2 / 3 / 1</w:t>
            </w:r>
          </w:p>
        </w:tc>
        <w:tc>
          <w:tcPr>
            <w:tcW w:type="dxa" w:w="5329"/>
            <w:vAlign w:val="top"/>
            <w:shd w:fill="F0F5F6"/>
          </w:tcPr>
          <w:p>
            <w:pPr>
              <w:spacing w:after="80" w:before="80" w:line="254" w:lineRule="auto"/>
            </w:pPr>
            <w:r>
              <w:rPr>
                <w:sz w:val="17"/>
              </w:rPr>
              <w:t>Вспомогательные слои; три инфраструктуры; одна необходимая медицинская статья.</w:t>
            </w:r>
          </w:p>
        </w:tc>
      </w:tr>
    </w:tbl>
    <w:p>
      <w:pPr>
        <w:spacing w:after="20"/>
      </w:pPr>
    </w:p>
    <w:p>
      <w:r>
        <w:t>Записей с предложением бесплатной загрузки — 40, с бесплатным полным чтением — 24, с каталожным режимом — 22, с покупкой — 9. Метки пересекаются и не складываются. FREE_DOWNLOAD у UNESCO относится к досье, а у части SIEPM — к официально предложенному PDF, который не удалось раскрыть. Verification_status точнее агрегированного числа. Boundary-запись не создавалась искусственно: пограничность оговорена там, где она существенна.</w:t>
      </w:r>
    </w:p>
    <w:p>
      <w:pPr>
        <w:pStyle w:val="Heading1"/>
      </w:pPr>
      <w:r>
        <w:t>3. Лучшие пути доступа</w:t>
      </w:r>
    </w:p>
    <w:p>
      <w:pPr>
        <w:pStyle w:val="Heading2"/>
      </w:pPr>
      <w:r>
        <w:t>3.1. Ибн Баджжа</w:t>
      </w:r>
    </w:p>
    <w:p>
      <w:r>
        <w:t>Для Tadbīr и двух связанных посланий наиболее полезный проверенный научный вход — Charles Genequand, La conduite de l’isolé et deux autres épîtres, Vrin, 2010: критический арабский текст, французский перевод и комментарий. Это одна запись на одно издание трёх сочинений. Издатель сообщает о допечатке; гарантии немедленного наличия нет. Важнейший материальный вход — Pococke 206 в Digital Bodleian, но оболочка не позволила проверить все изображения и индивидуальное уведомление о правах.</w:t>
      </w:r>
      <w:r>
        <w:t xml:space="preserve"> </w:t>
      </w:r>
      <w:hyperlink r:id="rId11">
        <w:r>
          <w:rPr>
            <w:color w:val="17636B"/>
            <w:u w:val="single"/>
            <w:sz w:val="17"/>
          </w:rPr>
          <w:t>[R001]</w:t>
        </w:r>
      </w:hyperlink>
      <w:r>
        <w:t xml:space="preserve"> · </w:t>
      </w:r>
      <w:hyperlink r:id="rId12">
        <w:r>
          <w:rPr>
            <w:color w:val="17636B"/>
            <w:u w:val="single"/>
            <w:sz w:val="17"/>
          </w:rPr>
          <w:t>[R002]</w:t>
        </w:r>
      </w:hyperlink>
    </w:p>
    <w:p>
      <w:r>
        <w:t>По физике зафиксирован каталог Lettinck 1994; по метеорологии — издание Lettinck 1999 с частичным Google Books просмотром. Это не бесплатные полные переводы. Для медицинского Sharḥ статья Forcada даёт названия, цепь Гиппократ–Гален–Баджжа и ссылку на издание; сам оригинал остаётся задачей первого приоритета. Чистая машиночитаемая основа для всего корпуса Баджжи не установлена.</w:t>
      </w:r>
      <w:r>
        <w:t xml:space="preserve"> </w:t>
      </w:r>
      <w:hyperlink r:id="rId16">
        <w:r>
          <w:rPr>
            <w:color w:val="17636B"/>
            <w:u w:val="single"/>
            <w:sz w:val="17"/>
          </w:rPr>
          <w:t>[R011]</w:t>
        </w:r>
      </w:hyperlink>
      <w:r>
        <w:t xml:space="preserve"> · </w:t>
      </w:r>
      <w:hyperlink r:id="rId21">
        <w:r>
          <w:rPr>
            <w:color w:val="17636B"/>
            <w:u w:val="single"/>
            <w:sz w:val="17"/>
          </w:rPr>
          <w:t>[R072]</w:t>
        </w:r>
      </w:hyperlink>
      <w:r>
        <w:t xml:space="preserve"> · </w:t>
      </w:r>
      <w:hyperlink r:id="rId18">
        <w:r>
          <w:rPr>
            <w:color w:val="17636B"/>
            <w:u w:val="single"/>
            <w:sz w:val="17"/>
          </w:rPr>
          <w:t>[R077]</w:t>
        </w:r>
      </w:hyperlink>
    </w:p>
    <w:p>
      <w:pPr>
        <w:pStyle w:val="Heading2"/>
      </w:pPr>
      <w:r>
        <w:t>3.2. Ибн Туфайль: Ḥayy</w:t>
      </w:r>
    </w:p>
    <w:p>
      <w:r>
        <w:t>Лучший найденный свободный оригинальный текст — Hindawi: открыты HTML и PDF на 56 страниц, визуально прочитана страница прав. Там раздельно объявлены общественное достояние текста и CC BY 4.0 для дизайна/обложки. Для собственного перевода ToS удобнее брать текстовый слой; при распространении PDF сохранять атрибуцию и уведомление. Это более чистый старт, чем механический импорт неразобранной современной критической редакции.</w:t>
      </w:r>
      <w:r>
        <w:t xml:space="preserve"> </w:t>
      </w:r>
      <w:hyperlink r:id="rId62">
        <w:r>
          <w:rPr>
            <w:color w:val="17636B"/>
            <w:u w:val="single"/>
            <w:sz w:val="17"/>
          </w:rPr>
          <w:t>[R012]</w:t>
        </w:r>
      </w:hyperlink>
    </w:p>
    <w:p>
      <w:r>
        <w:t>Лучшее проверенное факсимиле — QDL, BL Add MS 16659, ff.235v–258r: 46 изображений с Public Domain Mark. Дата 1182 в карточке относится к хиджре, то есть примерно 1768–1769 гг., а не к XII веку нашей эры. Один поздний свидетель даёт основу для транскрипции и перевода именно этих листов, но не заменяет критическое издание. Предложенные PDF примерно 3 GB и IIIF manifest относятся к родительскому объекту; фактическая передача не подтверждена.</w:t>
      </w:r>
      <w:r>
        <w:t xml:space="preserve"> </w:t>
      </w:r>
      <w:hyperlink r:id="rId63">
        <w:r>
          <w:rPr>
            <w:color w:val="17636B"/>
            <w:u w:val="single"/>
            <w:sz w:val="17"/>
          </w:rPr>
          <w:t>[R003]</w:t>
        </w:r>
      </w:hyperlink>
    </w:p>
    <w:p>
      <w:r>
        <w:t>Для старого английского чтения предпочтителен Simon Ockley, 1708, Project Gutenberg №16831: доступны полный HTML и загрузки. PD-заявление ориентировано на США; международное размещение и условия марки PG оцениваются отдельно. Издание Stokes 1929 с участием Fulton найдено в институциональной коллекции Robarts на Internet Archive, но не объявлено автоматически столь же свободным во всех странах.</w:t>
      </w:r>
      <w:r>
        <w:t xml:space="preserve"> </w:t>
      </w:r>
      <w:hyperlink r:id="rId64">
        <w:r>
          <w:rPr>
            <w:color w:val="17636B"/>
            <w:u w:val="single"/>
            <w:sz w:val="17"/>
          </w:rPr>
          <w:t>[R004]</w:t>
        </w:r>
      </w:hyperlink>
      <w:r>
        <w:t xml:space="preserve"> · </w:t>
      </w:r>
      <w:hyperlink r:id="rId65">
        <w:r>
          <w:rPr>
            <w:color w:val="17636B"/>
            <w:u w:val="single"/>
            <w:sz w:val="17"/>
          </w:rPr>
          <w:t>[R076]</w:t>
        </w:r>
      </w:hyperlink>
    </w:p>
    <w:p>
      <w:r>
        <w:t>Современный научный английский вариант — перевод Lenn E. Goodman у University of Chicago Press: защищённое издание для покупки или библиотечного поиска. Русская версия Кузьмина/Крачковского 1920 подтверждена библиографически, но полный авторизованный цифровой вход не найден. OpenITI даёт дополнительный арабский машинный текст, однако у проверенной версии не подтверждена полнота предисловия: coverage — substantial_part.</w:t>
      </w:r>
      <w:r>
        <w:t xml:space="preserve"> </w:t>
      </w:r>
      <w:hyperlink r:id="rId66">
        <w:r>
          <w:rPr>
            <w:color w:val="17636B"/>
            <w:u w:val="single"/>
            <w:sz w:val="17"/>
          </w:rPr>
          <w:t>[R005]</w:t>
        </w:r>
      </w:hyperlink>
      <w:r>
        <w:t xml:space="preserve"> · </w:t>
      </w:r>
      <w:hyperlink r:id="rId67">
        <w:r>
          <w:rPr>
            <w:color w:val="17636B"/>
            <w:u w:val="single"/>
            <w:sz w:val="17"/>
          </w:rPr>
          <w:t>[R029]</w:t>
        </w:r>
      </w:hyperlink>
      <w:r>
        <w:t xml:space="preserve"> · </w:t>
      </w:r>
      <w:hyperlink r:id="rId68">
        <w:r>
          <w:rPr>
            <w:color w:val="17636B"/>
            <w:u w:val="single"/>
            <w:sz w:val="17"/>
          </w:rPr>
          <w:t>[R080]</w:t>
        </w:r>
      </w:hyperlink>
    </w:p>
    <w:p>
      <w:pPr>
        <w:pStyle w:val="Heading2"/>
      </w:pPr>
      <w:r>
        <w:t>3.3. Ибн Рушд: Faṣl, Kašf и Tahāfut</w:t>
      </w:r>
    </w:p>
    <w:p>
      <w:r>
        <w:t>Для Faṣl и Ḍamīma найдено арабо-английское издание Charles E. Butterworth в Islamic Translation Series. Для Kašf — английский перевод Ibrahim Y. Najjar, Faith and Reason in Islam, Oneworld 2001, доступный здесь только в snippet. Tahāfut представлен библиотечной карточкой перевода Simon van den Bergh и полным машинным арабским файлом OpenITI, восходящим к Bouyges 1930. Это разные возможности: научное чтение перевода, библиографическая идентификация и исследование арабского текста.</w:t>
      </w:r>
      <w:r>
        <w:t xml:space="preserve"> </w:t>
      </w:r>
      <w:hyperlink r:id="rId13">
        <w:r>
          <w:rPr>
            <w:color w:val="17636B"/>
            <w:u w:val="single"/>
            <w:sz w:val="17"/>
          </w:rPr>
          <w:t>[R006]</w:t>
        </w:r>
      </w:hyperlink>
      <w:r>
        <w:t xml:space="preserve"> · </w:t>
      </w:r>
      <w:hyperlink r:id="rId69">
        <w:r>
          <w:rPr>
            <w:color w:val="17636B"/>
            <w:u w:val="single"/>
            <w:sz w:val="17"/>
          </w:rPr>
          <w:t>[R010]</w:t>
        </w:r>
      </w:hyperlink>
      <w:r>
        <w:t xml:space="preserve"> · </w:t>
      </w:r>
      <w:hyperlink r:id="rId70">
        <w:r>
          <w:rPr>
            <w:color w:val="17636B"/>
            <w:u w:val="single"/>
            <w:sz w:val="17"/>
          </w:rPr>
          <w:t>[R027]</w:t>
        </w:r>
      </w:hyperlink>
      <w:r>
        <w:t xml:space="preserve"> · </w:t>
      </w:r>
      <w:hyperlink r:id="rId23">
        <w:r>
          <w:rPr>
            <w:color w:val="17636B"/>
            <w:u w:val="single"/>
            <w:sz w:val="17"/>
          </w:rPr>
          <w:t>[R074]</w:t>
        </w:r>
      </w:hyperlink>
    </w:p>
    <w:p>
      <w:r>
        <w:t>OpenITI-версии Faṣl и Tahāfut полезны для локального исследования, но лицензия проекта не превращает весь унаследованный научный аппарат в открытый слой. До зеркалирования, публичного полнотекстового индекса или нового перевода нужна проверка конкретной основы. Русские переводы Minbar оставлены в gaps из-за неоткрывшихся item/PDF; CC-лицензия соседней статьи не заменяет проверку данного перевода.</w:t>
      </w:r>
      <w:r>
        <w:t xml:space="preserve"> </w:t>
      </w:r>
      <w:hyperlink r:id="rId71">
        <w:r>
          <w:rPr>
            <w:color w:val="17636B"/>
            <w:u w:val="single"/>
            <w:sz w:val="17"/>
          </w:rPr>
          <w:t>[R026]</w:t>
        </w:r>
      </w:hyperlink>
      <w:r>
        <w:t xml:space="preserve"> · </w:t>
      </w:r>
      <w:hyperlink r:id="rId70">
        <w:r>
          <w:rPr>
            <w:color w:val="17636B"/>
            <w:u w:val="single"/>
            <w:sz w:val="17"/>
          </w:rPr>
          <w:t>[R027]</w:t>
        </w:r>
      </w:hyperlink>
    </w:p>
    <w:p>
      <w:pPr>
        <w:pStyle w:val="Heading2"/>
      </w:pPr>
      <w:r>
        <w:t>3.4. Ибн Рушд: комментарии</w:t>
      </w:r>
    </w:p>
    <w:p>
      <w:r>
        <w:t>Удобные непосредственно открывшиеся арабские тексты — Poetics и Parva naturalia в Digital Corpus for Graeco-Arabic Studies. XML предлагается рядом с текстом. Это хорошие входы для чтения и исследования, но общая страница GRAR не дала безусловной открытой лицензии на эти конкретные научные редакции. Они не получили автоматических тегов зеркалирования или собственного перевода.</w:t>
      </w:r>
      <w:r>
        <w:t xml:space="preserve"> </w:t>
      </w:r>
      <w:hyperlink r:id="rId28">
        <w:r>
          <w:rPr>
            <w:color w:val="17636B"/>
            <w:u w:val="single"/>
            <w:sz w:val="17"/>
          </w:rPr>
          <w:t>[R019]</w:t>
        </w:r>
      </w:hyperlink>
      <w:r>
        <w:t xml:space="preserve"> · </w:t>
      </w:r>
      <w:hyperlink r:id="rId29">
        <w:r>
          <w:rPr>
            <w:color w:val="17636B"/>
            <w:u w:val="single"/>
            <w:sz w:val="17"/>
          </w:rPr>
          <w:t>[R020]</w:t>
        </w:r>
      </w:hyperlink>
    </w:p>
    <w:p>
      <w:r>
        <w:t>Сильные современные англоязычные входы: Большой комментарий к De anima в переводе Richard C. Taylor, Средний комментарий в издании Alfred L. Ivry, комментарий к «Государству» Платона в переводе Ralph Lerner, эпитома «Метафизики» в переводе Rüdiger Arnzen. Все сохранены как законные защищённые варианты; ни один не признан свободным из-за древности Рушда.</w:t>
      </w:r>
      <w:r>
        <w:t xml:space="preserve"> </w:t>
      </w:r>
      <w:hyperlink r:id="rId25">
        <w:r>
          <w:rPr>
            <w:color w:val="17636B"/>
            <w:u w:val="single"/>
            <w:sz w:val="17"/>
          </w:rPr>
          <w:t>[R014]</w:t>
        </w:r>
      </w:hyperlink>
      <w:r>
        <w:t xml:space="preserve"> · </w:t>
      </w:r>
      <w:hyperlink r:id="rId26">
        <w:r>
          <w:rPr>
            <w:color w:val="17636B"/>
            <w:u w:val="single"/>
            <w:sz w:val="17"/>
          </w:rPr>
          <w:t>[R015]</w:t>
        </w:r>
      </w:hyperlink>
      <w:r>
        <w:t xml:space="preserve"> · </w:t>
      </w:r>
      <w:hyperlink r:id="rId27">
        <w:r>
          <w:rPr>
            <w:color w:val="17636B"/>
            <w:u w:val="single"/>
            <w:sz w:val="17"/>
          </w:rPr>
          <w:t>[R016]</w:t>
        </w:r>
      </w:hyperlink>
      <w:r>
        <w:t xml:space="preserve"> · </w:t>
      </w:r>
      <w:hyperlink r:id="rId32">
        <w:r>
          <w:rPr>
            <w:color w:val="17636B"/>
            <w:u w:val="single"/>
            <w:sz w:val="17"/>
          </w:rPr>
          <w:t>[R051]</w:t>
        </w:r>
      </w:hyperlink>
    </w:p>
    <w:p>
      <w:r>
        <w:t>Для латинского чтения особенно полезна серия Juntina 1562 на SIEPM: отдельные тома и части охватывают логику, риторику/поэтику, этику/политику, физику, естественные сочинения, метафизику, медицину и психологию. Тринадцать строк означают тринадцать различимых файлов/частей многотомника, не тринадцать независимых корпусов. Каталог и имена файлов открылись; PDF-просмотрщики остались Loading. Комплектность каждого файла ещё надо подтвердить.</w:t>
      </w:r>
      <w:r>
        <w:t xml:space="preserve"> </w:t>
      </w:r>
      <w:hyperlink r:id="rId49">
        <w:r>
          <w:rPr>
            <w:color w:val="17636B"/>
            <w:u w:val="single"/>
            <w:sz w:val="17"/>
          </w:rPr>
          <w:t>[R030]</w:t>
        </w:r>
      </w:hyperlink>
      <w:r>
        <w:t xml:space="preserve"> · </w:t>
      </w:r>
      <w:hyperlink r:id="rId72">
        <w:r>
          <w:rPr>
            <w:color w:val="17636B"/>
            <w:u w:val="single"/>
            <w:sz w:val="17"/>
          </w:rPr>
          <w:t>[R031]</w:t>
        </w:r>
      </w:hyperlink>
      <w:r>
        <w:t xml:space="preserve"> · </w:t>
      </w:r>
      <w:hyperlink r:id="rId73">
        <w:r>
          <w:rPr>
            <w:color w:val="17636B"/>
            <w:u w:val="single"/>
            <w:sz w:val="17"/>
          </w:rPr>
          <w:t>[R032]</w:t>
        </w:r>
      </w:hyperlink>
      <w:r>
        <w:t xml:space="preserve"> · </w:t>
      </w:r>
      <w:hyperlink r:id="rId74">
        <w:r>
          <w:rPr>
            <w:color w:val="17636B"/>
            <w:u w:val="single"/>
            <w:sz w:val="17"/>
          </w:rPr>
          <w:t>[R033]</w:t>
        </w:r>
      </w:hyperlink>
      <w:r>
        <w:t xml:space="preserve"> · </w:t>
      </w:r>
      <w:hyperlink r:id="rId50">
        <w:r>
          <w:rPr>
            <w:color w:val="17636B"/>
            <w:u w:val="single"/>
            <w:sz w:val="17"/>
          </w:rPr>
          <w:t>[R034]</w:t>
        </w:r>
      </w:hyperlink>
      <w:r>
        <w:t xml:space="preserve"> · </w:t>
      </w:r>
      <w:hyperlink r:id="rId75">
        <w:r>
          <w:rPr>
            <w:color w:val="17636B"/>
            <w:u w:val="single"/>
            <w:sz w:val="17"/>
          </w:rPr>
          <w:t>[R035]</w:t>
        </w:r>
      </w:hyperlink>
      <w:r>
        <w:t xml:space="preserve"> · </w:t>
      </w:r>
      <w:hyperlink r:id="rId76">
        <w:r>
          <w:rPr>
            <w:color w:val="17636B"/>
            <w:u w:val="single"/>
            <w:sz w:val="17"/>
          </w:rPr>
          <w:t>[R036]</w:t>
        </w:r>
      </w:hyperlink>
      <w:r>
        <w:t xml:space="preserve"> · </w:t>
      </w:r>
      <w:hyperlink r:id="rId77">
        <w:r>
          <w:rPr>
            <w:color w:val="17636B"/>
            <w:u w:val="single"/>
            <w:sz w:val="17"/>
          </w:rPr>
          <w:t>[R037]</w:t>
        </w:r>
      </w:hyperlink>
      <w:r>
        <w:t xml:space="preserve"> · </w:t>
      </w:r>
      <w:hyperlink r:id="rId78">
        <w:r>
          <w:rPr>
            <w:color w:val="17636B"/>
            <w:u w:val="single"/>
            <w:sz w:val="17"/>
          </w:rPr>
          <w:t>[R038]</w:t>
        </w:r>
      </w:hyperlink>
      <w:r>
        <w:t xml:space="preserve"> · </w:t>
      </w:r>
      <w:hyperlink r:id="rId79">
        <w:r>
          <w:rPr>
            <w:color w:val="17636B"/>
            <w:u w:val="single"/>
            <w:sz w:val="17"/>
          </w:rPr>
          <w:t>[R039]</w:t>
        </w:r>
      </w:hyperlink>
      <w:r>
        <w:t xml:space="preserve"> · </w:t>
      </w:r>
      <w:hyperlink r:id="rId80">
        <w:r>
          <w:rPr>
            <w:color w:val="17636B"/>
            <w:u w:val="single"/>
            <w:sz w:val="17"/>
          </w:rPr>
          <w:t>[R040]</w:t>
        </w:r>
      </w:hyperlink>
      <w:r>
        <w:t xml:space="preserve"> · </w:t>
      </w:r>
      <w:hyperlink r:id="rId81">
        <w:r>
          <w:rPr>
            <w:color w:val="17636B"/>
            <w:u w:val="single"/>
            <w:sz w:val="17"/>
          </w:rPr>
          <w:t>[R041]</w:t>
        </w:r>
      </w:hyperlink>
      <w:r>
        <w:t xml:space="preserve"> · </w:t>
      </w:r>
      <w:hyperlink r:id="rId82">
        <w:r>
          <w:rPr>
            <w:color w:val="17636B"/>
            <w:u w:val="single"/>
            <w:sz w:val="17"/>
          </w:rPr>
          <w:t>[R042]</w:t>
        </w:r>
      </w:hyperlink>
    </w:p>
    <w:p>
      <w:r>
        <w:t>CCAA на той же площадке предоставляет отдельные научные латинские и еврейские издания De anima, De generatione et corruptione, логических комментариев, Parva и De substantia orbis. Разрешение Medieval Academy размещать их у SIEPM делает путь ценным, но не даёт ToS права повторного хостинга. Для еврейских рукописных версий DARE сохранены шифры и диапазоны листов, однако проверенные viewer-URL вернули ошибки.</w:t>
      </w:r>
      <w:r>
        <w:t xml:space="preserve"> </w:t>
      </w:r>
      <w:hyperlink r:id="rId53">
        <w:r>
          <w:rPr>
            <w:color w:val="17636B"/>
            <w:u w:val="single"/>
            <w:sz w:val="17"/>
          </w:rPr>
          <w:t>[R045]</w:t>
        </w:r>
      </w:hyperlink>
      <w:r>
        <w:t xml:space="preserve"> · </w:t>
      </w:r>
      <w:hyperlink r:id="rId83">
        <w:r>
          <w:rPr>
            <w:color w:val="17636B"/>
            <w:u w:val="single"/>
            <w:sz w:val="17"/>
          </w:rPr>
          <w:t>[R046]</w:t>
        </w:r>
      </w:hyperlink>
      <w:r>
        <w:t xml:space="preserve"> · </w:t>
      </w:r>
      <w:hyperlink r:id="rId30">
        <w:r>
          <w:rPr>
            <w:color w:val="17636B"/>
            <w:u w:val="single"/>
            <w:sz w:val="17"/>
          </w:rPr>
          <w:t>[R047]</w:t>
        </w:r>
      </w:hyperlink>
      <w:r>
        <w:t xml:space="preserve"> · </w:t>
      </w:r>
      <w:hyperlink r:id="rId31">
        <w:r>
          <w:rPr>
            <w:color w:val="17636B"/>
            <w:u w:val="single"/>
            <w:sz w:val="17"/>
          </w:rPr>
          <w:t>[R048]</w:t>
        </w:r>
      </w:hyperlink>
      <w:r>
        <w:t xml:space="preserve"> · </w:t>
      </w:r>
      <w:hyperlink r:id="rId84">
        <w:r>
          <w:rPr>
            <w:color w:val="17636B"/>
            <w:u w:val="single"/>
            <w:sz w:val="17"/>
          </w:rPr>
          <w:t>[R049]</w:t>
        </w:r>
      </w:hyperlink>
      <w:r>
        <w:t xml:space="preserve"> · </w:t>
      </w:r>
      <w:hyperlink r:id="rId54">
        <w:r>
          <w:rPr>
            <w:color w:val="17636B"/>
            <w:u w:val="single"/>
            <w:sz w:val="17"/>
          </w:rPr>
          <w:t>[R050]</w:t>
        </w:r>
      </w:hyperlink>
      <w:r>
        <w:t xml:space="preserve"> · </w:t>
      </w:r>
      <w:hyperlink r:id="rId55">
        <w:r>
          <w:rPr>
            <w:color w:val="17636B"/>
            <w:u w:val="single"/>
            <w:sz w:val="17"/>
          </w:rPr>
          <w:t>[R058]</w:t>
        </w:r>
      </w:hyperlink>
      <w:r>
        <w:t xml:space="preserve"> · </w:t>
      </w:r>
      <w:hyperlink r:id="rId56">
        <w:r>
          <w:rPr>
            <w:color w:val="17636B"/>
            <w:u w:val="single"/>
            <w:sz w:val="17"/>
          </w:rPr>
          <w:t>[R060]</w:t>
        </w:r>
      </w:hyperlink>
      <w:r>
        <w:t xml:space="preserve"> · </w:t>
      </w:r>
      <w:hyperlink r:id="rId57">
        <w:r>
          <w:rPr>
            <w:color w:val="17636B"/>
            <w:u w:val="single"/>
            <w:sz w:val="17"/>
          </w:rPr>
          <w:t>[R062]</w:t>
        </w:r>
      </w:hyperlink>
      <w:r>
        <w:t xml:space="preserve"> · </w:t>
      </w:r>
      <w:hyperlink r:id="rId58">
        <w:r>
          <w:rPr>
            <w:color w:val="17636B"/>
            <w:u w:val="single"/>
            <w:sz w:val="17"/>
          </w:rPr>
          <w:t>[R065]</w:t>
        </w:r>
      </w:hyperlink>
    </w:p>
    <w:p>
      <w:pPr>
        <w:pStyle w:val="Heading2"/>
      </w:pPr>
      <w:r>
        <w:t>3.5. Медицина: общий и клинический слои</w:t>
      </w:r>
    </w:p>
    <w:p>
      <w:r>
        <w:t>Лучший найденный бесплатный цифровой вход в совместную латинскую рецепцию Taysīr–Colliget — инкунабула 1496 года из институциональной коллекции NLM на Internet Archive. Карточка Wellcome сохранена отдельно как библиотечный вход, а не как обещание скана. Арабские критические Kulliyyāt и Commentaria in Galenum пока представлены каталогами. OpenITI Kulliyyāt полезен машинно, но не удостоверяет охват всех книг/томов.</w:t>
      </w:r>
      <w:r>
        <w:t xml:space="preserve"> </w:t>
      </w:r>
      <w:hyperlink r:id="rId14">
        <w:r>
          <w:rPr>
            <w:color w:val="17636B"/>
            <w:u w:val="single"/>
            <w:sz w:val="17"/>
          </w:rPr>
          <w:t>[R007]</w:t>
        </w:r>
      </w:hyperlink>
      <w:r>
        <w:t xml:space="preserve"> · </w:t>
      </w:r>
      <w:hyperlink r:id="rId15">
        <w:r>
          <w:rPr>
            <w:color w:val="17636B"/>
            <w:u w:val="single"/>
            <w:sz w:val="17"/>
          </w:rPr>
          <w:t>[R008]</w:t>
        </w:r>
      </w:hyperlink>
      <w:r>
        <w:t xml:space="preserve"> · </w:t>
      </w:r>
      <w:hyperlink r:id="rId85">
        <w:r>
          <w:rPr>
            <w:color w:val="17636B"/>
            <w:u w:val="single"/>
            <w:sz w:val="17"/>
          </w:rPr>
          <w:t>[R009]</w:t>
        </w:r>
      </w:hyperlink>
      <w:r>
        <w:t xml:space="preserve"> · </w:t>
      </w:r>
      <w:hyperlink r:id="rId17">
        <w:r>
          <w:rPr>
            <w:color w:val="17636B"/>
            <w:u w:val="single"/>
            <w:sz w:val="17"/>
          </w:rPr>
          <w:t>[R013]</w:t>
        </w:r>
      </w:hyperlink>
      <w:r>
        <w:t xml:space="preserve"> · </w:t>
      </w:r>
      <w:hyperlink r:id="rId86">
        <w:r>
          <w:rPr>
            <w:color w:val="17636B"/>
            <w:u w:val="single"/>
            <w:sz w:val="17"/>
          </w:rPr>
          <w:t>[R028]</w:t>
        </w:r>
      </w:hyperlink>
    </w:p>
    <w:p>
      <w:r>
        <w:t>Комментарий к медицинской поэме Ибн Сины доступен в защищённом издании Avicennae Cantica 2010: арабский, латинский и испанский слои; покупка через UNEBOOK. Он не совпадает с медицинской поэмой Ибн Туфайля. Для последней проверено UNESCO-досье: цифровая копия и микрофильм доступны исследователям в читальном зале после регистрации; полного онлайн-факсимиле не найдено.</w:t>
      </w:r>
      <w:r>
        <w:t xml:space="preserve"> </w:t>
      </w:r>
      <w:hyperlink r:id="rId19">
        <w:r>
          <w:rPr>
            <w:color w:val="17636B"/>
            <w:u w:val="single"/>
            <w:sz w:val="17"/>
          </w:rPr>
          <w:t>[R052]</w:t>
        </w:r>
      </w:hyperlink>
      <w:r>
        <w:t xml:space="preserve"> · </w:t>
      </w:r>
      <w:hyperlink r:id="rId24">
        <w:r>
          <w:rPr>
            <w:color w:val="17636B"/>
            <w:u w:val="single"/>
            <w:sz w:val="17"/>
          </w:rPr>
          <w:t>[R075]</w:t>
        </w:r>
      </w:hyperlink>
    </w:p>
    <w:p>
      <w:r>
        <w:t>Для Kitāb al-aghdhiya Зухра найден английский перевод в диссертации Mersita Medikawati 2011. Открытый файл на 24 страницы — предварительная часть, а полный перевод требует учётной записи IIUM для студентов/сотрудников. Это не свободная регистрация для любого читателя и не полный бесплатный перевод. Ограничения относятся к разным файлам одной записи.</w:t>
      </w:r>
      <w:r>
        <w:t xml:space="preserve"> </w:t>
      </w:r>
      <w:hyperlink r:id="rId20">
        <w:r>
          <w:rPr>
            <w:color w:val="17636B"/>
            <w:u w:val="single"/>
            <w:sz w:val="17"/>
          </w:rPr>
          <w:t>[R053]</w:t>
        </w:r>
      </w:hyperlink>
    </w:p>
    <w:p>
      <w:pPr>
        <w:pStyle w:val="Heading2"/>
      </w:pPr>
      <w:r>
        <w:t>3.6. Источники и тексты сохранения</w:t>
      </w:r>
    </w:p>
    <w:p>
      <w:r>
        <w:t>Гален на «Афоризмы» — редкий здесь случай одновременно полного арабского научного издания и прямого CC BY 4.0. Обе цифровые части, охватывающие I–VII, проверены; лицензия касается текста редакторов, не фотографий перечисленных рукописей. Это перспективная открытая основа медицинской ветви для нового перевода, индекса и цитатного сопоставления.</w:t>
      </w:r>
      <w:r>
        <w:t xml:space="preserve"> </w:t>
      </w:r>
      <w:hyperlink r:id="rId44">
        <w:r>
          <w:rPr>
            <w:color w:val="17636B"/>
            <w:u w:val="single"/>
            <w:sz w:val="17"/>
          </w:rPr>
          <w:t>[R025]</w:t>
        </w:r>
      </w:hyperlink>
    </w:p>
    <w:p>
      <w:r>
        <w:t>QDL даёт два отдельных свидетеля ранней линии Ḥayy: пять изображений текста Ибн Сины и семнадцать изображений комментария Ибн Зайлы, каждый со своим scope. Brill Scholarly Editions даёт арабско-английскую ʿUyūn al-anbāʾ по CC BY-NC 4.0; для T2-12 приоритетна глава 13. Подтверждены официальная версия и лицензия, но JS-интерфейс не позволил проверить каждый сегмент параллельного текста.</w:t>
      </w:r>
      <w:r>
        <w:t xml:space="preserve"> </w:t>
      </w:r>
      <w:hyperlink r:id="rId60">
        <w:r>
          <w:rPr>
            <w:color w:val="17636B"/>
            <w:u w:val="single"/>
            <w:sz w:val="17"/>
          </w:rPr>
          <w:t>[R055]</w:t>
        </w:r>
      </w:hyperlink>
      <w:r>
        <w:t xml:space="preserve"> · </w:t>
      </w:r>
      <w:hyperlink r:id="rId47">
        <w:r>
          <w:rPr>
            <w:color w:val="17636B"/>
            <w:u w:val="single"/>
            <w:sz w:val="17"/>
          </w:rPr>
          <w:t>[R068]</w:t>
        </w:r>
      </w:hyperlink>
      <w:r>
        <w:t xml:space="preserve"> · </w:t>
      </w:r>
      <w:hyperlink r:id="rId48">
        <w:r>
          <w:rPr>
            <w:color w:val="17636B"/>
            <w:u w:val="single"/>
            <w:sz w:val="17"/>
          </w:rPr>
          <w:t>[R069]</w:t>
        </w:r>
      </w:hyperlink>
    </w:p>
    <w:p>
      <w:r>
        <w:t>Фома Аквинский доступен по-латыни в Corpus Thomisticum, но права цифровой редакции отделены от средневекового оригинала. Для трактата ʿАбдаллаха ибн Рушда проверена научная трёхъязычная идентификация в DARE, а не работающий полный текст. Это полезные исходящие связи без ложного расширения свободного слоя.</w:t>
      </w:r>
      <w:r>
        <w:t xml:space="preserve"> </w:t>
      </w:r>
      <w:hyperlink r:id="rId59">
        <w:r>
          <w:rPr>
            <w:color w:val="17636B"/>
            <w:u w:val="single"/>
            <w:sz w:val="17"/>
          </w:rPr>
          <w:t>[R054]</w:t>
        </w:r>
      </w:hyperlink>
      <w:r>
        <w:t xml:space="preserve"> · </w:t>
      </w:r>
      <w:hyperlink r:id="rId61">
        <w:r>
          <w:rPr>
            <w:color w:val="17636B"/>
            <w:u w:val="single"/>
            <w:sz w:val="17"/>
          </w:rPr>
          <w:t>[R078]</w:t>
        </w:r>
      </w:hyperlink>
    </w:p>
    <w:p>
      <w:pPr>
        <w:pStyle w:val="Heading1"/>
      </w:pPr>
      <w:r>
        <w:t>4. Карта прав и практического использования</w:t>
      </w:r>
    </w:p>
    <w:p>
      <w:r>
        <w:t>Для публичного ToS полезность ресурса не сводится к возможности зеркалирования. Внешняя ссылка, каталожная карточка, читальный зал, покупка, preview и локальная исследовательская копия остаются полноценными результатами. Все теги действуют только в пределах rights_scope и coverage; разрешение на часть или один файл не распространяется на проект целиком.</w:t>
      </w:r>
    </w:p>
    <w:tbl>
      <w:tblPr>
        <w:tblW w:type="auto" w:w="0"/>
        <w:jc w:val="center"/>
        <w:tblLayout w:type="fixed"/>
        <w:tblLook w:firstColumn="1" w:firstRow="1" w:lastColumn="0" w:lastRow="0" w:noHBand="0" w:noVBand="1" w:val="04A0"/>
      </w:tblPr>
      <w:tblGrid>
        <w:gridCol w:w="2098"/>
        <w:gridCol w:w="3288"/>
        <w:gridCol w:w="4139"/>
      </w:tblGrid>
      <w:tr>
        <w:trPr>
          <w:cantSplit/>
          <w:tblHeader/>
        </w:trPr>
        <w:tc>
          <w:tcPr>
            <w:tcW w:type="dxa" w:w="2098"/>
            <w:vAlign w:val="top"/>
            <w:shd w:fill="17354A"/>
          </w:tcPr>
          <w:p>
            <w:pPr>
              <w:spacing w:after="80" w:before="80" w:line="254" w:lineRule="auto"/>
            </w:pPr>
            <w:r>
              <w:rPr>
                <w:b/>
                <w:color w:val="FFFFFF"/>
                <w:sz w:val="17"/>
              </w:rPr>
              <w:t>Слой / записи</w:t>
            </w:r>
          </w:p>
        </w:tc>
        <w:tc>
          <w:tcPr>
            <w:tcW w:type="dxa" w:w="3288"/>
            <w:vAlign w:val="top"/>
            <w:shd w:fill="17354A"/>
          </w:tcPr>
          <w:p>
            <w:pPr>
              <w:spacing w:after="80" w:before="80" w:line="254" w:lineRule="auto"/>
            </w:pPr>
            <w:r>
              <w:rPr>
                <w:b/>
                <w:color w:val="FFFFFF"/>
                <w:sz w:val="17"/>
              </w:rPr>
              <w:t>Направление использования</w:t>
            </w:r>
          </w:p>
        </w:tc>
        <w:tc>
          <w:tcPr>
            <w:tcW w:type="dxa" w:w="4139"/>
            <w:vAlign w:val="top"/>
            <w:shd w:fill="17354A"/>
          </w:tcPr>
          <w:p>
            <w:pPr>
              <w:spacing w:after="80" w:before="80" w:line="254" w:lineRule="auto"/>
            </w:pPr>
            <w:r>
              <w:rPr>
                <w:b/>
                <w:color w:val="FFFFFF"/>
                <w:sz w:val="17"/>
              </w:rPr>
              <w:t>Существенные условия</w:t>
            </w:r>
          </w:p>
        </w:tc>
      </w:tr>
      <w:tr>
        <w:trPr>
          <w:cantSplit/>
        </w:trPr>
        <w:tc>
          <w:tcPr>
            <w:tcW w:type="dxa" w:w="2098"/>
            <w:vAlign w:val="top"/>
            <w:shd w:fill="F0F5F6"/>
          </w:tcPr>
          <w:p>
            <w:pPr>
              <w:spacing w:after="80" w:before="80" w:line="254" w:lineRule="auto"/>
            </w:pPr>
            <w:r>
              <w:rPr>
                <w:sz w:val="17"/>
              </w:rPr>
              <w:t>QDL: R003, R068, R069</w:t>
            </w:r>
          </w:p>
        </w:tc>
        <w:tc>
          <w:tcPr>
            <w:tcW w:type="dxa" w:w="3288"/>
            <w:vAlign w:val="top"/>
            <w:shd w:fill="F0F5F6"/>
          </w:tcPr>
          <w:p>
            <w:pPr>
              <w:spacing w:after="80" w:before="80" w:line="254" w:lineRule="auto"/>
            </w:pPr>
            <w:r>
              <w:rPr>
                <w:sz w:val="17"/>
              </w:rPr>
              <w:t>Копии, транскрипция/OCR, индекс, embeddings и свой перевод указанных свидетелей.</w:t>
            </w:r>
          </w:p>
        </w:tc>
        <w:tc>
          <w:tcPr>
            <w:tcW w:type="dxa" w:w="4139"/>
            <w:vAlign w:val="top"/>
            <w:shd w:fill="F0F5F6"/>
          </w:tcPr>
          <w:p>
            <w:pPr>
              <w:spacing w:after="80" w:before="80" w:line="254" w:lineRule="auto"/>
            </w:pPr>
            <w:r>
              <w:rPr>
                <w:sz w:val="17"/>
              </w:rPr>
              <w:t>Public Domain Mark — обозначение статуса, не лицензия. Только указанные листы и изображения, не весь кодекс и не современный аппарат.</w:t>
            </w:r>
          </w:p>
        </w:tc>
      </w:tr>
      <w:tr>
        <w:trPr>
          <w:cantSplit/>
        </w:trPr>
        <w:tc>
          <w:tcPr>
            <w:tcW w:type="dxa" w:w="2098"/>
            <w:vAlign w:val="top"/>
            <w:shd w:fill="FFFFFF"/>
          </w:tcPr>
          <w:p>
            <w:pPr>
              <w:spacing w:after="80" w:before="80" w:line="254" w:lineRule="auto"/>
            </w:pPr>
            <w:r>
              <w:rPr>
                <w:sz w:val="17"/>
              </w:rPr>
              <w:t>Hindawi: R012</w:t>
            </w:r>
          </w:p>
        </w:tc>
        <w:tc>
          <w:tcPr>
            <w:tcW w:type="dxa" w:w="3288"/>
            <w:vAlign w:val="top"/>
            <w:shd w:fill="FFFFFF"/>
          </w:tcPr>
          <w:p>
            <w:pPr>
              <w:spacing w:after="80" w:before="80" w:line="254" w:lineRule="auto"/>
            </w:pPr>
            <w:r>
              <w:rPr>
                <w:sz w:val="17"/>
              </w:rPr>
              <w:t>Арабский текст и собственный перевод; PDF с атрибуцией.</w:t>
            </w:r>
          </w:p>
        </w:tc>
        <w:tc>
          <w:tcPr>
            <w:tcW w:type="dxa" w:w="4139"/>
            <w:vAlign w:val="top"/>
            <w:shd w:fill="FFFFFF"/>
          </w:tcPr>
          <w:p>
            <w:pPr>
              <w:spacing w:after="80" w:before="80" w:line="254" w:lineRule="auto"/>
            </w:pPr>
            <w:r>
              <w:rPr>
                <w:sz w:val="17"/>
              </w:rPr>
              <w:t>Текст обозначен public domain; дизайн/обложка CC BY 4.0. Сохранять уведомления и различать компоненты.</w:t>
            </w:r>
          </w:p>
        </w:tc>
      </w:tr>
      <w:tr>
        <w:trPr>
          <w:cantSplit/>
        </w:trPr>
        <w:tc>
          <w:tcPr>
            <w:tcW w:type="dxa" w:w="2098"/>
            <w:vAlign w:val="top"/>
            <w:shd w:fill="F0F5F6"/>
          </w:tcPr>
          <w:p>
            <w:pPr>
              <w:spacing w:after="80" w:before="80" w:line="254" w:lineRule="auto"/>
            </w:pPr>
            <w:r>
              <w:rPr>
                <w:sz w:val="17"/>
              </w:rPr>
              <w:t>Гален / GRAR: R025</w:t>
            </w:r>
          </w:p>
        </w:tc>
        <w:tc>
          <w:tcPr>
            <w:tcW w:type="dxa" w:w="3288"/>
            <w:vAlign w:val="top"/>
            <w:shd w:fill="F0F5F6"/>
          </w:tcPr>
          <w:p>
            <w:pPr>
              <w:spacing w:after="80" w:before="80" w:line="254" w:lineRule="auto"/>
            </w:pPr>
            <w:r>
              <w:rPr>
                <w:sz w:val="17"/>
              </w:rPr>
              <w:t>Зеркало и переработка арабского издания, полный индекс, embeddings, перевод.</w:t>
            </w:r>
          </w:p>
        </w:tc>
        <w:tc>
          <w:tcPr>
            <w:tcW w:type="dxa" w:w="4139"/>
            <w:vAlign w:val="top"/>
            <w:shd w:fill="F0F5F6"/>
          </w:tcPr>
          <w:p>
            <w:pPr>
              <w:spacing w:after="80" w:before="80" w:line="254" w:lineRule="auto"/>
            </w:pPr>
            <w:r>
              <w:rPr>
                <w:sz w:val="17"/>
              </w:rPr>
              <w:t>CC BY 4.0: редакторская атрибуция, ссылка на лицензию, обозначение изменений. Фотографии рукописей не включены.</w:t>
            </w:r>
          </w:p>
        </w:tc>
      </w:tr>
      <w:tr>
        <w:trPr>
          <w:cantSplit/>
        </w:trPr>
        <w:tc>
          <w:tcPr>
            <w:tcW w:type="dxa" w:w="2098"/>
            <w:vAlign w:val="top"/>
            <w:shd w:fill="FFFFFF"/>
          </w:tcPr>
          <w:p>
            <w:pPr>
              <w:spacing w:after="80" w:before="80" w:line="254" w:lineRule="auto"/>
            </w:pPr>
            <w:r>
              <w:rPr>
                <w:sz w:val="17"/>
              </w:rPr>
              <w:t>Brill / Усайбиа: R055</w:t>
            </w:r>
          </w:p>
        </w:tc>
        <w:tc>
          <w:tcPr>
            <w:tcW w:type="dxa" w:w="3288"/>
            <w:vAlign w:val="top"/>
            <w:shd w:fill="FFFFFF"/>
          </w:tcPr>
          <w:p>
            <w:pPr>
              <w:spacing w:after="80" w:before="80" w:line="254" w:lineRule="auto"/>
            </w:pPr>
            <w:r>
              <w:rPr>
                <w:sz w:val="17"/>
              </w:rPr>
              <w:t>Некоммерческое зеркало, перевод и исследовательские производные.</w:t>
            </w:r>
          </w:p>
        </w:tc>
        <w:tc>
          <w:tcPr>
            <w:tcW w:type="dxa" w:w="4139"/>
            <w:vAlign w:val="top"/>
            <w:shd w:fill="FFFFFF"/>
          </w:tcPr>
          <w:p>
            <w:pPr>
              <w:spacing w:after="80" w:before="80" w:line="254" w:lineRule="auto"/>
            </w:pPr>
            <w:r>
              <w:rPr>
                <w:sz w:val="17"/>
              </w:rPr>
              <w:t>CC BY-NC 4.0: атрибуция и NC. Не подразумевает самостоятельного использования слоя сторонним коммерческим сервисом.</w:t>
            </w:r>
          </w:p>
        </w:tc>
      </w:tr>
      <w:tr>
        <w:trPr>
          <w:cantSplit/>
        </w:trPr>
        <w:tc>
          <w:tcPr>
            <w:tcW w:type="dxa" w:w="2098"/>
            <w:vAlign w:val="top"/>
            <w:shd w:fill="F0F5F6"/>
          </w:tcPr>
          <w:p>
            <w:pPr>
              <w:spacing w:after="80" w:before="80" w:line="254" w:lineRule="auto"/>
            </w:pPr>
            <w:r>
              <w:rPr>
                <w:sz w:val="17"/>
              </w:rPr>
              <w:t>PG: R004</w:t>
            </w:r>
          </w:p>
        </w:tc>
        <w:tc>
          <w:tcPr>
            <w:tcW w:type="dxa" w:w="3288"/>
            <w:vAlign w:val="top"/>
            <w:shd w:fill="F0F5F6"/>
          </w:tcPr>
          <w:p>
            <w:pPr>
              <w:spacing w:after="80" w:before="80" w:line="254" w:lineRule="auto"/>
            </w:pPr>
            <w:r>
              <w:rPr>
                <w:sz w:val="17"/>
              </w:rPr>
              <w:t>Старый английский текст в заявленной PD-US области.</w:t>
            </w:r>
          </w:p>
        </w:tc>
        <w:tc>
          <w:tcPr>
            <w:tcW w:type="dxa" w:w="4139"/>
            <w:vAlign w:val="top"/>
            <w:shd w:fill="F0F5F6"/>
          </w:tcPr>
          <w:p>
            <w:pPr>
              <w:spacing w:after="80" w:before="80" w:line="254" w:lineRule="auto"/>
            </w:pPr>
            <w:r>
              <w:rPr>
                <w:sz w:val="17"/>
              </w:rPr>
              <w:t>Применимые условия PG; отдельная проверка иных стран. Это не арабская основа своего перевода.</w:t>
            </w:r>
          </w:p>
        </w:tc>
      </w:tr>
      <w:tr>
        <w:trPr>
          <w:cantSplit/>
        </w:trPr>
        <w:tc>
          <w:tcPr>
            <w:tcW w:type="dxa" w:w="2098"/>
            <w:vAlign w:val="top"/>
            <w:shd w:fill="FFFFFF"/>
          </w:tcPr>
          <w:p>
            <w:pPr>
              <w:spacing w:after="80" w:before="80" w:line="254" w:lineRule="auto"/>
            </w:pPr>
            <w:r>
              <w:rPr>
                <w:sz w:val="17"/>
              </w:rPr>
              <w:t>Остальные GRAR; OpenITI; SIEPM; защищённые издания</w:t>
            </w:r>
          </w:p>
        </w:tc>
        <w:tc>
          <w:tcPr>
            <w:tcW w:type="dxa" w:w="3288"/>
            <w:vAlign w:val="top"/>
            <w:shd w:fill="FFFFFF"/>
          </w:tcPr>
          <w:p>
            <w:pPr>
              <w:spacing w:after="80" w:before="80" w:line="254" w:lineRule="auto"/>
            </w:pPr>
            <w:r>
              <w:rPr>
                <w:sz w:val="17"/>
              </w:rPr>
              <w:t>Чтение/загрузка в указанных режимах; исследовательская копия при разрешении; внешняя ссылка.</w:t>
            </w:r>
          </w:p>
        </w:tc>
        <w:tc>
          <w:tcPr>
            <w:tcW w:type="dxa" w:w="4139"/>
            <w:vAlign w:val="top"/>
            <w:shd w:fill="FFFFFF"/>
          </w:tcPr>
          <w:p>
            <w:pPr>
              <w:spacing w:after="80" w:before="80" w:line="254" w:lineRule="auto"/>
            </w:pPr>
            <w:r>
              <w:rPr>
                <w:sz w:val="17"/>
              </w:rPr>
              <w:t>Публичное зеркало, OCR-публикация, индекс, embeddings и новый перевод не получают пакетного разрешения.</w:t>
            </w:r>
          </w:p>
        </w:tc>
      </w:tr>
    </w:tbl>
    <w:p>
      <w:pPr>
        <w:spacing w:after="20"/>
      </w:pPr>
    </w:p>
    <w:p>
      <w:pPr>
        <w:pStyle w:val="Heading2"/>
      </w:pPr>
      <w:r>
        <w:t>Потенциальное зеркало и некоммерческий слой</w:t>
      </w:r>
    </w:p>
    <w:p>
      <w:r>
        <w:t>Наиболее доказанный открытый слой сосредоточен в QDL, Hindawi и новом арабском издании Галена; у Brill добавляется некоммерческое условие. Семь записей содержат положительную рекомендацию по повторному распространению с прямыми rights_evidence_url; PG одновременно требует юрисдикционной проверки. Кнопка Download сама по себе не служила доказательством этих рекомендаций.</w:t>
      </w:r>
      <w:r>
        <w:t xml:space="preserve"> </w:t>
      </w:r>
      <w:hyperlink r:id="rId63">
        <w:r>
          <w:rPr>
            <w:color w:val="17636B"/>
            <w:u w:val="single"/>
            <w:sz w:val="17"/>
          </w:rPr>
          <w:t>[R003]</w:t>
        </w:r>
      </w:hyperlink>
      <w:r>
        <w:t xml:space="preserve"> · </w:t>
      </w:r>
      <w:hyperlink r:id="rId64">
        <w:r>
          <w:rPr>
            <w:color w:val="17636B"/>
            <w:u w:val="single"/>
            <w:sz w:val="17"/>
          </w:rPr>
          <w:t>[R004]</w:t>
        </w:r>
      </w:hyperlink>
      <w:r>
        <w:t xml:space="preserve"> · </w:t>
      </w:r>
      <w:hyperlink r:id="rId62">
        <w:r>
          <w:rPr>
            <w:color w:val="17636B"/>
            <w:u w:val="single"/>
            <w:sz w:val="17"/>
          </w:rPr>
          <w:t>[R012]</w:t>
        </w:r>
      </w:hyperlink>
      <w:r>
        <w:t xml:space="preserve"> · </w:t>
      </w:r>
      <w:hyperlink r:id="rId44">
        <w:r>
          <w:rPr>
            <w:color w:val="17636B"/>
            <w:u w:val="single"/>
            <w:sz w:val="17"/>
          </w:rPr>
          <w:t>[R025]</w:t>
        </w:r>
      </w:hyperlink>
      <w:r>
        <w:t xml:space="preserve"> · </w:t>
      </w:r>
      <w:hyperlink r:id="rId60">
        <w:r>
          <w:rPr>
            <w:color w:val="17636B"/>
            <w:u w:val="single"/>
            <w:sz w:val="17"/>
          </w:rPr>
          <w:t>[R055]</w:t>
        </w:r>
      </w:hyperlink>
      <w:r>
        <w:t xml:space="preserve"> · </w:t>
      </w:r>
      <w:hyperlink r:id="rId47">
        <w:r>
          <w:rPr>
            <w:color w:val="17636B"/>
            <w:u w:val="single"/>
            <w:sz w:val="17"/>
          </w:rPr>
          <w:t>[R068]</w:t>
        </w:r>
      </w:hyperlink>
      <w:r>
        <w:t xml:space="preserve"> · </w:t>
      </w:r>
      <w:hyperlink r:id="rId48">
        <w:r>
          <w:rPr>
            <w:color w:val="17636B"/>
            <w:u w:val="single"/>
            <w:sz w:val="17"/>
          </w:rPr>
          <w:t>[R069]</w:t>
        </w:r>
      </w:hyperlink>
    </w:p>
    <w:p>
      <w:r>
        <w:t>Подтверждённого отдельного ND-набора, который можно было бы рекомендовать распространять исключительно неизменённым, не найдено. Поэтому UNCHANGED_ONLY не присваивался для заполнения категории. Это не означает разрешения изменять все прочие материалы: при неустановленных правах публикация исходного и изменённого файла одинаково не разрешена автоматически.</w:t>
      </w:r>
    </w:p>
    <w:p>
      <w:r>
        <w:t>CC BY-NC 4.0 у ʿUyūn al-anbāʾ пригодна для некоммерческого образовательного проекта с атрибуцией. OpenITI заявляет CC BY-NC-SA 4.0 для лицензируемого проектного слоя, но у файлов остаются вопросы к печатной основе и редакторским добавлениям. NC/SA — не причина исключить ресурс, но и не автоматическое разрешение публичной раздачи всего raw-файла.</w:t>
      </w:r>
      <w:r>
        <w:t xml:space="preserve"> </w:t>
      </w:r>
      <w:hyperlink r:id="rId71">
        <w:r>
          <w:rPr>
            <w:color w:val="17636B"/>
            <w:u w:val="single"/>
            <w:sz w:val="17"/>
          </w:rPr>
          <w:t>[R026]</w:t>
        </w:r>
      </w:hyperlink>
      <w:r>
        <w:t xml:space="preserve"> · </w:t>
      </w:r>
      <w:hyperlink r:id="rId70">
        <w:r>
          <w:rPr>
            <w:color w:val="17636B"/>
            <w:u w:val="single"/>
            <w:sz w:val="17"/>
          </w:rPr>
          <w:t>[R027]</w:t>
        </w:r>
      </w:hyperlink>
      <w:r>
        <w:t xml:space="preserve"> · </w:t>
      </w:r>
      <w:hyperlink r:id="rId86">
        <w:r>
          <w:rPr>
            <w:color w:val="17636B"/>
            <w:u w:val="single"/>
            <w:sz w:val="17"/>
          </w:rPr>
          <w:t>[R028]</w:t>
        </w:r>
      </w:hyperlink>
      <w:r>
        <w:t xml:space="preserve"> · </w:t>
      </w:r>
      <w:hyperlink r:id="rId67">
        <w:r>
          <w:rPr>
            <w:color w:val="17636B"/>
            <w:u w:val="single"/>
            <w:sz w:val="17"/>
          </w:rPr>
          <w:t>[R029]</w:t>
        </w:r>
      </w:hyperlink>
      <w:r>
        <w:t xml:space="preserve"> · </w:t>
      </w:r>
      <w:hyperlink r:id="rId60">
        <w:r>
          <w:rPr>
            <w:color w:val="17636B"/>
            <w:u w:val="single"/>
            <w:sz w:val="17"/>
          </w:rPr>
          <w:t>[R055]</w:t>
        </w:r>
      </w:hyperlink>
      <w:r>
        <w:t xml:space="preserve"> · </w:t>
      </w:r>
      <w:hyperlink r:id="rId87">
        <w:r>
          <w:rPr>
            <w:color w:val="17636B"/>
            <w:u w:val="single"/>
            <w:sz w:val="17"/>
          </w:rPr>
          <w:t>[R079]</w:t>
        </w:r>
      </w:hyperlink>
    </w:p>
    <w:p>
      <w:pPr>
        <w:pStyle w:val="Heading2"/>
      </w:pPr>
      <w:r>
        <w:t>OCR, индекс, embeddings и собственный перевод</w:t>
      </w:r>
    </w:p>
    <w:p>
      <w:r>
        <w:t>Эти действия оценены отдельно. Возможность OCR изображений QDL не обещает качественного распознавания арабской рукописи; может потребоваться ручная транскрипция. У Галена уже есть цифровой текст, поэтому OCR-тег не нужен. Полнотекстовый индекс и embeddings разрешены здесь положительными тегами только для явно открытого слоя, с NC у Brill. Публичный индекс, воспроизводящий текст, не приравнивается к внутреннему поиску по законно полученной копии.</w:t>
      </w:r>
    </w:p>
    <w:p>
      <w:r>
        <w:t>OWN_TRANSLATION_POSSIBLE поставлен для Hindawi, открытого арабского Галена, лицензированного арабского слоя Brill и трёх отдельных свидетелей QDL. Для защищённого критического издания, перевода-посредника и неочищенного OpenITI-файла он не поставлен. Перевод с одного позднего свидетеля следует так и называть: он не получает автоматически авторитет реконструированного оригинала.</w:t>
      </w:r>
      <w:r>
        <w:t xml:space="preserve"> </w:t>
      </w:r>
      <w:hyperlink r:id="rId63">
        <w:r>
          <w:rPr>
            <w:color w:val="17636B"/>
            <w:u w:val="single"/>
            <w:sz w:val="17"/>
          </w:rPr>
          <w:t>[R003]</w:t>
        </w:r>
      </w:hyperlink>
      <w:r>
        <w:t xml:space="preserve"> · </w:t>
      </w:r>
      <w:hyperlink r:id="rId62">
        <w:r>
          <w:rPr>
            <w:color w:val="17636B"/>
            <w:u w:val="single"/>
            <w:sz w:val="17"/>
          </w:rPr>
          <w:t>[R012]</w:t>
        </w:r>
      </w:hyperlink>
      <w:r>
        <w:t xml:space="preserve"> · </w:t>
      </w:r>
      <w:hyperlink r:id="rId44">
        <w:r>
          <w:rPr>
            <w:color w:val="17636B"/>
            <w:u w:val="single"/>
            <w:sz w:val="17"/>
          </w:rPr>
          <w:t>[R025]</w:t>
        </w:r>
      </w:hyperlink>
      <w:r>
        <w:t xml:space="preserve"> · </w:t>
      </w:r>
      <w:hyperlink r:id="rId60">
        <w:r>
          <w:rPr>
            <w:color w:val="17636B"/>
            <w:u w:val="single"/>
            <w:sz w:val="17"/>
          </w:rPr>
          <w:t>[R055]</w:t>
        </w:r>
      </w:hyperlink>
      <w:r>
        <w:t xml:space="preserve"> · </w:t>
      </w:r>
      <w:hyperlink r:id="rId47">
        <w:r>
          <w:rPr>
            <w:color w:val="17636B"/>
            <w:u w:val="single"/>
            <w:sz w:val="17"/>
          </w:rPr>
          <w:t>[R068]</w:t>
        </w:r>
      </w:hyperlink>
      <w:r>
        <w:t xml:space="preserve"> · </w:t>
      </w:r>
      <w:hyperlink r:id="rId48">
        <w:r>
          <w:rPr>
            <w:color w:val="17636B"/>
            <w:u w:val="single"/>
            <w:sz w:val="17"/>
          </w:rPr>
          <w:t>[R069]</w:t>
        </w:r>
      </w:hyperlink>
    </w:p>
    <w:p>
      <w:r>
        <w:t>Права программного кода не использованы как доказательство прав на корпус. Разрешение на читальный зал или университетскую репозиторную копию также не даёт ToS право распространять диссертацию или музейное факсимиле. Если положительный тег соседствует с RIGHTS_REVIEW_REQUIRED, он относится только к явно оговорённому компоненту и действию.</w:t>
      </w:r>
      <w:r>
        <w:t xml:space="preserve"> </w:t>
      </w:r>
      <w:hyperlink r:id="rId19">
        <w:r>
          <w:rPr>
            <w:color w:val="17636B"/>
            <w:u w:val="single"/>
            <w:sz w:val="17"/>
          </w:rPr>
          <w:t>[R052]</w:t>
        </w:r>
      </w:hyperlink>
      <w:r>
        <w:t xml:space="preserve"> · </w:t>
      </w:r>
      <w:hyperlink r:id="rId20">
        <w:r>
          <w:rPr>
            <w:color w:val="17636B"/>
            <w:u w:val="single"/>
            <w:sz w:val="17"/>
          </w:rPr>
          <w:t>[R053]</w:t>
        </w:r>
      </w:hyperlink>
    </w:p>
    <w:p>
      <w:pPr>
        <w:pStyle w:val="Heading1"/>
      </w:pPr>
      <w:r>
        <w:t>5. Характерные правовые и библиографические тонкости</w:t>
      </w:r>
    </w:p>
    <w:p>
      <w:pPr>
        <w:pStyle w:val="Heading2"/>
      </w:pPr>
      <w:r>
        <w:t>Древний текст, современная версия, цифровой объект</w:t>
      </w:r>
    </w:p>
    <w:p>
      <w:r>
        <w:t>Для этой строки особенно опасно принять свободный средневековый оригинал за свободный современный перевод или критическую реконструкцию. Книги Taylor, Ivry, Lerner, Arnzen, Butterworth, Najjar и современные арабские медицинские издания сохранены как полезные защищённые варианты. Отсутствие открытой лицензии не мешает их исследовательской значимости, но исключает безусловное зеркало.</w:t>
      </w:r>
      <w:r>
        <w:t xml:space="preserve"> </w:t>
      </w:r>
      <w:hyperlink r:id="rId13">
        <w:r>
          <w:rPr>
            <w:color w:val="17636B"/>
            <w:u w:val="single"/>
            <w:sz w:val="17"/>
          </w:rPr>
          <w:t>[R006]</w:t>
        </w:r>
      </w:hyperlink>
      <w:r>
        <w:t xml:space="preserve"> · </w:t>
      </w:r>
      <w:hyperlink r:id="rId14">
        <w:r>
          <w:rPr>
            <w:color w:val="17636B"/>
            <w:u w:val="single"/>
            <w:sz w:val="17"/>
          </w:rPr>
          <w:t>[R007]</w:t>
        </w:r>
      </w:hyperlink>
      <w:r>
        <w:t xml:space="preserve"> · </w:t>
      </w:r>
      <w:hyperlink r:id="rId15">
        <w:r>
          <w:rPr>
            <w:color w:val="17636B"/>
            <w:u w:val="single"/>
            <w:sz w:val="17"/>
          </w:rPr>
          <w:t>[R008]</w:t>
        </w:r>
      </w:hyperlink>
      <w:r>
        <w:t xml:space="preserve"> · </w:t>
      </w:r>
      <w:hyperlink r:id="rId25">
        <w:r>
          <w:rPr>
            <w:color w:val="17636B"/>
            <w:u w:val="single"/>
            <w:sz w:val="17"/>
          </w:rPr>
          <w:t>[R014]</w:t>
        </w:r>
      </w:hyperlink>
      <w:r>
        <w:t xml:space="preserve"> · </w:t>
      </w:r>
      <w:hyperlink r:id="rId26">
        <w:r>
          <w:rPr>
            <w:color w:val="17636B"/>
            <w:u w:val="single"/>
            <w:sz w:val="17"/>
          </w:rPr>
          <w:t>[R015]</w:t>
        </w:r>
      </w:hyperlink>
      <w:r>
        <w:t xml:space="preserve"> · </w:t>
      </w:r>
      <w:hyperlink r:id="rId27">
        <w:r>
          <w:rPr>
            <w:color w:val="17636B"/>
            <w:u w:val="single"/>
            <w:sz w:val="17"/>
          </w:rPr>
          <w:t>[R016]</w:t>
        </w:r>
      </w:hyperlink>
      <w:r>
        <w:t xml:space="preserve"> · </w:t>
      </w:r>
      <w:hyperlink r:id="rId32">
        <w:r>
          <w:rPr>
            <w:color w:val="17636B"/>
            <w:u w:val="single"/>
            <w:sz w:val="17"/>
          </w:rPr>
          <w:t>[R051]</w:t>
        </w:r>
      </w:hyperlink>
      <w:r>
        <w:t xml:space="preserve"> · </w:t>
      </w:r>
      <w:hyperlink r:id="rId23">
        <w:r>
          <w:rPr>
            <w:color w:val="17636B"/>
            <w:u w:val="single"/>
            <w:sz w:val="17"/>
          </w:rPr>
          <w:t>[R074]</w:t>
        </w:r>
      </w:hyperlink>
      <w:r>
        <w:t xml:space="preserve"> · </w:t>
      </w:r>
      <w:hyperlink r:id="rId24">
        <w:r>
          <w:rPr>
            <w:color w:val="17636B"/>
            <w:u w:val="single"/>
            <w:sz w:val="17"/>
          </w:rPr>
          <w:t>[R075]</w:t>
        </w:r>
      </w:hyperlink>
    </w:p>
    <w:p>
      <w:r>
        <w:t>Скан ранней печати и электронная транскрипция — не один объект. Можно иметь старый латинский текст, современную научную разметку и ограниченные условия сайта. SIEPM, DARE и Internet Archive не объявлены открытыми целиком. У NLM и Robarts проверено институциональное происхождение загрузки; само присутствие на Internet Archive доказательством права не считалось.</w:t>
      </w:r>
      <w:r>
        <w:t xml:space="preserve"> </w:t>
      </w:r>
      <w:hyperlink r:id="rId17">
        <w:r>
          <w:rPr>
            <w:color w:val="17636B"/>
            <w:u w:val="single"/>
            <w:sz w:val="17"/>
          </w:rPr>
          <w:t>[R013]</w:t>
        </w:r>
      </w:hyperlink>
      <w:r>
        <w:t xml:space="preserve"> · </w:t>
      </w:r>
      <w:hyperlink r:id="rId88">
        <w:r>
          <w:rPr>
            <w:color w:val="17636B"/>
            <w:u w:val="single"/>
            <w:sz w:val="17"/>
          </w:rPr>
          <w:t>[R018]</w:t>
        </w:r>
      </w:hyperlink>
      <w:r>
        <w:t xml:space="preserve"> · </w:t>
      </w:r>
      <w:hyperlink r:id="rId65">
        <w:r>
          <w:rPr>
            <w:color w:val="17636B"/>
            <w:u w:val="single"/>
            <w:sz w:val="17"/>
          </w:rPr>
          <w:t>[R076]</w:t>
        </w:r>
      </w:hyperlink>
    </w:p>
    <w:p>
      <w:pPr>
        <w:pStyle w:val="Heading2"/>
      </w:pPr>
      <w:r>
        <w:t>Особые разрешения не передаются ToS автоматически</w:t>
      </w:r>
    </w:p>
    <w:p>
      <w:r>
        <w:t>У SIEPM разрешение Medieval Academy относится к размещению конкретных изданий на площадке. Оно не эквивалентно CC-лицензии для любого получателя. У диссертации IIUM право университетского хранения/распространения также не даёт того же права ToS. В UNESCO-досье разрешение публиковать фотографии дано UNESCO; это не универсальный документ на фотографии рукописи.</w:t>
      </w:r>
      <w:r>
        <w:t xml:space="preserve"> </w:t>
      </w:r>
      <w:hyperlink r:id="rId53">
        <w:r>
          <w:rPr>
            <w:color w:val="17636B"/>
            <w:u w:val="single"/>
            <w:sz w:val="17"/>
          </w:rPr>
          <w:t>[R045]</w:t>
        </w:r>
      </w:hyperlink>
      <w:r>
        <w:t xml:space="preserve"> · </w:t>
      </w:r>
      <w:hyperlink r:id="rId83">
        <w:r>
          <w:rPr>
            <w:color w:val="17636B"/>
            <w:u w:val="single"/>
            <w:sz w:val="17"/>
          </w:rPr>
          <w:t>[R046]</w:t>
        </w:r>
      </w:hyperlink>
      <w:r>
        <w:t xml:space="preserve"> · </w:t>
      </w:r>
      <w:hyperlink r:id="rId30">
        <w:r>
          <w:rPr>
            <w:color w:val="17636B"/>
            <w:u w:val="single"/>
            <w:sz w:val="17"/>
          </w:rPr>
          <w:t>[R047]</w:t>
        </w:r>
      </w:hyperlink>
      <w:r>
        <w:t xml:space="preserve"> · </w:t>
      </w:r>
      <w:hyperlink r:id="rId31">
        <w:r>
          <w:rPr>
            <w:color w:val="17636B"/>
            <w:u w:val="single"/>
            <w:sz w:val="17"/>
          </w:rPr>
          <w:t>[R048]</w:t>
        </w:r>
      </w:hyperlink>
      <w:r>
        <w:t xml:space="preserve"> · </w:t>
      </w:r>
      <w:hyperlink r:id="rId84">
        <w:r>
          <w:rPr>
            <w:color w:val="17636B"/>
            <w:u w:val="single"/>
            <w:sz w:val="17"/>
          </w:rPr>
          <w:t>[R049]</w:t>
        </w:r>
      </w:hyperlink>
      <w:r>
        <w:t xml:space="preserve"> · </w:t>
      </w:r>
      <w:hyperlink r:id="rId54">
        <w:r>
          <w:rPr>
            <w:color w:val="17636B"/>
            <w:u w:val="single"/>
            <w:sz w:val="17"/>
          </w:rPr>
          <w:t>[R050]</w:t>
        </w:r>
      </w:hyperlink>
      <w:r>
        <w:t xml:space="preserve"> · </w:t>
      </w:r>
      <w:hyperlink r:id="rId19">
        <w:r>
          <w:rPr>
            <w:color w:val="17636B"/>
            <w:u w:val="single"/>
            <w:sz w:val="17"/>
          </w:rPr>
          <w:t>[R052]</w:t>
        </w:r>
      </w:hyperlink>
      <w:r>
        <w:t xml:space="preserve"> · </w:t>
      </w:r>
      <w:hyperlink r:id="rId20">
        <w:r>
          <w:rPr>
            <w:color w:val="17636B"/>
            <w:u w:val="single"/>
            <w:sz w:val="17"/>
          </w:rPr>
          <w:t>[R053]</w:t>
        </w:r>
      </w:hyperlink>
    </w:p>
    <w:p>
      <w:pPr>
        <w:pStyle w:val="Heading2"/>
      </w:pPr>
      <w:r>
        <w:t>Комплектность, датировки и авторство</w:t>
      </w:r>
    </w:p>
    <w:p>
      <w:r>
        <w:t>Сохранены расхождения, которые нельзя исправлять незаметно: 1182 AH у поздней рукописи Ḥayy; номера 1969/3158 и pages/feuilles в досье урджузы Туфайля; несовпадение метаданных переводчика и заголовка арабского De anima в GRAR; различия дат Ivry и носителя Avicennae Cantica. Рабочая формулировка остаётся осторожной, расхождение — в notes.</w:t>
      </w:r>
      <w:r>
        <w:t xml:space="preserve"> </w:t>
      </w:r>
      <w:hyperlink r:id="rId63">
        <w:r>
          <w:rPr>
            <w:color w:val="17636B"/>
            <w:u w:val="single"/>
            <w:sz w:val="17"/>
          </w:rPr>
          <w:t>[R003]</w:t>
        </w:r>
      </w:hyperlink>
      <w:r>
        <w:t xml:space="preserve"> · </w:t>
      </w:r>
      <w:hyperlink r:id="rId40">
        <w:r>
          <w:rPr>
            <w:color w:val="17636B"/>
            <w:u w:val="single"/>
            <w:sz w:val="17"/>
          </w:rPr>
          <w:t>[R021]</w:t>
        </w:r>
      </w:hyperlink>
      <w:r>
        <w:t xml:space="preserve"> · </w:t>
      </w:r>
      <w:hyperlink r:id="rId32">
        <w:r>
          <w:rPr>
            <w:color w:val="17636B"/>
            <w:u w:val="single"/>
            <w:sz w:val="17"/>
          </w:rPr>
          <w:t>[R051]</w:t>
        </w:r>
      </w:hyperlink>
      <w:r>
        <w:t xml:space="preserve"> · </w:t>
      </w:r>
      <w:hyperlink r:id="rId19">
        <w:r>
          <w:rPr>
            <w:color w:val="17636B"/>
            <w:u w:val="single"/>
            <w:sz w:val="17"/>
          </w:rPr>
          <w:t>[R052]</w:t>
        </w:r>
      </w:hyperlink>
      <w:r>
        <w:t xml:space="preserve"> · </w:t>
      </w:r>
      <w:hyperlink r:id="rId24">
        <w:r>
          <w:rPr>
            <w:color w:val="17636B"/>
            <w:u w:val="single"/>
            <w:sz w:val="17"/>
          </w:rPr>
          <w:t>[R075]</w:t>
        </w:r>
      </w:hyperlink>
    </w:p>
    <w:p>
      <w:r>
        <w:t>Абу Мухаммад ʿАбдаллах не слит с Абу-ль-Валидом Ибн Рушдом. De animae beatitudine в печатной рецепции не принимается автоматически за подлинное самостоятельное сочинение Рушда. Два произведения Ḥayy Ибн Сины и Туфайля не объединены. Это разделение требуется и для истории текста, и для выбора правовой основы перевода.</w:t>
      </w:r>
      <w:r>
        <w:t xml:space="preserve"> </w:t>
      </w:r>
      <w:hyperlink r:id="rId80">
        <w:r>
          <w:rPr>
            <w:color w:val="17636B"/>
            <w:u w:val="single"/>
            <w:sz w:val="17"/>
          </w:rPr>
          <w:t>[R040]</w:t>
        </w:r>
      </w:hyperlink>
      <w:r>
        <w:t xml:space="preserve"> · </w:t>
      </w:r>
      <w:hyperlink r:id="rId47">
        <w:r>
          <w:rPr>
            <w:color w:val="17636B"/>
            <w:u w:val="single"/>
            <w:sz w:val="17"/>
          </w:rPr>
          <w:t>[R068]</w:t>
        </w:r>
      </w:hyperlink>
      <w:r>
        <w:t xml:space="preserve"> · </w:t>
      </w:r>
      <w:hyperlink r:id="rId61">
        <w:r>
          <w:rPr>
            <w:color w:val="17636B"/>
            <w:u w:val="single"/>
            <w:sz w:val="17"/>
          </w:rPr>
          <w:t>[R078]</w:t>
        </w:r>
      </w:hyperlink>
    </w:p>
    <w:p>
      <w:pPr>
        <w:pStyle w:val="Heading2"/>
      </w:pPr>
      <w:r>
        <w:t>Уровни технической проверки</w:t>
      </w:r>
    </w:p>
    <w:p>
      <w:r>
        <w:t>Открытая карточка подтверждает карточку; официальный список с PDF — предложение файла; только прочитанное содержимое подтверждает фактический текст. В XLSX эти уровни разделены. 403/timeout не доказывает, что обычный пользователь нигде не сможет открыть ресурс, но не позволяет заявить проверенный полный доступ. Подписка, регистрация и обращение за XML от имени пользователя не выполнялись.</w:t>
      </w:r>
    </w:p>
    <w:p>
      <w:pPr>
        <w:pStyle w:val="Heading1"/>
      </w:pPr>
      <w:r>
        <w:t>6. Пробелы и дальнейший поиск</w:t>
      </w:r>
    </w:p>
    <w:p>
      <w:r>
        <w:t>Лист gaps содержит 34 конкретные записи. Существеннее всего полные медицинские тексты Баджжи, арабский Taysīr, полнота Kulliyyāt, индивидуальные галеновские комментарии и недоступные просмотрщики. В большинстве этих случаев произведение подтверждено библиографически: отсутствует проверенный полный цифровой вход, ясное право повторного использования или посочинённая сверка.</w:t>
      </w:r>
    </w:p>
    <w:p>
      <w:r>
        <w:t>В покупном, библиотечном или подписном слое остаются научные переводы Рушда, Genequand, Lettinck, галеновские комментарии, Najjar и полный Aghdhiya. Очный доступ к урджузе Туфайля не является онлайн-выдачей. Подтверждённого общедоступного Controlled Digital Lending для центральных современных изданий не найдено; library_borrow не присвоен по одному наличию книги в каталоге.</w:t>
      </w:r>
    </w:p>
    <w:p>
      <w:pPr>
        <w:pStyle w:val="Heading2"/>
      </w:pPr>
      <w:r>
        <w:t>Восемь приоритетных направлений</w:t>
      </w:r>
    </w:p>
    <w:p>
      <w:r>
        <w:t>1. Медицинский Ибн Баджжа — G001, G006–G007. Получить книжное издание Sharḥ fī al-Fuṣūl, сопоставить медицинские трактаты с шифрами и выделить фрагментное сохранение Kitāb al-Taǧribatayn. Для утраченного текста хранить цитаты и их носителя, а не воображаемый полный оригинал.</w:t>
      </w:r>
    </w:p>
    <w:p>
      <w:r>
        <w:t>2. Рукописи и логика Баджжи — G002–G005. Сверить Pococke 206, Escorial 612, Kitāb al-nafs и отдельные логические издания. Для факсимиле проверить item-level права; для Asín 1946 раздельно проверить перевод и оцифровку.</w:t>
      </w:r>
    </w:p>
    <w:p>
      <w:r>
        <w:t>3. Арабская медицина Рушда и Зухра — G015–G019. Проверить Kulliyyāt против томов и семи книг, найти арабский Taysīr, раскрыть Commentaria in Galenum и путь к полному Aghdhiya. Возможный Kitāb al-Iqtiṣād требует отдельной идентификации и доступа; похожее заглавие недостаточно.</w:t>
      </w:r>
    </w:p>
    <w:p>
      <w:r>
        <w:t>4. Урджуза Туфайля — G008. Согласовать номера и объём, проверить каталог al-Quaraouyine и режим читального зала. Публикацию фотографий отделить от регистрации исследователя; разрешение UNESCO не переиспользовать.</w:t>
      </w:r>
    </w:p>
    <w:p>
      <w:r>
        <w:t>5. Старые и русские переводы — G009–G012, G020. Начать с Pococke 1671, конкретных Gauthier-изданий, русского 1920 и официальных Minbar item/DOI. Не подменять неработающую академическую ссылку случайным полным PDF.</w:t>
      </w:r>
    </w:p>
    <w:p>
      <w:r>
        <w:t>6. Еврейская сохранность и продолжения — G013, G021, G027–G029. Сопоставить Riva 1559, Ибн Тумлуса, Фалакеру, Нарбони и Герсонида с конкретными рукописями. Ориентиры: Parma 3156, Leiden Or.4753, ISBN издания Ben Ahmed. Сначала доказать состав и связь, затем искать файлы.</w:t>
      </w:r>
    </w:p>
    <w:p>
      <w:r>
        <w:t>7. DARE / SIEPM — G022–G026, G030–G031. Проверить перечисленные textid и PDF в обычном браузере, включая арабскую Metaphysics, еврейскую Ethics, физические замечания и псевдоаверроистские компиляции. Отделять версии и условия издания; XML по запросу не подменять открытым download.</w:t>
      </w:r>
    </w:p>
    <w:p>
      <w:r>
        <w:t>8. Машиночитаемые и рецепционные хвосты — G014, G032–G034. Закрепить версию OpenITI, проверить upstream-издания и аппарат; добавить конкретные фарабийские источники классификации наук. Для Ибн ан-Нафиса и особенно предполагаемой связи с Defoe потребовать документированный текстовый канал, а не тематическое сходство.</w:t>
      </w:r>
    </w:p>
    <w:p>
      <w:pPr>
        <w:pStyle w:val="Heading2"/>
      </w:pPr>
      <w:r>
        <w:t>Граница уверенности и незавершённое расширение</w:t>
      </w:r>
    </w:p>
    <w:p>
      <w:r>
        <w:t>Unverified_candidate оставлен у неразобранного русского многоавторского сборника, неидентифицированного здесь конкретного доступа к комментарию Нарбони на Ḥayy, незавершённого расширения корпуса Зухра и предполагаемых раннемодерных литературных связей. Это не означает вымышленности традиции: не выполнен необходимый для основного registry уровень идентификации объекта, состава или связи. Подтверждённая книга без открытого файла получает другой статус — item_level_gap, link_failed, fulltext_not_found и подобные.</w:t>
      </w:r>
    </w:p>
    <w:p>
      <w:r>
        <w:t>Поиск не исчерпал всего комментаторского корпуса. Ограничения — множество версий, ошибки доступа и объём независимой правовой проверки. Нерешённые направления не скрыты под формулой «соседняя строка»: они остаются в контуре T2-12, даже когда относятся к XIII–XVII векам. Продолжать следует с адресных пробелов, а не повторного сбора общих порталов.</w:t>
      </w:r>
    </w:p>
    <w:p>
      <w:pPr>
        <w:pStyle w:val="Heading1"/>
      </w:pPr>
      <w:r>
        <w:t>7. Итоговая оценка</w:t>
      </w:r>
    </w:p>
    <w:p>
      <w:r>
        <w:t>Корпус покрыт достаточно широко для перехода от исторического DR к практической работе с источниками: видны три философских автора, медицинский контрапункт Зухра, предшественники и многоязычное сохранение. Но это не полный каталог всех сочинений Ибн Рушда и не завершённая посвидетельная перепись Баджжи. Самое слабое место — полный арабский медицинский слой и часть малых комментариев.</w:t>
      </w:r>
    </w:p>
    <w:p>
      <w:r>
        <w:t>Оригиналы доступны неравномерно. Ḥayy имеет особенно удобные открытый текст и факсимиле. У Рушда есть арабские полнотекстовые входы и крупные латинские/еврейские серии, но права редакций часто требуют проверки. У Баджжи рукопись и научные издания идентифицированы лучше, чем чистый цифровой массив. Переводы представлены на английском, французском и испанском; русская ветвь заметно слабее по проверенному законному доступу.</w:t>
      </w:r>
    </w:p>
    <w:p>
      <w:r>
        <w:t>Наиболее свободный слой — конкретные QDL-свидетели, арабский Ḥayy Hindawi и открытое издание Галена. Некоммерчески полезен корпус Ибн Аби Усайбиа. Главные ограничения сосредоточены в современных переводах и реконструкциях, институциональных разрешениях, неочищенных цифровых основах и технически недоступных файлах.</w:t>
      </w:r>
      <w:r>
        <w:t xml:space="preserve"> </w:t>
      </w:r>
      <w:hyperlink r:id="rId63">
        <w:r>
          <w:rPr>
            <w:color w:val="17636B"/>
            <w:u w:val="single"/>
            <w:sz w:val="17"/>
          </w:rPr>
          <w:t>[R003]</w:t>
        </w:r>
      </w:hyperlink>
      <w:r>
        <w:t xml:space="preserve"> · </w:t>
      </w:r>
      <w:hyperlink r:id="rId62">
        <w:r>
          <w:rPr>
            <w:color w:val="17636B"/>
            <w:u w:val="single"/>
            <w:sz w:val="17"/>
          </w:rPr>
          <w:t>[R012]</w:t>
        </w:r>
      </w:hyperlink>
      <w:r>
        <w:t xml:space="preserve"> · </w:t>
      </w:r>
      <w:hyperlink r:id="rId44">
        <w:r>
          <w:rPr>
            <w:color w:val="17636B"/>
            <w:u w:val="single"/>
            <w:sz w:val="17"/>
          </w:rPr>
          <w:t>[R025]</w:t>
        </w:r>
      </w:hyperlink>
      <w:r>
        <w:t xml:space="preserve"> · </w:t>
      </w:r>
      <w:hyperlink r:id="rId60">
        <w:r>
          <w:rPr>
            <w:color w:val="17636B"/>
            <w:u w:val="single"/>
            <w:sz w:val="17"/>
          </w:rPr>
          <w:t>[R055]</w:t>
        </w:r>
      </w:hyperlink>
      <w:r>
        <w:t xml:space="preserve"> · </w:t>
      </w:r>
      <w:hyperlink r:id="rId47">
        <w:r>
          <w:rPr>
            <w:color w:val="17636B"/>
            <w:u w:val="single"/>
            <w:sz w:val="17"/>
          </w:rPr>
          <w:t>[R068]</w:t>
        </w:r>
      </w:hyperlink>
      <w:r>
        <w:t xml:space="preserve"> · </w:t>
      </w:r>
      <w:hyperlink r:id="rId48">
        <w:r>
          <w:rPr>
            <w:color w:val="17636B"/>
            <w:u w:val="single"/>
            <w:sz w:val="17"/>
          </w:rPr>
          <w:t>[R069]</w:t>
        </w:r>
      </w:hyperlink>
    </w:p>
    <w:p>
      <w:r>
        <w:t>Пакет пригоден для передачи Codex как исследовательский реестр: 32 согласованных поля, уникальные record_id, проверяемые ссылки, объём доступа, отдельные уровни прав и конкретные gaps. Он не является разрешением на автоматическую массовую загрузку или публикацию всех записей. Первое действие — импорт карточек и ссылок; импорт текста, перевод или зеркало выбираются по каждой записи с учётом rights_scope, coverage и verification_status.</w:t>
      </w:r>
    </w:p>
    <w:p>
      <w:r>
        <w:t>Практический приоритет ToS — собственная текстовая работа с арабским Ḥayy и открытым галеновским изданием; некоммерческое использование лицензированного Усайбиа; внешние ссылки на защищённые научные издания и неясные цифровые версии. Статус A и исторические границы T2-12 остаются неизменными.</w:t>
      </w:r>
    </w:p>
    <w:sectPr w:rsidR="00FC693F" w:rsidRPr="0006063C" w:rsidSect="00034616">
      <w:headerReference w:type="default" r:id="rId9"/>
      <w:footerReference w:type="default" r:id="rId10"/>
      <w:pgSz w:w="11906" w:h="16838"/>
      <w:pgMar w:top="992" w:right="1049"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Проверка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ДРЕВО СОФИИ  /  CORPUS &amp; RIGHTS                              T2-12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DejaVu Sans" w:hAnsi="DejaVu Sans"/>
      <w:b/>
      <w:bCs/>
      <w:color w:val="17354A"/>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DejaVu Sans" w:hAnsi="DejaVu Sans"/>
      <w:b/>
      <w:bCs/>
      <w:color w:val="1763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DejaVu Sans" w:hAnsi="DejaVu Sans"/>
      <w:color w:val="1735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DejaVu Sans" w:hAnsi="DejaVu Sans"/>
      <w:i/>
      <w:iCs/>
      <w:color w:val="4465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DejaVu Sans" w:hAnsi="DejaVu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53657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gital.bodleian.ox.ac.uk/objects/8a928cc9-d306-4ef3-a910-726a35780a73/" TargetMode="External"/><Relationship Id="rId12" Type="http://schemas.openxmlformats.org/officeDocument/2006/relationships/hyperlink" Target="https://www.vrin.fr/livre/9782711622788/la-conduite-de-lisole-et-deux-autres-epitres" TargetMode="External"/><Relationship Id="rId13" Type="http://schemas.openxmlformats.org/officeDocument/2006/relationships/hyperlink" Target="https://press.uchicago.edu/ucp/books/book/distributed/D/bo3614761.html" TargetMode="External"/><Relationship Id="rId14" Type="http://schemas.openxmlformats.org/officeDocument/2006/relationships/hyperlink" Target="https://wellcomecollection.org/works/fze6stm9" TargetMode="External"/><Relationship Id="rId15" Type="http://schemas.openxmlformats.org/officeDocument/2006/relationships/hyperlink" Target="https://wellcomecollection.org/works/vbx52mf7" TargetMode="External"/><Relationship Id="rId16" Type="http://schemas.openxmlformats.org/officeDocument/2006/relationships/hyperlink" Target="https://wellcomecollection.org/works/byqntnpc" TargetMode="External"/><Relationship Id="rId17" Type="http://schemas.openxmlformats.org/officeDocument/2006/relationships/hyperlink" Target="https://archive.org/details/9411128.nlm.nih.gov" TargetMode="External"/><Relationship Id="rId18" Type="http://schemas.openxmlformats.org/officeDocument/2006/relationships/hyperlink" Target="https://www.cambridge.org/core/journals/arabic-sciences-and-philosophy/article/abs/ibn-bajja-on-medicine-and-medical-experience/779C4A0F19C80ED8D2AACC5D31348C6C" TargetMode="External"/><Relationship Id="rId19" Type="http://schemas.openxmlformats.org/officeDocument/2006/relationships/hyperlink" Target="https://www.unesco.org/en/memory-world/al-orjoza-fi-teb-ibn-toufail" TargetMode="External"/><Relationship Id="rId20" Type="http://schemas.openxmlformats.org/officeDocument/2006/relationships/hyperlink" Target="https://studentrepo.iium.edu.my/entities/publication/09a5717a-c285-488a-bf66-ddb8ef178aff" TargetMode="External"/><Relationship Id="rId21" Type="http://schemas.openxmlformats.org/officeDocument/2006/relationships/hyperlink" Target="https://books.google.ht/books?id=lB0QKKodRzYC" TargetMode="External"/><Relationship Id="rId22" Type="http://schemas.openxmlformats.org/officeDocument/2006/relationships/hyperlink" Target="https://wellcomecollection.org/works/jyck2p26" TargetMode="External"/><Relationship Id="rId23" Type="http://schemas.openxmlformats.org/officeDocument/2006/relationships/hyperlink" Target="https://books.google.com/books/about/Faith_and_Reason_in_Islam.html?id=F3l5AAAAMAAJ" TargetMode="External"/><Relationship Id="rId24" Type="http://schemas.openxmlformats.org/officeDocument/2006/relationships/hyperlink" Target="https://unebook.es/es/libro/avicennae-cantica-texto-arabe-version-latina-y-traduccion-espanola_9716" TargetMode="External"/><Relationship Id="rId25" Type="http://schemas.openxmlformats.org/officeDocument/2006/relationships/hyperlink" Target="https://yalebooks.yale.edu/book/9780300178296/long-commentary-on-the-de-anima-of-aristotle/" TargetMode="External"/><Relationship Id="rId26" Type="http://schemas.openxmlformats.org/officeDocument/2006/relationships/hyperlink" Target="https://cornellpress.cornell.edu/book/9780801408212/averroes-on-platos-republic/" TargetMode="External"/><Relationship Id="rId27" Type="http://schemas.openxmlformats.org/officeDocument/2006/relationships/hyperlink" Target="https://www.degruyterbrill.com/document/doi/10.1515/9783110220025/html" TargetMode="External"/><Relationship Id="rId28" Type="http://schemas.openxmlformats.org/officeDocument/2006/relationships/hyperlink" Target="https://www.graeco-arabic-studies.org/view/ibnrushd.arist.poetica-comm.talkhis-ara1" TargetMode="External"/><Relationship Id="rId29" Type="http://schemas.openxmlformats.org/officeDocument/2006/relationships/hyperlink" Target="https://www.graeco-arabic-studies.org/view/ibnrushd.arist.desensuetsensib-comm.talkhis-ar1" TargetMode="External"/><Relationship Id="rId30" Type="http://schemas.openxmlformats.org/officeDocument/2006/relationships/hyperlink" Target="https://drive.google.com/file/d/1Auhjn7WuiXnKIemuMqQpdAHXNd3kBptH/view" TargetMode="External"/><Relationship Id="rId31" Type="http://schemas.openxmlformats.org/officeDocument/2006/relationships/hyperlink" Target="https://drive.google.com/file/d/19ZfTfcEQQ5WtE9UAhzXITq9DkOS07AvG/view" TargetMode="External"/><Relationship Id="rId32" Type="http://schemas.openxmlformats.org/officeDocument/2006/relationships/hyperlink" Target="https://press.uchicago.edu/ucp/books/book/distributed/M/bo3628610.html" TargetMode="External"/><Relationship Id="rId33" Type="http://schemas.openxmlformats.org/officeDocument/2006/relationships/hyperlink" Target="https://dare.uni-koeln.de/app/sourceviewer?type=text&amp;textid=3" TargetMode="External"/><Relationship Id="rId34" Type="http://schemas.openxmlformats.org/officeDocument/2006/relationships/hyperlink" Target="https://dare.uni-koeln.de/app/sourceviewer?type=text&amp;textid=5" TargetMode="External"/><Relationship Id="rId35" Type="http://schemas.openxmlformats.org/officeDocument/2006/relationships/hyperlink" Target="https://dare.uni-koeln.de/app/sourceviewer?type=text&amp;textid=8" TargetMode="External"/><Relationship Id="rId36" Type="http://schemas.openxmlformats.org/officeDocument/2006/relationships/hyperlink" Target="https://dare.uni-koeln.de/app/sourceviewer?type=text&amp;textid=12" TargetMode="External"/><Relationship Id="rId37" Type="http://schemas.openxmlformats.org/officeDocument/2006/relationships/hyperlink" Target="https://dare.uni-koeln.de/app/sourceviewer?type=text&amp;textid=21" TargetMode="External"/><Relationship Id="rId38" Type="http://schemas.openxmlformats.org/officeDocument/2006/relationships/hyperlink" Target="https://dare.uni-koeln.de/app/sourceviewer?type=text&amp;textid=26" TargetMode="External"/><Relationship Id="rId39" Type="http://schemas.openxmlformats.org/officeDocument/2006/relationships/hyperlink" Target="https://dare.uni-koeln.de/app/sourceviewer?type=text&amp;textid=31" TargetMode="External"/><Relationship Id="rId40" Type="http://schemas.openxmlformats.org/officeDocument/2006/relationships/hyperlink" Target="https://www.graeco-arabic-studies.org/view/arist.deanima-transl-ar1" TargetMode="External"/><Relationship Id="rId41" Type="http://schemas.openxmlformats.org/officeDocument/2006/relationships/hyperlink" Target="https://www.graeco-arabic-studies.org/view/arist.poetica-transl-ar3" TargetMode="External"/><Relationship Id="rId42" Type="http://schemas.openxmlformats.org/officeDocument/2006/relationships/hyperlink" Target="https://www.graeco-arabic-studies.org/view/farabi.arist.poetica-comm.qawanin-ar1" TargetMode="External"/><Relationship Id="rId43" Type="http://schemas.openxmlformats.org/officeDocument/2006/relationships/hyperlink" Target="https://www.graeco-arabic-studies.org/view/ibnsina.arist.poetica-comm.alshifa-ar2" TargetMode="External"/><Relationship Id="rId44" Type="http://schemas.openxmlformats.org/officeDocument/2006/relationships/hyperlink" Target="https://www.graeco-arabic-studies.org/view/gal.inhippaphor.pt1-transl-ar1" TargetMode="External"/><Relationship Id="rId45" Type="http://schemas.openxmlformats.org/officeDocument/2006/relationships/hyperlink" Target="https://press.uchicago.edu/ucp/books/book/distributed/I/bo3624354.html" TargetMode="External"/><Relationship Id="rId46" Type="http://schemas.openxmlformats.org/officeDocument/2006/relationships/hyperlink" Target="https://www.jstor.org/stable/10.7591/j.ctt20d89dq" TargetMode="External"/><Relationship Id="rId47" Type="http://schemas.openxmlformats.org/officeDocument/2006/relationships/hyperlink" Target="https://www.qdl.qa/en/archive/81055/vdc_100148048612.0x000004" TargetMode="External"/><Relationship Id="rId48" Type="http://schemas.openxmlformats.org/officeDocument/2006/relationships/hyperlink" Target="https://www.qdl.qa/en/archive/81055/vdc_100148048612.0x000005" TargetMode="External"/><Relationship Id="rId49" Type="http://schemas.openxmlformats.org/officeDocument/2006/relationships/hyperlink" Target="https://drive.google.com/file/d/1BaVc0iiz65FtYwRSordy9IY079ZOiuzs/view" TargetMode="External"/><Relationship Id="rId50" Type="http://schemas.openxmlformats.org/officeDocument/2006/relationships/hyperlink" Target="https://drive.google.com/file/d/1A-Ab3KuwKoNqNqjvlZiRqNvHLf2H88o4/view" TargetMode="External"/><Relationship Id="rId51" Type="http://schemas.openxmlformats.org/officeDocument/2006/relationships/hyperlink" Target="https://drive.google.com/file/d/19Jc3UGm-52866FmV_ZMFzspBCs-nDQu_/view" TargetMode="External"/><Relationship Id="rId52" Type="http://schemas.openxmlformats.org/officeDocument/2006/relationships/hyperlink" Target="https://drive.google.com/file/d/1BexBLunnwlDq78yiaNYPLD-OSFjgta7v/view" TargetMode="External"/><Relationship Id="rId53" Type="http://schemas.openxmlformats.org/officeDocument/2006/relationships/hyperlink" Target="https://drive.google.com/file/d/19BUkemaPqVwD71qjCnqkdboGxPEBzwFd/view" TargetMode="External"/><Relationship Id="rId54" Type="http://schemas.openxmlformats.org/officeDocument/2006/relationships/hyperlink" Target="https://drive.google.com/file/d/1A4W7xevK-W_TbVNunRZvAQicSGU0PGAi/view" TargetMode="External"/><Relationship Id="rId55" Type="http://schemas.openxmlformats.org/officeDocument/2006/relationships/hyperlink" Target="https://dare.uni-koeln.de/app/sourceviewer?type=text&amp;textid=6" TargetMode="External"/><Relationship Id="rId56" Type="http://schemas.openxmlformats.org/officeDocument/2006/relationships/hyperlink" Target="https://dare.uni-koeln.de/app/sourceviewer?type=text&amp;textid=10" TargetMode="External"/><Relationship Id="rId57" Type="http://schemas.openxmlformats.org/officeDocument/2006/relationships/hyperlink" Target="https://dare.uni-koeln.de/app/sourceviewer?type=text&amp;textid=17" TargetMode="External"/><Relationship Id="rId58" Type="http://schemas.openxmlformats.org/officeDocument/2006/relationships/hyperlink" Target="https://dare.uni-koeln.de/app/sourceviewer?type=text&amp;textid=22" TargetMode="External"/><Relationship Id="rId59" Type="http://schemas.openxmlformats.org/officeDocument/2006/relationships/hyperlink" Target="https://www.corpusthomisticum.org/oca.html" TargetMode="External"/><Relationship Id="rId60" Type="http://schemas.openxmlformats.org/officeDocument/2006/relationships/hyperlink" Target="https://scholarlyeditions.brill.com/lhom/" TargetMode="External"/><Relationship Id="rId61" Type="http://schemas.openxmlformats.org/officeDocument/2006/relationships/hyperlink" Target="https://dare.uni-koeln.de/app/sourceviewer?type=text&amp;textid=36" TargetMode="External"/><Relationship Id="rId62" Type="http://schemas.openxmlformats.org/officeDocument/2006/relationships/hyperlink" Target="https://www.hindawi.org/books/90463596/" TargetMode="External"/><Relationship Id="rId63" Type="http://schemas.openxmlformats.org/officeDocument/2006/relationships/hyperlink" Target="https://www.qdl.qa/en/archive/81055/vdc_100148048612.0x00000c" TargetMode="External"/><Relationship Id="rId64" Type="http://schemas.openxmlformats.org/officeDocument/2006/relationships/hyperlink" Target="https://www.gutenberg.org/ebooks/16831" TargetMode="External"/><Relationship Id="rId65" Type="http://schemas.openxmlformats.org/officeDocument/2006/relationships/hyperlink" Target="https://archive.org/details/historyofhayyibn00ibnu" TargetMode="External"/><Relationship Id="rId66" Type="http://schemas.openxmlformats.org/officeDocument/2006/relationships/hyperlink" Target="https://press.uchicago.edu/ucp/books/book/chicago/I/bo25938805.html" TargetMode="External"/><Relationship Id="rId67" Type="http://schemas.openxmlformats.org/officeDocument/2006/relationships/hyperlink" Target="https://github.com/OpenITI/0600AH/blob/master/data/0581IbnTufayl/0581IbnTufayl.HayyIbnYaqzan/0581IbnTufayl.HayyIbnYaqzan.Shamela0009734-ara1" TargetMode="External"/><Relationship Id="rId68" Type="http://schemas.openxmlformats.org/officeDocument/2006/relationships/hyperlink" Target="https://books.google.com/books/about/&#1056;&#1086;&#1084;&#1072;&#1085;_&#1086;_&#1061;&#1072;&#1081;&#1077;_&#1089;&#1099;&#1085;&#1077;_&#1071;&#1082;&#1079;&#1072;.html?id=DRLd0AEACAAJ" TargetMode="External"/><Relationship Id="rId69" Type="http://schemas.openxmlformats.org/officeDocument/2006/relationships/hyperlink" Target="https://wellcomecollection.org/works/upsmwcn8" TargetMode="External"/><Relationship Id="rId70" Type="http://schemas.openxmlformats.org/officeDocument/2006/relationships/hyperlink" Target="https://github.com/OpenITI/0600AH/blob/master/data/0595IbnRushdHafid/0595IbnRushdHafid.TahafudTahafud/0595IbnRushdHafid.TahafudTahafud.DARE00025-ara1" TargetMode="External"/><Relationship Id="rId71" Type="http://schemas.openxmlformats.org/officeDocument/2006/relationships/hyperlink" Target="https://github.com/OpenITI/0600AH/blob/master/data/0595IbnRushdHafid/0595IbnRushdHafid.FaslMaqal/0595IbnRushdHafid.FaslMaqal.Shamela0012727-ara1" TargetMode="External"/><Relationship Id="rId72" Type="http://schemas.openxmlformats.org/officeDocument/2006/relationships/hyperlink" Target="https://drive.google.com/file/d/1BAFKGpEKnjXwF_gx-dWMLRpSi6ZC-W-N/view" TargetMode="External"/><Relationship Id="rId73" Type="http://schemas.openxmlformats.org/officeDocument/2006/relationships/hyperlink" Target="https://drive.google.com/file/d/1B8oIaULcJFUNmjIyYCPrH4XxUxdYxXNH/view" TargetMode="External"/><Relationship Id="rId74" Type="http://schemas.openxmlformats.org/officeDocument/2006/relationships/hyperlink" Target="https://drive.google.com/file/d/1ApVVmQlYSmOjfyGQRLu5TqRT4i0kvFcd/view" TargetMode="External"/><Relationship Id="rId75" Type="http://schemas.openxmlformats.org/officeDocument/2006/relationships/hyperlink" Target="https://drive.google.com/file/d/19q0MMgCcLN612l9nyjE1w0emM0Qfv3NY/view" TargetMode="External"/><Relationship Id="rId76" Type="http://schemas.openxmlformats.org/officeDocument/2006/relationships/hyperlink" Target="https://drive.google.com/file/d/19uMnb_xU2ABl7ezpK30BSzc9arFX8xd0/view" TargetMode="External"/><Relationship Id="rId77" Type="http://schemas.openxmlformats.org/officeDocument/2006/relationships/hyperlink" Target="https://drive.google.com/file/d/1BO8fgm9BQtlaPp2Y7i3zyIZfdkm4zNjZ/view" TargetMode="External"/><Relationship Id="rId78" Type="http://schemas.openxmlformats.org/officeDocument/2006/relationships/hyperlink" Target="https://drive.google.com/file/d/1BlvXWgrNUqZet2SOOkGBkzxSIizOGFsG/view" TargetMode="External"/><Relationship Id="rId79" Type="http://schemas.openxmlformats.org/officeDocument/2006/relationships/hyperlink" Target="https://drive.google.com/file/d/1AuLAe3okAdionkge8LErMkDv4Jseh-0x/view" TargetMode="External"/><Relationship Id="rId80" Type="http://schemas.openxmlformats.org/officeDocument/2006/relationships/hyperlink" Target="https://drive.google.com/file/d/1AXg-RW-pPMLHpUuyp2NSwARgH_4agO_q/view" TargetMode="External"/><Relationship Id="rId81" Type="http://schemas.openxmlformats.org/officeDocument/2006/relationships/hyperlink" Target="https://drive.google.com/file/d/1APVH8lWnUKFxGldJzErN0cKCLWEZ_Zs7/view" TargetMode="External"/><Relationship Id="rId82" Type="http://schemas.openxmlformats.org/officeDocument/2006/relationships/hyperlink" Target="https://drive.google.com/file/d/19mxkoQDSRLEPljwzD00ffiHD1rtI0-7O/view" TargetMode="External"/><Relationship Id="rId83" Type="http://schemas.openxmlformats.org/officeDocument/2006/relationships/hyperlink" Target="https://drive.google.com/file/d/1BLXLZj4gkd8kWmslBuMSoB-APNBpKLUP/view" TargetMode="External"/><Relationship Id="rId84" Type="http://schemas.openxmlformats.org/officeDocument/2006/relationships/hyperlink" Target="https://drive.google.com/file/d/1B-MpjaAUNXd30Y7VbCYXH43ElLfjK8G0/view" TargetMode="External"/><Relationship Id="rId85" Type="http://schemas.openxmlformats.org/officeDocument/2006/relationships/hyperlink" Target="https://wellcomecollection.org/works/ttkj53dq" TargetMode="External"/><Relationship Id="rId86" Type="http://schemas.openxmlformats.org/officeDocument/2006/relationships/hyperlink" Target="https://github.com/OpenITI/0600AH/blob/master/data/0595IbnRushdHafid/0595IbnRushdHafid.KulliyyatFiTibb/0595IbnRushdHafid.KulliyyatFiTibb.ALCorpus00021-ara1" TargetMode="External"/><Relationship Id="rId87" Type="http://schemas.openxmlformats.org/officeDocument/2006/relationships/hyperlink" Target="https://github.com/OpenITI/0600AH/tree/master/data/0595IbnRushdHafid" TargetMode="External"/><Relationship Id="rId88" Type="http://schemas.openxmlformats.org/officeDocument/2006/relationships/hyperlink" Target="https://siepm-digitalresources.bc.edu/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T2-12</dc:title>
  <dc:subject>Андалусско-магрибская философия и медицина: корпус, доступ и права</dc:subject>
  <dc:creator>ToS</dc:creator>
  <cp:keywords/>
  <dc:description>generated by python-docx</dc:description>
  <cp:lastModifiedBy/>
  <cp:revision>1</cp:revision>
  <dcterms:created xsi:type="dcterms:W3CDTF">2013-12-23T23:15:00Z</dcterms:created>
  <dcterms:modified xsi:type="dcterms:W3CDTF">2013-12-23T23:15:00Z</dcterms:modified>
  <cp:category/>
</cp:coreProperties>
</file>