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ToS Corpus &amp; Rights</w:t>
        <w:br/>
        <w:t>Registry</w:t>
      </w:r>
    </w:p>
    <w:p>
      <w:pPr>
        <w:pStyle w:val="Subtitle"/>
      </w:pPr>
      <w:r>
        <w:t>T2-31 — Даршаны как комментарийные экологии</w:t>
      </w:r>
    </w:p>
    <w:p>
      <w:pPr>
        <w:spacing w:after="260"/>
      </w:pPr>
      <w:r>
        <w:rPr>
          <w:rFonts w:ascii="DejaVu Sans" w:hAnsi="DejaVu Sans"/>
          <w:b/>
          <w:color w:val="153F4A"/>
          <w:sz w:val="20"/>
        </w:rPr>
        <w:t>A / 5   •   90 путей доступа   •   около 60 первичных текстов   •   26 пробелов</w:t>
      </w:r>
    </w:p>
    <w:p>
      <w:pPr>
        <w:pBdr>
          <w:bottom w:val="single" w:sz="8" w:space="8" w:color="B9CED2"/>
        </w:pBdr>
      </w:pPr>
      <w:r>
        <w:t>Исследовательская карта для чтения, загрузки, работы с оригиналами и выбора разрешённых слоёв для ToS. Полнота доступа и права проверяются раздельно. Основные данные: ToS_Corpus_Rights_T2-31_registry.xlsx.</w:t>
      </w:r>
    </w:p>
    <w:p>
      <w:pPr>
        <w:pStyle w:val="Heading1"/>
      </w:pPr>
      <w:r>
        <w:t>1. Паспорт</w:t>
      </w:r>
    </w:p>
    <w:p>
      <w:r>
        <w:t>T2-31 — «Даршаны как комментарийные экологии». Исходный статус: A; уверенность мастер-строки: 5/5. Макрорегион: Южная Азия. Формирование: V–IX вв.; фиксация/передача: VII–XII вв.; канонизация/комментарий: VIII–XV вв. Эти поля сохранены, а не заменены датами ранних сутр или поздних рукописей.</w:t>
      </w:r>
    </w:p>
    <w:p>
      <w:r>
        <w:t>Исходный материал: «ToS Deep Research_ T2-31 — Даршаны как комментарийные экологии(1).docx», 66 страниц в предоставленном представлении. Из DR извлечены текстовые линии и библиографические подсказки; его предложения о графе, YAML и будущих подисследованиях не выполнялись. DR остаётся отдельным неизменённым документом. Настоящий отчёт описывает самостоятельную веб-проверку доступа и прав по состоянию на 4 сентября 2026 года.</w:t>
      </w:r>
    </w:p>
    <w:p>
      <w:r>
        <w:t>Ядро — Nyāya, Vaiśeṣika, Bhāṭṭa и Prābhākara Mīmāṃsā, Sāṃkhya и Pātañjala Yoga. Рабочая единица поиска — произведение, комментарийная ветвь, определённая редакция, перевод или рукописный свидетель. Ранние основания и поздние продолжения включены при конкретной связи с этими линиями; самостоятельные корпуса Vedānta, буддийской логики, джайнизма и Navya-Nyāya не поглощены.</w:t>
      </w:r>
    </w:p>
    <w:p>
      <w:r>
        <w:t>Языки поиска и идентификации: преимущественно английский и санскритские названия в IAST/упрощённой латинице; русские названия переводов; французское название конкретного издания; китайское название Jin qishi lun и каталожный номер T2137. Среди найденных материалов — санскрит, английский, русский, французский, арабский и китайский. Систематического поиска по всем современным индийским языкам не проводилось.</w:t>
      </w:r>
    </w:p>
    <w:p>
      <w:r>
        <w:t>Для доступа использованы item-level страницы GRETIL, SARIT, HANSEL, CBETA, OPenn, университетских библиотек, институциональных репозиториев, издателей, Internet Archive, HathiTrust и Project Gutenberg. Для идентификации — заголовки электронных изданий, титулы сканов, официальные каталоги и издательские карточки. Для прав — availability/лицензии конкретного файла, item-level rights statements и явно применимые уведомления. Общие описания платформ не превращены в разрешение на весь их контент.</w:t>
      </w:r>
    </w:p>
    <w:p>
      <w:r>
        <w:t>Wikipedia не используется в итоговом пакете как источник доступа, метаданных или прав. Слабые поисковые указатели, не подтверждённые прочитанной предметной записью, вынесены в gaps как unverified_candidate или иной конкретный пробел. Так, издательское указание Open Access само по себе не стало разрешением на использование ещё не открытого PDF.</w:t>
      </w:r>
    </w:p>
    <w:p>
      <w:r>
        <w:t xml:space="preserve">Как читать пакет: XLSX содержит 32 запрошенных поля на листе registry и отдельный лист gaps. Ссылки вида </w:t>
      </w:r>
      <w:hyperlink r:id="rId11">
        <w:r>
          <w:rPr>
            <w:color w:val="176274"/>
            <w:u w:val="single"/>
            <w:rFonts w:ascii="DejaVu Sans" w:hAnsi="DejaVu Sans"/>
            <w:sz w:val="19"/>
          </w:rPr>
          <w:t>R025</w:t>
        </w:r>
      </w:hyperlink>
      <w:r>
        <w:t xml:space="preserve"> в отчёте ведут к исходным страницам; соответствующий полный ID в таблице — T2-31-</w:t>
      </w:r>
      <w:hyperlink r:id="rId11">
        <w:r>
          <w:rPr>
            <w:color w:val="176274"/>
            <w:u w:val="single"/>
            <w:rFonts w:ascii="DejaVu Sans" w:hAnsi="DejaVu Sans"/>
            <w:sz w:val="19"/>
          </w:rPr>
          <w:t>R025</w:t>
        </w:r>
      </w:hyperlink>
      <w:r>
        <w:t>. Детали лицензии, её области действия, ограничения полноты и степень проверки находятся в записи, а не подразумеваются из названия книги.</w:t>
      </w:r>
    </w:p>
    <w:p>
      <w:pPr>
        <w:pStyle w:val="Heading1"/>
      </w:pPr>
      <w:r>
        <w:t>2. Охват корпуса</w:t>
      </w:r>
    </w:p>
    <w:p>
      <w:pPr>
        <w:pStyle w:val="Heading2"/>
      </w:pPr>
      <w:r>
        <w:t>Что пришло из DR и что добавил поиск</w:t>
      </w:r>
    </w:p>
    <w:p>
      <w:r>
        <w:t>Nyāya. Инвентаризирована цепь Nyāyasūtra → Nyāyabhāṣya Vātsyāyana → Nyāyavārttika Uddyotakara → Nyāyavārttikatātparyaṭīkā Vācaspati → Pariśuddhi Udayana. Отдельно сохранены Nyāyamañjarī и Nyāyakusumāñjali. Веб-поиск добавил Ātmatattvaviveka, Lakṣaṇāvalī, поздний Tarkasaṃgraha с комментариями и конкретные старые/современные издания. Доступ к одному слою не принят за доступ ко всем предыдущим комментариям. [</w:t>
      </w:r>
      <w:hyperlink r:id="rId12">
        <w:r>
          <w:rPr>
            <w:color w:val="176274"/>
            <w:u w:val="single"/>
            <w:rFonts w:ascii="DejaVu Sans" w:hAnsi="DejaVu Sans"/>
            <w:sz w:val="19"/>
          </w:rPr>
          <w:t>R001</w:t>
        </w:r>
      </w:hyperlink>
      <w:r>
        <w:t xml:space="preserve">; </w:t>
      </w:r>
      <w:hyperlink r:id="rId13">
        <w:r>
          <w:rPr>
            <w:color w:val="176274"/>
            <w:u w:val="single"/>
            <w:rFonts w:ascii="DejaVu Sans" w:hAnsi="DejaVu Sans"/>
            <w:sz w:val="19"/>
          </w:rPr>
          <w:t>R002</w:t>
        </w:r>
      </w:hyperlink>
      <w:r>
        <w:t xml:space="preserve">; </w:t>
      </w:r>
      <w:hyperlink r:id="rId14">
        <w:r>
          <w:rPr>
            <w:color w:val="176274"/>
            <w:u w:val="single"/>
            <w:rFonts w:ascii="DejaVu Sans" w:hAnsi="DejaVu Sans"/>
            <w:sz w:val="19"/>
          </w:rPr>
          <w:t>R003</w:t>
        </w:r>
      </w:hyperlink>
      <w:r>
        <w:t xml:space="preserve">; </w:t>
      </w:r>
      <w:hyperlink r:id="rId15">
        <w:r>
          <w:rPr>
            <w:color w:val="176274"/>
            <w:u w:val="single"/>
            <w:rFonts w:ascii="DejaVu Sans" w:hAnsi="DejaVu Sans"/>
            <w:sz w:val="19"/>
          </w:rPr>
          <w:t>R004</w:t>
        </w:r>
      </w:hyperlink>
      <w:r>
        <w:t xml:space="preserve">; </w:t>
      </w:r>
      <w:hyperlink r:id="rId16">
        <w:r>
          <w:rPr>
            <w:color w:val="176274"/>
            <w:u w:val="single"/>
            <w:rFonts w:ascii="DejaVu Sans" w:hAnsi="DejaVu Sans"/>
            <w:sz w:val="19"/>
          </w:rPr>
          <w:t>R005</w:t>
        </w:r>
      </w:hyperlink>
      <w:r>
        <w:t xml:space="preserve">; </w:t>
      </w:r>
      <w:hyperlink r:id="rId17">
        <w:r>
          <w:rPr>
            <w:color w:val="176274"/>
            <w:u w:val="single"/>
            <w:rFonts w:ascii="DejaVu Sans" w:hAnsi="DejaVu Sans"/>
            <w:sz w:val="19"/>
          </w:rPr>
          <w:t>R029</w:t>
        </w:r>
      </w:hyperlink>
      <w:r>
        <w:t xml:space="preserve">; </w:t>
      </w:r>
      <w:hyperlink r:id="rId18">
        <w:r>
          <w:rPr>
            <w:color w:val="176274"/>
            <w:u w:val="single"/>
            <w:rFonts w:ascii="DejaVu Sans" w:hAnsi="DejaVu Sans"/>
            <w:sz w:val="19"/>
          </w:rPr>
          <w:t>R031</w:t>
        </w:r>
      </w:hyperlink>
      <w:r>
        <w:t xml:space="preserve">; </w:t>
      </w:r>
      <w:hyperlink r:id="rId19">
        <w:r>
          <w:rPr>
            <w:color w:val="176274"/>
            <w:u w:val="single"/>
            <w:rFonts w:ascii="DejaVu Sans" w:hAnsi="DejaVu Sans"/>
            <w:sz w:val="19"/>
          </w:rPr>
          <w:t>R051</w:t>
        </w:r>
      </w:hyperlink>
      <w:r>
        <w:t xml:space="preserve">; </w:t>
      </w:r>
      <w:hyperlink r:id="rId20">
        <w:r>
          <w:rPr>
            <w:color w:val="176274"/>
            <w:u w:val="single"/>
            <w:rFonts w:ascii="DejaVu Sans" w:hAnsi="DejaVu Sans"/>
            <w:sz w:val="19"/>
          </w:rPr>
          <w:t>R079</w:t>
        </w:r>
      </w:hyperlink>
      <w:r>
        <w:t xml:space="preserve">; </w:t>
      </w:r>
      <w:hyperlink r:id="rId21">
        <w:r>
          <w:rPr>
            <w:color w:val="176274"/>
            <w:u w:val="single"/>
            <w:rFonts w:ascii="DejaVu Sans" w:hAnsi="DejaVu Sans"/>
            <w:sz w:val="19"/>
          </w:rPr>
          <w:t>R082</w:t>
        </w:r>
      </w:hyperlink>
      <w:r>
        <w:t xml:space="preserve">; </w:t>
      </w:r>
      <w:hyperlink r:id="rId22">
        <w:r>
          <w:rPr>
            <w:color w:val="176274"/>
            <w:u w:val="single"/>
            <w:rFonts w:ascii="DejaVu Sans" w:hAnsi="DejaVu Sans"/>
            <w:sz w:val="19"/>
          </w:rPr>
          <w:t>R083</w:t>
        </w:r>
      </w:hyperlink>
      <w:r>
        <w:t>]</w:t>
      </w:r>
    </w:p>
    <w:p>
      <w:r>
        <w:t>Vaiśeṣika. Помимо Vaiśeṣikasūtra и Padārthadharmasaṃgraha из DR найдены отдельные входы к Nyāyakandalī, Vyomavatī, Kiraṇāvalī, Upaskāra и Saptapadārthī с Mitabhāṣiṇī. Последние дают прямую передачу и систематизацию категориальной линии. Наличие Nyāyakandalī в названии печатного источника GRETIL не означает, что весь этот комментарий включён в электронный файл Praśastapāda. [</w:t>
      </w:r>
      <w:hyperlink r:id="rId23">
        <w:r>
          <w:rPr>
            <w:color w:val="176274"/>
            <w:u w:val="single"/>
            <w:rFonts w:ascii="DejaVu Sans" w:hAnsi="DejaVu Sans"/>
            <w:sz w:val="19"/>
          </w:rPr>
          <w:t>R006</w:t>
        </w:r>
      </w:hyperlink>
      <w:r>
        <w:t xml:space="preserve">; </w:t>
      </w:r>
      <w:hyperlink r:id="rId24">
        <w:r>
          <w:rPr>
            <w:color w:val="176274"/>
            <w:u w:val="single"/>
            <w:rFonts w:ascii="DejaVu Sans" w:hAnsi="DejaVu Sans"/>
            <w:sz w:val="19"/>
          </w:rPr>
          <w:t>R007</w:t>
        </w:r>
      </w:hyperlink>
      <w:r>
        <w:t xml:space="preserve">; </w:t>
      </w:r>
      <w:hyperlink r:id="rId25">
        <w:r>
          <w:rPr>
            <w:color w:val="176274"/>
            <w:u w:val="single"/>
            <w:rFonts w:ascii="DejaVu Sans" w:hAnsi="DejaVu Sans"/>
            <w:sz w:val="19"/>
          </w:rPr>
          <w:t>R055</w:t>
        </w:r>
      </w:hyperlink>
      <w:r>
        <w:t xml:space="preserve">; </w:t>
      </w:r>
      <w:hyperlink r:id="rId26">
        <w:r>
          <w:rPr>
            <w:color w:val="176274"/>
            <w:u w:val="single"/>
            <w:rFonts w:ascii="DejaVu Sans" w:hAnsi="DejaVu Sans"/>
            <w:sz w:val="19"/>
          </w:rPr>
          <w:t>R078</w:t>
        </w:r>
      </w:hyperlink>
      <w:r>
        <w:t xml:space="preserve">; </w:t>
      </w:r>
      <w:hyperlink r:id="rId21">
        <w:r>
          <w:rPr>
            <w:color w:val="176274"/>
            <w:u w:val="single"/>
            <w:rFonts w:ascii="DejaVu Sans" w:hAnsi="DejaVu Sans"/>
            <w:sz w:val="19"/>
          </w:rPr>
          <w:t>R082</w:t>
        </w:r>
      </w:hyperlink>
      <w:r>
        <w:t xml:space="preserve">; </w:t>
      </w:r>
      <w:hyperlink r:id="rId27">
        <w:r>
          <w:rPr>
            <w:color w:val="176274"/>
            <w:u w:val="single"/>
            <w:rFonts w:ascii="DejaVu Sans" w:hAnsi="DejaVu Sans"/>
            <w:sz w:val="19"/>
          </w:rPr>
          <w:t>R085</w:t>
        </w:r>
      </w:hyperlink>
      <w:r>
        <w:t xml:space="preserve">; </w:t>
      </w:r>
      <w:hyperlink r:id="rId28">
        <w:r>
          <w:rPr>
            <w:color w:val="176274"/>
            <w:u w:val="single"/>
            <w:rFonts w:ascii="DejaVu Sans" w:hAnsi="DejaVu Sans"/>
            <w:sz w:val="19"/>
          </w:rPr>
          <w:t>R086</w:t>
        </w:r>
      </w:hyperlink>
      <w:r>
        <w:t>]</w:t>
      </w:r>
    </w:p>
    <w:p>
      <w:r>
        <w:t>Mīmāṃsā. Ядро Jaimini–Śabara–Kumārila дополнено Ṭupṭīkā, комментариями Kāśikā, Prakaraṇapañcikā и Nyāyasiddhi, библиотечной Bṛhatī–Ṛjuvimalā, отдельной публикацией Bṛhatī, Tarkapāda, с Bhāṣyapariśiṣṭa. Включены Śāstradīpikā, Vidhiviveka–Nyāyakaṇikā, Jaiminīyanyāyamālāvistara и поздняя Āpadevī. Это прямые текстовые родственники, а не расширение до всей ритуальной или правовой литературы Индии. [</w:t>
      </w:r>
      <w:hyperlink r:id="rId29">
        <w:r>
          <w:rPr>
            <w:color w:val="176274"/>
            <w:u w:val="single"/>
            <w:rFonts w:ascii="DejaVu Sans" w:hAnsi="DejaVu Sans"/>
            <w:sz w:val="19"/>
          </w:rPr>
          <w:t>R010</w:t>
        </w:r>
      </w:hyperlink>
      <w:r>
        <w:t xml:space="preserve">; </w:t>
      </w:r>
      <w:hyperlink r:id="rId30">
        <w:r>
          <w:rPr>
            <w:color w:val="176274"/>
            <w:u w:val="single"/>
            <w:rFonts w:ascii="DejaVu Sans" w:hAnsi="DejaVu Sans"/>
            <w:sz w:val="19"/>
          </w:rPr>
          <w:t>R011</w:t>
        </w:r>
      </w:hyperlink>
      <w:r>
        <w:t xml:space="preserve">; </w:t>
      </w:r>
      <w:hyperlink r:id="rId31">
        <w:r>
          <w:rPr>
            <w:color w:val="176274"/>
            <w:u w:val="single"/>
            <w:rFonts w:ascii="DejaVu Sans" w:hAnsi="DejaVu Sans"/>
            <w:sz w:val="19"/>
          </w:rPr>
          <w:t>R012</w:t>
        </w:r>
      </w:hyperlink>
      <w:r>
        <w:t xml:space="preserve">; </w:t>
      </w:r>
      <w:hyperlink r:id="rId32">
        <w:r>
          <w:rPr>
            <w:color w:val="176274"/>
            <w:u w:val="single"/>
            <w:rFonts w:ascii="DejaVu Sans" w:hAnsi="DejaVu Sans"/>
            <w:sz w:val="19"/>
          </w:rPr>
          <w:t>R013</w:t>
        </w:r>
      </w:hyperlink>
      <w:r>
        <w:t xml:space="preserve">; </w:t>
      </w:r>
      <w:hyperlink r:id="rId33">
        <w:r>
          <w:rPr>
            <w:color w:val="176274"/>
            <w:u w:val="single"/>
            <w:rFonts w:ascii="DejaVu Sans" w:hAnsi="DejaVu Sans"/>
            <w:sz w:val="19"/>
          </w:rPr>
          <w:t>R014</w:t>
        </w:r>
      </w:hyperlink>
      <w:r>
        <w:t xml:space="preserve">; </w:t>
      </w:r>
      <w:hyperlink r:id="rId34">
        <w:r>
          <w:rPr>
            <w:color w:val="176274"/>
            <w:u w:val="single"/>
            <w:rFonts w:ascii="DejaVu Sans" w:hAnsi="DejaVu Sans"/>
            <w:sz w:val="19"/>
          </w:rPr>
          <w:t>R015</w:t>
        </w:r>
      </w:hyperlink>
      <w:r>
        <w:t xml:space="preserve">; </w:t>
      </w:r>
      <w:hyperlink r:id="rId35">
        <w:r>
          <w:rPr>
            <w:color w:val="176274"/>
            <w:u w:val="single"/>
            <w:rFonts w:ascii="DejaVu Sans" w:hAnsi="DejaVu Sans"/>
            <w:sz w:val="19"/>
          </w:rPr>
          <w:t>R032</w:t>
        </w:r>
      </w:hyperlink>
      <w:r>
        <w:t xml:space="preserve">; </w:t>
      </w:r>
      <w:hyperlink r:id="rId36">
        <w:r>
          <w:rPr>
            <w:color w:val="176274"/>
            <w:u w:val="single"/>
            <w:rFonts w:ascii="DejaVu Sans" w:hAnsi="DejaVu Sans"/>
            <w:sz w:val="19"/>
          </w:rPr>
          <w:t>R040</w:t>
        </w:r>
      </w:hyperlink>
      <w:r>
        <w:t xml:space="preserve">; </w:t>
      </w:r>
      <w:hyperlink r:id="rId37">
        <w:r>
          <w:rPr>
            <w:color w:val="176274"/>
            <w:u w:val="single"/>
            <w:rFonts w:ascii="DejaVu Sans" w:hAnsi="DejaVu Sans"/>
            <w:sz w:val="19"/>
          </w:rPr>
          <w:t>R050</w:t>
        </w:r>
      </w:hyperlink>
      <w:r>
        <w:t xml:space="preserve">; </w:t>
      </w:r>
      <w:hyperlink r:id="rId38">
        <w:r>
          <w:rPr>
            <w:color w:val="176274"/>
            <w:u w:val="single"/>
            <w:rFonts w:ascii="DejaVu Sans" w:hAnsi="DejaVu Sans"/>
            <w:sz w:val="19"/>
          </w:rPr>
          <w:t>R053</w:t>
        </w:r>
      </w:hyperlink>
      <w:r>
        <w:t xml:space="preserve">; </w:t>
      </w:r>
      <w:hyperlink r:id="rId39">
        <w:r>
          <w:rPr>
            <w:color w:val="176274"/>
            <w:u w:val="single"/>
            <w:rFonts w:ascii="DejaVu Sans" w:hAnsi="DejaVu Sans"/>
            <w:sz w:val="19"/>
          </w:rPr>
          <w:t>R054</w:t>
        </w:r>
      </w:hyperlink>
      <w:r>
        <w:t xml:space="preserve">; </w:t>
      </w:r>
      <w:hyperlink r:id="rId40">
        <w:r>
          <w:rPr>
            <w:color w:val="176274"/>
            <w:u w:val="single"/>
            <w:rFonts w:ascii="DejaVu Sans" w:hAnsi="DejaVu Sans"/>
            <w:sz w:val="19"/>
          </w:rPr>
          <w:t>R073</w:t>
        </w:r>
      </w:hyperlink>
      <w:r>
        <w:t xml:space="preserve">; </w:t>
      </w:r>
      <w:hyperlink r:id="rId41">
        <w:r>
          <w:rPr>
            <w:color w:val="176274"/>
            <w:u w:val="single"/>
            <w:rFonts w:ascii="DejaVu Sans" w:hAnsi="DejaVu Sans"/>
            <w:sz w:val="19"/>
          </w:rPr>
          <w:t>R075</w:t>
        </w:r>
      </w:hyperlink>
      <w:r>
        <w:t xml:space="preserve">; </w:t>
      </w:r>
      <w:hyperlink r:id="rId42">
        <w:r>
          <w:rPr>
            <w:color w:val="176274"/>
            <w:u w:val="single"/>
            <w:rFonts w:ascii="DejaVu Sans" w:hAnsi="DejaVu Sans"/>
            <w:sz w:val="19"/>
          </w:rPr>
          <w:t>R081</w:t>
        </w:r>
      </w:hyperlink>
      <w:r>
        <w:t>]</w:t>
      </w:r>
    </w:p>
    <w:p>
      <w:r>
        <w:t>Sāṃkhya. Различены несколько электронных редакций Sāṃkhyakārikā, её Gauḍapādabhāṣya, Māṭharavṛtti, Jayamaṅgalā, Yuktidīpikā и Tattvakaumudī. Обязательный поиск поздней семьи добавил Sāṃkhyasūtra, Sāṃkhyasāra, Tattvasamāsa и девять самостоятельных малых текстов/комментариев из Sāṃkhyasaṃgraha: Tattvayāthārthyadīpana, Sāṃkhyatattvapradīpa, Sāṃkhyatattvapradīpikā, Sāṃkhyaparibhāṣā, Sāṃkhyasūtravivaraṇa, Sarvopakāriṇī, Sāṃkhyatattvavivecana, Tattvamīmāṃsā и Tattvasamāsasūtravṛtti. Их точные даты не выдуманы, когда источник их не устанавливает. [</w:t>
      </w:r>
      <w:hyperlink r:id="rId43">
        <w:r>
          <w:rPr>
            <w:color w:val="176274"/>
            <w:u w:val="single"/>
            <w:rFonts w:ascii="DejaVu Sans" w:hAnsi="DejaVu Sans"/>
            <w:sz w:val="19"/>
          </w:rPr>
          <w:t>R016</w:t>
        </w:r>
      </w:hyperlink>
      <w:r>
        <w:t xml:space="preserve">; </w:t>
      </w:r>
      <w:hyperlink r:id="rId44">
        <w:r>
          <w:rPr>
            <w:color w:val="176274"/>
            <w:u w:val="single"/>
            <w:rFonts w:ascii="DejaVu Sans" w:hAnsi="DejaVu Sans"/>
            <w:sz w:val="19"/>
          </w:rPr>
          <w:t>R017</w:t>
        </w:r>
      </w:hyperlink>
      <w:r>
        <w:t xml:space="preserve">; </w:t>
      </w:r>
      <w:hyperlink r:id="rId45">
        <w:r>
          <w:rPr>
            <w:color w:val="176274"/>
            <w:u w:val="single"/>
            <w:rFonts w:ascii="DejaVu Sans" w:hAnsi="DejaVu Sans"/>
            <w:sz w:val="19"/>
          </w:rPr>
          <w:t>R018</w:t>
        </w:r>
      </w:hyperlink>
      <w:r>
        <w:t xml:space="preserve">; </w:t>
      </w:r>
      <w:hyperlink r:id="rId46">
        <w:r>
          <w:rPr>
            <w:color w:val="176274"/>
            <w:u w:val="single"/>
            <w:rFonts w:ascii="DejaVu Sans" w:hAnsi="DejaVu Sans"/>
            <w:sz w:val="19"/>
          </w:rPr>
          <w:t>R019</w:t>
        </w:r>
      </w:hyperlink>
      <w:r>
        <w:t xml:space="preserve">; </w:t>
      </w:r>
      <w:hyperlink r:id="rId47">
        <w:r>
          <w:rPr>
            <w:color w:val="176274"/>
            <w:u w:val="single"/>
            <w:rFonts w:ascii="DejaVu Sans" w:hAnsi="DejaVu Sans"/>
            <w:sz w:val="19"/>
          </w:rPr>
          <w:t>R020</w:t>
        </w:r>
      </w:hyperlink>
      <w:r>
        <w:t xml:space="preserve">; </w:t>
      </w:r>
      <w:hyperlink r:id="rId48">
        <w:r>
          <w:rPr>
            <w:color w:val="176274"/>
            <w:u w:val="single"/>
            <w:rFonts w:ascii="DejaVu Sans" w:hAnsi="DejaVu Sans"/>
            <w:sz w:val="19"/>
          </w:rPr>
          <w:t>R021</w:t>
        </w:r>
      </w:hyperlink>
      <w:r>
        <w:t xml:space="preserve">; </w:t>
      </w:r>
      <w:hyperlink r:id="rId49">
        <w:r>
          <w:rPr>
            <w:color w:val="176274"/>
            <w:u w:val="single"/>
            <w:rFonts w:ascii="DejaVu Sans" w:hAnsi="DejaVu Sans"/>
            <w:sz w:val="19"/>
          </w:rPr>
          <w:t>R022</w:t>
        </w:r>
      </w:hyperlink>
      <w:r>
        <w:t xml:space="preserve">; </w:t>
      </w:r>
      <w:hyperlink r:id="rId50">
        <w:r>
          <w:rPr>
            <w:color w:val="176274"/>
            <w:u w:val="single"/>
            <w:rFonts w:ascii="DejaVu Sans" w:hAnsi="DejaVu Sans"/>
            <w:sz w:val="19"/>
          </w:rPr>
          <w:t>R023</w:t>
        </w:r>
      </w:hyperlink>
      <w:r>
        <w:t xml:space="preserve">; </w:t>
      </w:r>
      <w:hyperlink r:id="rId51">
        <w:r>
          <w:rPr>
            <w:color w:val="176274"/>
            <w:u w:val="single"/>
            <w:rFonts w:ascii="DejaVu Sans" w:hAnsi="DejaVu Sans"/>
            <w:sz w:val="19"/>
          </w:rPr>
          <w:t>R024</w:t>
        </w:r>
      </w:hyperlink>
      <w:r>
        <w:t xml:space="preserve">; </w:t>
      </w:r>
      <w:hyperlink r:id="rId52">
        <w:r>
          <w:rPr>
            <w:color w:val="176274"/>
            <w:u w:val="single"/>
            <w:rFonts w:ascii="DejaVu Sans" w:hAnsi="DejaVu Sans"/>
            <w:sz w:val="19"/>
          </w:rPr>
          <w:t>R035</w:t>
        </w:r>
      </w:hyperlink>
      <w:r>
        <w:t xml:space="preserve">; </w:t>
      </w:r>
      <w:hyperlink r:id="rId53">
        <w:r>
          <w:rPr>
            <w:color w:val="176274"/>
            <w:u w:val="single"/>
            <w:rFonts w:ascii="DejaVu Sans" w:hAnsi="DejaVu Sans"/>
            <w:sz w:val="19"/>
          </w:rPr>
          <w:t>R041</w:t>
        </w:r>
      </w:hyperlink>
      <w:r>
        <w:t xml:space="preserve">; </w:t>
      </w:r>
      <w:hyperlink r:id="rId54">
        <w:r>
          <w:rPr>
            <w:color w:val="176274"/>
            <w:u w:val="single"/>
            <w:rFonts w:ascii="DejaVu Sans" w:hAnsi="DejaVu Sans"/>
            <w:sz w:val="19"/>
          </w:rPr>
          <w:t>R042</w:t>
        </w:r>
      </w:hyperlink>
      <w:r>
        <w:t xml:space="preserve">; </w:t>
      </w:r>
      <w:hyperlink r:id="rId55">
        <w:r>
          <w:rPr>
            <w:color w:val="176274"/>
            <w:u w:val="single"/>
            <w:rFonts w:ascii="DejaVu Sans" w:hAnsi="DejaVu Sans"/>
            <w:sz w:val="19"/>
          </w:rPr>
          <w:t>R043</w:t>
        </w:r>
      </w:hyperlink>
      <w:r>
        <w:t xml:space="preserve">; </w:t>
      </w:r>
      <w:hyperlink r:id="rId56">
        <w:r>
          <w:rPr>
            <w:color w:val="176274"/>
            <w:u w:val="single"/>
            <w:rFonts w:ascii="DejaVu Sans" w:hAnsi="DejaVu Sans"/>
            <w:sz w:val="19"/>
          </w:rPr>
          <w:t>R044</w:t>
        </w:r>
      </w:hyperlink>
      <w:r>
        <w:t xml:space="preserve">; </w:t>
      </w:r>
      <w:hyperlink r:id="rId57">
        <w:r>
          <w:rPr>
            <w:color w:val="176274"/>
            <w:u w:val="single"/>
            <w:rFonts w:ascii="DejaVu Sans" w:hAnsi="DejaVu Sans"/>
            <w:sz w:val="19"/>
          </w:rPr>
          <w:t>R045</w:t>
        </w:r>
      </w:hyperlink>
      <w:r>
        <w:t xml:space="preserve">; </w:t>
      </w:r>
      <w:hyperlink r:id="rId58">
        <w:r>
          <w:rPr>
            <w:color w:val="176274"/>
            <w:u w:val="single"/>
            <w:rFonts w:ascii="DejaVu Sans" w:hAnsi="DejaVu Sans"/>
            <w:sz w:val="19"/>
          </w:rPr>
          <w:t>R046</w:t>
        </w:r>
      </w:hyperlink>
      <w:r>
        <w:t xml:space="preserve">; </w:t>
      </w:r>
      <w:hyperlink r:id="rId59">
        <w:r>
          <w:rPr>
            <w:color w:val="176274"/>
            <w:u w:val="single"/>
            <w:rFonts w:ascii="DejaVu Sans" w:hAnsi="DejaVu Sans"/>
            <w:sz w:val="19"/>
          </w:rPr>
          <w:t>R047</w:t>
        </w:r>
      </w:hyperlink>
      <w:r>
        <w:t xml:space="preserve">; </w:t>
      </w:r>
      <w:hyperlink r:id="rId60">
        <w:r>
          <w:rPr>
            <w:color w:val="176274"/>
            <w:u w:val="single"/>
            <w:rFonts w:ascii="DejaVu Sans" w:hAnsi="DejaVu Sans"/>
            <w:sz w:val="19"/>
          </w:rPr>
          <w:t>R048</w:t>
        </w:r>
      </w:hyperlink>
      <w:r>
        <w:t xml:space="preserve">; </w:t>
      </w:r>
      <w:hyperlink r:id="rId61">
        <w:r>
          <w:rPr>
            <w:color w:val="176274"/>
            <w:u w:val="single"/>
            <w:rFonts w:ascii="DejaVu Sans" w:hAnsi="DejaVu Sans"/>
            <w:sz w:val="19"/>
          </w:rPr>
          <w:t>R049</w:t>
        </w:r>
      </w:hyperlink>
      <w:r>
        <w:t>]</w:t>
      </w:r>
    </w:p>
    <w:p>
      <w:r>
        <w:t>Yoga. Основной объект — Pātañjalayogaśāstra, то есть передаваемые совместно сутры и bhāṣya, с сохранением традиционного именования слоёв и оговорок DR об авторстве. Добавлены Tattvavaiśāradī, Rājamārtaṇḍa, Yogavārttika, Vivaraṇa, конкретная рукопись OPenn и актуальная рабочая редакция третьей главы Maas 2026. Английские и русские переводы не объединены с санскритским оригиналом. [</w:t>
      </w:r>
      <w:hyperlink r:id="rId62">
        <w:r>
          <w:rPr>
            <w:color w:val="176274"/>
            <w:u w:val="single"/>
            <w:rFonts w:ascii="DejaVu Sans" w:hAnsi="DejaVu Sans"/>
            <w:sz w:val="19"/>
          </w:rPr>
          <w:t>R009</w:t>
        </w:r>
      </w:hyperlink>
      <w:r>
        <w:t xml:space="preserve">; </w:t>
      </w:r>
      <w:hyperlink r:id="rId11">
        <w:r>
          <w:rPr>
            <w:color w:val="176274"/>
            <w:u w:val="single"/>
            <w:rFonts w:ascii="DejaVu Sans" w:hAnsi="DejaVu Sans"/>
            <w:sz w:val="19"/>
          </w:rPr>
          <w:t>R025</w:t>
        </w:r>
      </w:hyperlink>
      <w:r>
        <w:t xml:space="preserve">; </w:t>
      </w:r>
      <w:hyperlink r:id="rId63">
        <w:r>
          <w:rPr>
            <w:color w:val="176274"/>
            <w:u w:val="single"/>
            <w:rFonts w:ascii="DejaVu Sans" w:hAnsi="DejaVu Sans"/>
            <w:sz w:val="19"/>
          </w:rPr>
          <w:t>R026</w:t>
        </w:r>
      </w:hyperlink>
      <w:r>
        <w:t xml:space="preserve">; </w:t>
      </w:r>
      <w:hyperlink r:id="rId64">
        <w:r>
          <w:rPr>
            <w:color w:val="176274"/>
            <w:u w:val="single"/>
            <w:rFonts w:ascii="DejaVu Sans" w:hAnsi="DejaVu Sans"/>
            <w:sz w:val="19"/>
          </w:rPr>
          <w:t>R028</w:t>
        </w:r>
      </w:hyperlink>
      <w:r>
        <w:t xml:space="preserve">; </w:t>
      </w:r>
      <w:hyperlink r:id="rId65">
        <w:r>
          <w:rPr>
            <w:color w:val="176274"/>
            <w:u w:val="single"/>
            <w:rFonts w:ascii="DejaVu Sans" w:hAnsi="DejaVu Sans"/>
            <w:sz w:val="19"/>
          </w:rPr>
          <w:t>R033</w:t>
        </w:r>
      </w:hyperlink>
      <w:r>
        <w:t xml:space="preserve">; </w:t>
      </w:r>
      <w:hyperlink r:id="rId66">
        <w:r>
          <w:rPr>
            <w:color w:val="176274"/>
            <w:u w:val="single"/>
            <w:rFonts w:ascii="DejaVu Sans" w:hAnsi="DejaVu Sans"/>
            <w:sz w:val="19"/>
          </w:rPr>
          <w:t>R034</w:t>
        </w:r>
      </w:hyperlink>
      <w:r>
        <w:t xml:space="preserve">; </w:t>
      </w:r>
      <w:hyperlink r:id="rId67">
        <w:r>
          <w:rPr>
            <w:color w:val="176274"/>
            <w:u w:val="single"/>
            <w:rFonts w:ascii="DejaVu Sans" w:hAnsi="DejaVu Sans"/>
            <w:sz w:val="19"/>
          </w:rPr>
          <w:t>R056</w:t>
        </w:r>
      </w:hyperlink>
      <w:r>
        <w:t xml:space="preserve">; </w:t>
      </w:r>
      <w:hyperlink r:id="rId68">
        <w:r>
          <w:rPr>
            <w:color w:val="176274"/>
            <w:u w:val="single"/>
            <w:rFonts w:ascii="DejaVu Sans" w:hAnsi="DejaVu Sans"/>
            <w:sz w:val="19"/>
          </w:rPr>
          <w:t>R061</w:t>
        </w:r>
      </w:hyperlink>
      <w:r>
        <w:t xml:space="preserve">; </w:t>
      </w:r>
      <w:hyperlink r:id="rId69">
        <w:r>
          <w:rPr>
            <w:color w:val="176274"/>
            <w:u w:val="single"/>
            <w:rFonts w:ascii="DejaVu Sans" w:hAnsi="DejaVu Sans"/>
            <w:sz w:val="19"/>
          </w:rPr>
          <w:t>R062</w:t>
        </w:r>
      </w:hyperlink>
      <w:r>
        <w:t xml:space="preserve">; </w:t>
      </w:r>
      <w:hyperlink r:id="rId70">
        <w:r>
          <w:rPr>
            <w:color w:val="176274"/>
            <w:u w:val="single"/>
            <w:rFonts w:ascii="DejaVu Sans" w:hAnsi="DejaVu Sans"/>
            <w:sz w:val="19"/>
          </w:rPr>
          <w:t>R080</w:t>
        </w:r>
      </w:hyperlink>
      <w:r>
        <w:t xml:space="preserve">; </w:t>
      </w:r>
      <w:hyperlink r:id="rId71">
        <w:r>
          <w:rPr>
            <w:color w:val="176274"/>
            <w:u w:val="single"/>
            <w:rFonts w:ascii="DejaVu Sans" w:hAnsi="DejaVu Sans"/>
            <w:sz w:val="19"/>
          </w:rPr>
          <w:t>R084</w:t>
        </w:r>
      </w:hyperlink>
      <w:r>
        <w:t>]</w:t>
      </w:r>
    </w:p>
    <w:p>
      <w:pPr>
        <w:pStyle w:val="Heading2"/>
      </w:pPr>
      <w:r>
        <w:t>Ранний контур и поздние линии передачи</w:t>
      </w:r>
    </w:p>
    <w:p>
      <w:r>
        <w:t>Поиск назад выделил Nyāyasūtra, Vaiśeṣikasūtra и Mīmāṃsāsūtra как antecedent: это именно базовые тексты позднейших комментариев. Sāṃkhyakārikā и Pātañjalayogaśāstra, которые DR помещает около IV–V вв., оставлены core по их центральной роли, а не искусственно перенесены в V–IX вв. Утраченное предклассическое наследие Sāṃkhya не выдано за доступные целые книги: Ṣaṣṭitantra, Pañcaśikha и Vārṣagaṇya остаются задачей адресного поиска testimonia. Более широкие Kaṭhopaniṣad и Mokṣadharma занесены в gaps до проверки конкретных пассажей и связи.</w:t>
      </w:r>
    </w:p>
    <w:p>
      <w:r>
        <w:t>Поиск вперёд прошёл по прямым комментариям и учебным продолжениям. Сочинения Vijñānabhikṣu, Āpadeva, Annaṃbhaṭṭa и поздние комментаторы не исключены из-за XVI–XVII вв. Sāṃkhyasūtra отмечена как поздняя сутровая фаза, а не как древнейшее основание школы. Sāṃkhyasūtravivaraṇa из сборника Dvivedin относится к Tattvasamāsa: сходство названия не позволяет подменить его комментарием к шестиглавой Sāṃkhyasūtra. [</w:t>
      </w:r>
      <w:hyperlink r:id="rId49">
        <w:r>
          <w:rPr>
            <w:color w:val="176274"/>
            <w:u w:val="single"/>
            <w:rFonts w:ascii="DejaVu Sans" w:hAnsi="DejaVu Sans"/>
            <w:sz w:val="19"/>
          </w:rPr>
          <w:t>R022</w:t>
        </w:r>
      </w:hyperlink>
      <w:r>
        <w:t xml:space="preserve">; </w:t>
      </w:r>
      <w:hyperlink r:id="rId51">
        <w:r>
          <w:rPr>
            <w:color w:val="176274"/>
            <w:u w:val="single"/>
            <w:rFonts w:ascii="DejaVu Sans" w:hAnsi="DejaVu Sans"/>
            <w:sz w:val="19"/>
          </w:rPr>
          <w:t>R024</w:t>
        </w:r>
      </w:hyperlink>
      <w:r>
        <w:t xml:space="preserve">; </w:t>
      </w:r>
      <w:hyperlink r:id="rId57">
        <w:r>
          <w:rPr>
            <w:color w:val="176274"/>
            <w:u w:val="single"/>
            <w:rFonts w:ascii="DejaVu Sans" w:hAnsi="DejaVu Sans"/>
            <w:sz w:val="19"/>
          </w:rPr>
          <w:t>R045</w:t>
        </w:r>
      </w:hyperlink>
      <w:r>
        <w:t xml:space="preserve">; </w:t>
      </w:r>
      <w:hyperlink r:id="rId19">
        <w:r>
          <w:rPr>
            <w:color w:val="176274"/>
            <w:u w:val="single"/>
            <w:rFonts w:ascii="DejaVu Sans" w:hAnsi="DejaVu Sans"/>
            <w:sz w:val="19"/>
          </w:rPr>
          <w:t>R051</w:t>
        </w:r>
      </w:hyperlink>
      <w:r>
        <w:t xml:space="preserve">; </w:t>
      </w:r>
      <w:hyperlink r:id="rId69">
        <w:r>
          <w:rPr>
            <w:color w:val="176274"/>
            <w:u w:val="single"/>
            <w:rFonts w:ascii="DejaVu Sans" w:hAnsi="DejaVu Sans"/>
            <w:sz w:val="19"/>
          </w:rPr>
          <w:t>R062</w:t>
        </w:r>
      </w:hyperlink>
      <w:r>
        <w:t xml:space="preserve">; </w:t>
      </w:r>
      <w:hyperlink r:id="rId72">
        <w:r>
          <w:rPr>
            <w:color w:val="176274"/>
            <w:u w:val="single"/>
            <w:rFonts w:ascii="DejaVu Sans" w:hAnsi="DejaVu Sans"/>
            <w:sz w:val="19"/>
          </w:rPr>
          <w:t>R074</w:t>
        </w:r>
      </w:hyperlink>
      <w:r>
        <w:t xml:space="preserve">; </w:t>
      </w:r>
      <w:hyperlink r:id="rId42">
        <w:r>
          <w:rPr>
            <w:color w:val="176274"/>
            <w:u w:val="single"/>
            <w:rFonts w:ascii="DejaVu Sans" w:hAnsi="DejaVu Sans"/>
            <w:sz w:val="19"/>
          </w:rPr>
          <w:t>R081</w:t>
        </w:r>
      </w:hyperlink>
      <w:r>
        <w:t>]</w:t>
      </w:r>
    </w:p>
    <w:p>
      <w:r>
        <w:t>Два важных иноязычных канала добавлены вне санскритского ядра: китайский Jin qishi lun, T2137, передающий Sāṃkhyakārikā-комментарийную семью, и арабский Kitāb Bātanjali al-Bīrūnī, перерабатывающий Yoga. В реестре различены современная двуязычная книга и отдельный бесплатный арабский файл. Это transmission_or_preservation, а не новые самостоятельные школы. [</w:t>
      </w:r>
      <w:hyperlink r:id="rId73">
        <w:r>
          <w:rPr>
            <w:color w:val="176274"/>
            <w:u w:val="single"/>
            <w:rFonts w:ascii="DejaVu Sans" w:hAnsi="DejaVu Sans"/>
            <w:sz w:val="19"/>
          </w:rPr>
          <w:t>R067</w:t>
        </w:r>
      </w:hyperlink>
      <w:r>
        <w:t xml:space="preserve">; </w:t>
      </w:r>
      <w:hyperlink r:id="rId74">
        <w:r>
          <w:rPr>
            <w:color w:val="176274"/>
            <w:u w:val="single"/>
            <w:rFonts w:ascii="DejaVu Sans" w:hAnsi="DejaVu Sans"/>
            <w:sz w:val="19"/>
          </w:rPr>
          <w:t>R068</w:t>
        </w:r>
      </w:hyperlink>
      <w:r>
        <w:t xml:space="preserve">; </w:t>
      </w:r>
      <w:hyperlink r:id="rId75">
        <w:r>
          <w:rPr>
            <w:color w:val="176274"/>
            <w:u w:val="single"/>
            <w:rFonts w:ascii="DejaVu Sans" w:hAnsi="DejaVu Sans"/>
            <w:sz w:val="19"/>
          </w:rPr>
          <w:t>R070</w:t>
        </w:r>
      </w:hyperlink>
      <w:r>
        <w:t>]</w:t>
      </w:r>
    </w:p>
    <w:p>
      <w:r>
        <w:t>Адресные интерфейсы: Sarvadarśanasaṃgraha — поздняя доксографическая рецепция пяти традиций; Vākyapadīya — опорный текст для полемики о языке и sphoṭa; Vādarahasya/Udayananirākaraṇa — прямой полемический ответ Udayana с неуверенной атрибуцией Ratnakīrti. Tattvacintāmaṇi присутствует только как пограничная часть Śabdakhaṇḍa; Tarkatāṇḍava с Nyāyadīpa — как конкретная линия критики. Эти входы не превращены в общую библиографию Vedānta, буддизма, джайнизма или Navya-Nyāya. [</w:t>
      </w:r>
      <w:hyperlink r:id="rId76">
        <w:r>
          <w:rPr>
            <w:color w:val="176274"/>
            <w:u w:val="single"/>
            <w:rFonts w:ascii="DejaVu Sans" w:hAnsi="DejaVu Sans"/>
            <w:sz w:val="19"/>
          </w:rPr>
          <w:t>R069</w:t>
        </w:r>
      </w:hyperlink>
      <w:r>
        <w:t xml:space="preserve">; </w:t>
      </w:r>
      <w:hyperlink r:id="rId77">
        <w:r>
          <w:rPr>
            <w:color w:val="176274"/>
            <w:u w:val="single"/>
            <w:rFonts w:ascii="DejaVu Sans" w:hAnsi="DejaVu Sans"/>
            <w:sz w:val="19"/>
          </w:rPr>
          <w:t>R071</w:t>
        </w:r>
      </w:hyperlink>
      <w:r>
        <w:t xml:space="preserve">; </w:t>
      </w:r>
      <w:hyperlink r:id="rId78">
        <w:r>
          <w:rPr>
            <w:color w:val="176274"/>
            <w:u w:val="single"/>
            <w:rFonts w:ascii="DejaVu Sans" w:hAnsi="DejaVu Sans"/>
            <w:sz w:val="19"/>
          </w:rPr>
          <w:t>R072</w:t>
        </w:r>
      </w:hyperlink>
      <w:r>
        <w:t xml:space="preserve">; </w:t>
      </w:r>
      <w:hyperlink r:id="rId79">
        <w:r>
          <w:rPr>
            <w:color w:val="176274"/>
            <w:u w:val="single"/>
            <w:rFonts w:ascii="DejaVu Sans" w:hAnsi="DejaVu Sans"/>
            <w:sz w:val="19"/>
          </w:rPr>
          <w:t>R076</w:t>
        </w:r>
      </w:hyperlink>
      <w:r>
        <w:t xml:space="preserve">; </w:t>
      </w:r>
      <w:hyperlink r:id="rId80">
        <w:r>
          <w:rPr>
            <w:color w:val="176274"/>
            <w:u w:val="single"/>
            <w:rFonts w:ascii="DejaVu Sans" w:hAnsi="DejaVu Sans"/>
            <w:sz w:val="19"/>
          </w:rPr>
          <w:t>R077</w:t>
        </w:r>
      </w:hyperlink>
      <w:r>
        <w:t xml:space="preserve">; </w:t>
      </w:r>
      <w:hyperlink r:id="rId81">
        <w:r>
          <w:rPr>
            <w:color w:val="176274"/>
            <w:u w:val="single"/>
            <w:rFonts w:ascii="DejaVu Sans" w:hAnsi="DejaVu Sans"/>
            <w:sz w:val="19"/>
          </w:rPr>
          <w:t>R087</w:t>
        </w:r>
      </w:hyperlink>
      <w:r>
        <w:t>]</w:t>
      </w:r>
    </w:p>
    <w:p>
      <w:pPr>
        <w:pStyle w:val="Heading2"/>
      </w:pPr>
      <w:r>
        <w:t>Количественный итог и смысл полноты</w:t>
      </w:r>
    </w:p>
    <w:p>
      <w:r>
        <w:t>Всего 90 практически отличимых путей доступа: 87 предметных/издательских записей и 3 инфраструктурных. По укрупнённому рабочему подсчёту они затрагивают около 60 первичных произведений и самостоятельных комментариев; версии, переводы и повторные ссылки на один текст не посчитаны отдельными произведениями. Рукописный свидетель также не прибавлен как ещё одно произведение. В gaps — 26 конкретных пробелов и кандидатов, включая проблемы версий и прав.</w:t>
      </w:r>
    </w:p>
    <w:tbl>
      <w:tblPr>
        <w:tblW w:type="auto" w:w="0"/>
        <w:jc w:val="center"/>
        <w:tblLayout w:type="fixed"/>
        <w:tblLook w:firstColumn="1" w:firstRow="1" w:lastColumn="0" w:lastRow="0" w:noHBand="0" w:noVBand="1" w:val="04A0"/>
      </w:tblPr>
      <w:tblGrid>
        <w:gridCol w:w="2948"/>
        <w:gridCol w:w="1361"/>
        <w:gridCol w:w="5102"/>
      </w:tblGrid>
      <w:tr>
        <w:trPr>
          <w:cantSplit/>
          <w:tblHeader/>
        </w:trPr>
        <w:tc>
          <w:tcPr>
            <w:tcW w:type="dxa" w:w="2948"/>
            <w:vAlign w:val="top"/>
            <w:shd w:fill="153F4A"/>
            <w:tcMar>
              <w:top w:w="80" w:type="dxa"/>
              <w:left w:w="80" w:type="dxa"/>
              <w:bottom w:w="80" w:type="dxa"/>
              <w:right w:w="80" w:type="dxa"/>
            </w:tcMar>
          </w:tcPr>
          <w:p>
            <w:pPr>
              <w:spacing w:after="100" w:before="100" w:line="247" w:lineRule="auto"/>
            </w:pPr>
            <w:r>
              <w:rPr>
                <w:rFonts w:ascii="DejaVu Sans" w:hAnsi="DejaVu Sans"/>
                <w:b/>
                <w:color w:val="FFFFFF"/>
                <w:sz w:val="18"/>
              </w:rPr>
              <w:t>Предметная группа</w:t>
            </w:r>
          </w:p>
        </w:tc>
        <w:tc>
          <w:tcPr>
            <w:tcW w:type="dxa" w:w="1361"/>
            <w:vAlign w:val="top"/>
            <w:shd w:fill="153F4A"/>
            <w:tcMar>
              <w:top w:w="80" w:type="dxa"/>
              <w:left w:w="80" w:type="dxa"/>
              <w:bottom w:w="80" w:type="dxa"/>
              <w:right w:w="80" w:type="dxa"/>
            </w:tcMar>
          </w:tcPr>
          <w:p>
            <w:pPr>
              <w:spacing w:after="100" w:before="100" w:line="247" w:lineRule="auto"/>
            </w:pPr>
            <w:r>
              <w:rPr>
                <w:rFonts w:ascii="DejaVu Sans" w:hAnsi="DejaVu Sans"/>
                <w:b/>
                <w:color w:val="FFFFFF"/>
                <w:sz w:val="18"/>
              </w:rPr>
              <w:t>Записей доступа</w:t>
            </w:r>
          </w:p>
        </w:tc>
        <w:tc>
          <w:tcPr>
            <w:tcW w:type="dxa" w:w="5102"/>
            <w:vAlign w:val="top"/>
            <w:shd w:fill="153F4A"/>
            <w:tcMar>
              <w:top w:w="80" w:type="dxa"/>
              <w:left w:w="80" w:type="dxa"/>
              <w:bottom w:w="80" w:type="dxa"/>
              <w:right w:w="80" w:type="dxa"/>
            </w:tcMar>
          </w:tcPr>
          <w:p>
            <w:pPr>
              <w:spacing w:after="100" w:before="100" w:line="247" w:lineRule="auto"/>
            </w:pPr>
            <w:r>
              <w:rPr>
                <w:rFonts w:ascii="DejaVu Sans" w:hAnsi="DejaVu Sans"/>
                <w:b/>
                <w:color w:val="FFFFFF"/>
                <w:sz w:val="18"/>
              </w:rPr>
              <w:t>Что считается отдельно</w:t>
            </w:r>
          </w:p>
        </w:tc>
      </w:tr>
      <w:tr>
        <w:trPr>
          <w:cantSplit/>
        </w:trPr>
        <w:tc>
          <w:tcPr>
            <w:tcW w:type="dxa" w:w="2948"/>
            <w:vAlign w:val="top"/>
            <w:shd w:fill="FFFFFF"/>
            <w:tcMar>
              <w:top w:w="80" w:type="dxa"/>
              <w:left w:w="80" w:type="dxa"/>
              <w:bottom w:w="80" w:type="dxa"/>
              <w:right w:w="80" w:type="dxa"/>
            </w:tcMar>
          </w:tcPr>
          <w:p>
            <w:pPr>
              <w:spacing w:after="100" w:before="100" w:line="247" w:lineRule="auto"/>
            </w:pPr>
            <w:r>
              <w:rPr>
                <w:rFonts w:ascii="DejaVu Sans" w:hAnsi="DejaVu Sans"/>
                <w:sz w:val="18"/>
              </w:rPr>
              <w:t>Nyāya</w:t>
            </w:r>
          </w:p>
        </w:tc>
        <w:tc>
          <w:tcPr>
            <w:tcW w:type="dxa" w:w="1361"/>
            <w:vAlign w:val="top"/>
            <w:shd w:fill="FFFFFF"/>
            <w:tcMar>
              <w:top w:w="80" w:type="dxa"/>
              <w:left w:w="80" w:type="dxa"/>
              <w:bottom w:w="80" w:type="dxa"/>
              <w:right w:w="80" w:type="dxa"/>
            </w:tcMar>
          </w:tcPr>
          <w:p>
            <w:pPr>
              <w:spacing w:after="100" w:before="100" w:line="247" w:lineRule="auto"/>
            </w:pPr>
            <w:r>
              <w:rPr>
                <w:rFonts w:ascii="DejaVu Sans" w:hAnsi="DejaVu Sans"/>
                <w:sz w:val="18"/>
              </w:rPr>
              <w:t>17</w:t>
            </w:r>
          </w:p>
        </w:tc>
        <w:tc>
          <w:tcPr>
            <w:tcW w:type="dxa" w:w="5102"/>
            <w:vAlign w:val="top"/>
            <w:shd w:fill="FFFFFF"/>
            <w:tcMar>
              <w:top w:w="80" w:type="dxa"/>
              <w:left w:w="80" w:type="dxa"/>
              <w:bottom w:w="80" w:type="dxa"/>
              <w:right w:w="80" w:type="dxa"/>
            </w:tcMar>
          </w:tcPr>
          <w:p>
            <w:pPr>
              <w:spacing w:after="100" w:before="100" w:line="247" w:lineRule="auto"/>
            </w:pPr>
            <w:r>
              <w:rPr>
                <w:rFonts w:ascii="DejaVu Sans" w:hAnsi="DejaVu Sans"/>
                <w:sz w:val="18"/>
              </w:rPr>
              <w:t>Корневые тексты, комментарии, версии и переводы</w:t>
            </w:r>
          </w:p>
        </w:tc>
      </w:tr>
      <w:tr>
        <w:trPr>
          <w:cantSplit/>
        </w:trPr>
        <w:tc>
          <w:tcPr>
            <w:tcW w:type="dxa" w:w="2948"/>
            <w:vAlign w:val="top"/>
            <w:shd w:fill="EAF1F3"/>
            <w:tcMar>
              <w:top w:w="80" w:type="dxa"/>
              <w:left w:w="80" w:type="dxa"/>
              <w:bottom w:w="80" w:type="dxa"/>
              <w:right w:w="80" w:type="dxa"/>
            </w:tcMar>
          </w:tcPr>
          <w:p>
            <w:pPr>
              <w:spacing w:after="100" w:before="100" w:line="247" w:lineRule="auto"/>
            </w:pPr>
            <w:r>
              <w:rPr>
                <w:rFonts w:ascii="DejaVu Sans" w:hAnsi="DejaVu Sans"/>
                <w:sz w:val="18"/>
              </w:rPr>
              <w:t>Vaiśeṣika</w:t>
            </w:r>
          </w:p>
        </w:tc>
        <w:tc>
          <w:tcPr>
            <w:tcW w:type="dxa" w:w="1361"/>
            <w:vAlign w:val="top"/>
            <w:shd w:fill="EAF1F3"/>
            <w:tcMar>
              <w:top w:w="80" w:type="dxa"/>
              <w:left w:w="80" w:type="dxa"/>
              <w:bottom w:w="80" w:type="dxa"/>
              <w:right w:w="80" w:type="dxa"/>
            </w:tcMar>
          </w:tcPr>
          <w:p>
            <w:pPr>
              <w:spacing w:after="100" w:before="100" w:line="247" w:lineRule="auto"/>
            </w:pPr>
            <w:r>
              <w:rPr>
                <w:rFonts w:ascii="DejaVu Sans" w:hAnsi="DejaVu Sans"/>
                <w:sz w:val="18"/>
              </w:rPr>
              <w:t>7</w:t>
            </w:r>
          </w:p>
        </w:tc>
        <w:tc>
          <w:tcPr>
            <w:tcW w:type="dxa" w:w="5102"/>
            <w:vAlign w:val="top"/>
            <w:shd w:fill="EAF1F3"/>
            <w:tcMar>
              <w:top w:w="80" w:type="dxa"/>
              <w:left w:w="80" w:type="dxa"/>
              <w:bottom w:w="80" w:type="dxa"/>
              <w:right w:w="80" w:type="dxa"/>
            </w:tcMar>
          </w:tcPr>
          <w:p>
            <w:pPr>
              <w:spacing w:after="100" w:before="100" w:line="247" w:lineRule="auto"/>
            </w:pPr>
            <w:r>
              <w:rPr>
                <w:rFonts w:ascii="DejaVu Sans" w:hAnsi="DejaVu Sans"/>
                <w:sz w:val="18"/>
              </w:rPr>
              <w:t>Категориальная линия и её комментарии</w:t>
            </w:r>
          </w:p>
        </w:tc>
      </w:tr>
      <w:tr>
        <w:trPr>
          <w:cantSplit/>
        </w:trPr>
        <w:tc>
          <w:tcPr>
            <w:tcW w:type="dxa" w:w="2948"/>
            <w:vAlign w:val="top"/>
            <w:shd w:fill="FFFFFF"/>
            <w:tcMar>
              <w:top w:w="80" w:type="dxa"/>
              <w:left w:w="80" w:type="dxa"/>
              <w:bottom w:w="80" w:type="dxa"/>
              <w:right w:w="80" w:type="dxa"/>
            </w:tcMar>
          </w:tcPr>
          <w:p>
            <w:pPr>
              <w:spacing w:after="100" w:before="100" w:line="247" w:lineRule="auto"/>
            </w:pPr>
            <w:r>
              <w:rPr>
                <w:rFonts w:ascii="DejaVu Sans" w:hAnsi="DejaVu Sans"/>
                <w:sz w:val="18"/>
              </w:rPr>
              <w:t>Mīmāṃsā</w:t>
            </w:r>
          </w:p>
        </w:tc>
        <w:tc>
          <w:tcPr>
            <w:tcW w:type="dxa" w:w="1361"/>
            <w:vAlign w:val="top"/>
            <w:shd w:fill="FFFFFF"/>
            <w:tcMar>
              <w:top w:w="80" w:type="dxa"/>
              <w:left w:w="80" w:type="dxa"/>
              <w:bottom w:w="80" w:type="dxa"/>
              <w:right w:w="80" w:type="dxa"/>
            </w:tcMar>
          </w:tcPr>
          <w:p>
            <w:pPr>
              <w:spacing w:after="100" w:before="100" w:line="247" w:lineRule="auto"/>
            </w:pPr>
            <w:r>
              <w:rPr>
                <w:rFonts w:ascii="DejaVu Sans" w:hAnsi="DejaVu Sans"/>
                <w:sz w:val="18"/>
              </w:rPr>
              <w:t>23</w:t>
            </w:r>
          </w:p>
        </w:tc>
        <w:tc>
          <w:tcPr>
            <w:tcW w:type="dxa" w:w="5102"/>
            <w:vAlign w:val="top"/>
            <w:shd w:fill="FFFFFF"/>
            <w:tcMar>
              <w:top w:w="80" w:type="dxa"/>
              <w:left w:w="80" w:type="dxa"/>
              <w:bottom w:w="80" w:type="dxa"/>
              <w:right w:w="80" w:type="dxa"/>
            </w:tcMar>
          </w:tcPr>
          <w:p>
            <w:pPr>
              <w:spacing w:after="100" w:before="100" w:line="247" w:lineRule="auto"/>
            </w:pPr>
            <w:r>
              <w:rPr>
                <w:rFonts w:ascii="DejaVu Sans" w:hAnsi="DejaVu Sans"/>
                <w:sz w:val="18"/>
              </w:rPr>
              <w:t>Bhāṭṭa и Prābhākara, ранние и поздние слои</w:t>
            </w:r>
          </w:p>
        </w:tc>
      </w:tr>
      <w:tr>
        <w:trPr>
          <w:cantSplit/>
        </w:trPr>
        <w:tc>
          <w:tcPr>
            <w:tcW w:type="dxa" w:w="2948"/>
            <w:vAlign w:val="top"/>
            <w:shd w:fill="EAF1F3"/>
            <w:tcMar>
              <w:top w:w="80" w:type="dxa"/>
              <w:left w:w="80" w:type="dxa"/>
              <w:bottom w:w="80" w:type="dxa"/>
              <w:right w:w="80" w:type="dxa"/>
            </w:tcMar>
          </w:tcPr>
          <w:p>
            <w:pPr>
              <w:spacing w:after="100" w:before="100" w:line="247" w:lineRule="auto"/>
            </w:pPr>
            <w:r>
              <w:rPr>
                <w:rFonts w:ascii="DejaVu Sans" w:hAnsi="DejaVu Sans"/>
                <w:sz w:val="18"/>
              </w:rPr>
              <w:t>Sāṃkhya</w:t>
            </w:r>
          </w:p>
        </w:tc>
        <w:tc>
          <w:tcPr>
            <w:tcW w:type="dxa" w:w="1361"/>
            <w:vAlign w:val="top"/>
            <w:shd w:fill="EAF1F3"/>
            <w:tcMar>
              <w:top w:w="80" w:type="dxa"/>
              <w:left w:w="80" w:type="dxa"/>
              <w:bottom w:w="80" w:type="dxa"/>
              <w:right w:w="80" w:type="dxa"/>
            </w:tcMar>
          </w:tcPr>
          <w:p>
            <w:pPr>
              <w:spacing w:after="100" w:before="100" w:line="247" w:lineRule="auto"/>
            </w:pPr>
            <w:r>
              <w:rPr>
                <w:rFonts w:ascii="DejaVu Sans" w:hAnsi="DejaVu Sans"/>
                <w:sz w:val="18"/>
              </w:rPr>
              <w:t>22</w:t>
            </w:r>
          </w:p>
        </w:tc>
        <w:tc>
          <w:tcPr>
            <w:tcW w:type="dxa" w:w="5102"/>
            <w:vAlign w:val="top"/>
            <w:shd w:fill="EAF1F3"/>
            <w:tcMar>
              <w:top w:w="80" w:type="dxa"/>
              <w:left w:w="80" w:type="dxa"/>
              <w:bottom w:w="80" w:type="dxa"/>
              <w:right w:w="80" w:type="dxa"/>
            </w:tcMar>
          </w:tcPr>
          <w:p>
            <w:pPr>
              <w:spacing w:after="100" w:before="100" w:line="247" w:lineRule="auto"/>
            </w:pPr>
            <w:r>
              <w:rPr>
                <w:rFonts w:ascii="DejaVu Sans" w:hAnsi="DejaVu Sans"/>
                <w:sz w:val="18"/>
              </w:rPr>
              <w:t>Kārikā, комментарии, поздняя текстовая семья</w:t>
            </w:r>
          </w:p>
        </w:tc>
      </w:tr>
      <w:tr>
        <w:trPr>
          <w:cantSplit/>
        </w:trPr>
        <w:tc>
          <w:tcPr>
            <w:tcW w:type="dxa" w:w="2948"/>
            <w:vAlign w:val="top"/>
            <w:shd w:fill="FFFFFF"/>
            <w:tcMar>
              <w:top w:w="80" w:type="dxa"/>
              <w:left w:w="80" w:type="dxa"/>
              <w:bottom w:w="80" w:type="dxa"/>
              <w:right w:w="80" w:type="dxa"/>
            </w:tcMar>
          </w:tcPr>
          <w:p>
            <w:pPr>
              <w:spacing w:after="100" w:before="100" w:line="247" w:lineRule="auto"/>
            </w:pPr>
            <w:r>
              <w:rPr>
                <w:rFonts w:ascii="DejaVu Sans" w:hAnsi="DejaVu Sans"/>
                <w:sz w:val="18"/>
              </w:rPr>
              <w:t>Yoga</w:t>
            </w:r>
          </w:p>
        </w:tc>
        <w:tc>
          <w:tcPr>
            <w:tcW w:type="dxa" w:w="1361"/>
            <w:vAlign w:val="top"/>
            <w:shd w:fill="FFFFFF"/>
            <w:tcMar>
              <w:top w:w="80" w:type="dxa"/>
              <w:left w:w="80" w:type="dxa"/>
              <w:bottom w:w="80" w:type="dxa"/>
              <w:right w:w="80" w:type="dxa"/>
            </w:tcMar>
          </w:tcPr>
          <w:p>
            <w:pPr>
              <w:spacing w:after="100" w:before="100" w:line="247" w:lineRule="auto"/>
            </w:pPr>
            <w:r>
              <w:rPr>
                <w:rFonts w:ascii="DejaVu Sans" w:hAnsi="DejaVu Sans"/>
                <w:sz w:val="18"/>
              </w:rPr>
              <w:t>13</w:t>
            </w:r>
          </w:p>
        </w:tc>
        <w:tc>
          <w:tcPr>
            <w:tcW w:type="dxa" w:w="5102"/>
            <w:vAlign w:val="top"/>
            <w:shd w:fill="FFFFFF"/>
            <w:tcMar>
              <w:top w:w="80" w:type="dxa"/>
              <w:left w:w="80" w:type="dxa"/>
              <w:bottom w:w="80" w:type="dxa"/>
              <w:right w:w="80" w:type="dxa"/>
            </w:tcMar>
          </w:tcPr>
          <w:p>
            <w:pPr>
              <w:spacing w:after="100" w:before="100" w:line="247" w:lineRule="auto"/>
            </w:pPr>
            <w:r>
              <w:rPr>
                <w:rFonts w:ascii="DejaVu Sans" w:hAnsi="DejaVu Sans"/>
                <w:sz w:val="18"/>
              </w:rPr>
              <w:t>PYŚ, комментарии, рукопись и переводы</w:t>
            </w:r>
          </w:p>
        </w:tc>
      </w:tr>
      <w:tr>
        <w:trPr>
          <w:cantSplit/>
        </w:trPr>
        <w:tc>
          <w:tcPr>
            <w:tcW w:type="dxa" w:w="2948"/>
            <w:vAlign w:val="top"/>
            <w:shd w:fill="EAF1F3"/>
            <w:tcMar>
              <w:top w:w="80" w:type="dxa"/>
              <w:left w:w="80" w:type="dxa"/>
              <w:bottom w:w="80" w:type="dxa"/>
              <w:right w:w="80" w:type="dxa"/>
            </w:tcMar>
          </w:tcPr>
          <w:p>
            <w:pPr>
              <w:spacing w:after="100" w:before="100" w:line="247" w:lineRule="auto"/>
            </w:pPr>
            <w:r>
              <w:rPr>
                <w:rFonts w:ascii="DejaVu Sans" w:hAnsi="DejaVu Sans"/>
                <w:sz w:val="18"/>
              </w:rPr>
              <w:t>Доксография и межшкольные интерфейсы</w:t>
            </w:r>
          </w:p>
        </w:tc>
        <w:tc>
          <w:tcPr>
            <w:tcW w:type="dxa" w:w="1361"/>
            <w:vAlign w:val="top"/>
            <w:shd w:fill="EAF1F3"/>
            <w:tcMar>
              <w:top w:w="80" w:type="dxa"/>
              <w:left w:w="80" w:type="dxa"/>
              <w:bottom w:w="80" w:type="dxa"/>
              <w:right w:w="80" w:type="dxa"/>
            </w:tcMar>
          </w:tcPr>
          <w:p>
            <w:pPr>
              <w:spacing w:after="100" w:before="100" w:line="247" w:lineRule="auto"/>
            </w:pPr>
            <w:r>
              <w:rPr>
                <w:rFonts w:ascii="DejaVu Sans" w:hAnsi="DejaVu Sans"/>
                <w:sz w:val="18"/>
              </w:rPr>
              <w:t>5</w:t>
            </w:r>
          </w:p>
        </w:tc>
        <w:tc>
          <w:tcPr>
            <w:tcW w:type="dxa" w:w="5102"/>
            <w:vAlign w:val="top"/>
            <w:shd w:fill="EAF1F3"/>
            <w:tcMar>
              <w:top w:w="80" w:type="dxa"/>
              <w:left w:w="80" w:type="dxa"/>
              <w:bottom w:w="80" w:type="dxa"/>
              <w:right w:w="80" w:type="dxa"/>
            </w:tcMar>
          </w:tcPr>
          <w:p>
            <w:pPr>
              <w:spacing w:after="100" w:before="100" w:line="247" w:lineRule="auto"/>
            </w:pPr>
            <w:r>
              <w:rPr>
                <w:rFonts w:ascii="DejaVu Sans" w:hAnsi="DejaVu Sans"/>
                <w:sz w:val="18"/>
              </w:rPr>
              <w:t>Конкретные тексты передачи и полемики</w:t>
            </w:r>
          </w:p>
        </w:tc>
      </w:tr>
      <w:tr>
        <w:trPr>
          <w:cantSplit/>
        </w:trPr>
        <w:tc>
          <w:tcPr>
            <w:tcW w:type="dxa" w:w="2948"/>
            <w:vAlign w:val="top"/>
            <w:shd w:fill="FFFFFF"/>
            <w:tcMar>
              <w:top w:w="80" w:type="dxa"/>
              <w:left w:w="80" w:type="dxa"/>
              <w:bottom w:w="80" w:type="dxa"/>
              <w:right w:w="80" w:type="dxa"/>
            </w:tcMar>
          </w:tcPr>
          <w:p>
            <w:pPr>
              <w:spacing w:after="100" w:before="100" w:line="247" w:lineRule="auto"/>
            </w:pPr>
            <w:r>
              <w:rPr>
                <w:rFonts w:ascii="DejaVu Sans" w:hAnsi="DejaVu Sans"/>
                <w:sz w:val="18"/>
              </w:rPr>
              <w:t>Инфраструктура</w:t>
            </w:r>
          </w:p>
        </w:tc>
        <w:tc>
          <w:tcPr>
            <w:tcW w:type="dxa" w:w="1361"/>
            <w:vAlign w:val="top"/>
            <w:shd w:fill="FFFFFF"/>
            <w:tcMar>
              <w:top w:w="80" w:type="dxa"/>
              <w:left w:w="80" w:type="dxa"/>
              <w:bottom w:w="80" w:type="dxa"/>
              <w:right w:w="80" w:type="dxa"/>
            </w:tcMar>
          </w:tcPr>
          <w:p>
            <w:pPr>
              <w:spacing w:after="100" w:before="100" w:line="247" w:lineRule="auto"/>
            </w:pPr>
            <w:r>
              <w:rPr>
                <w:rFonts w:ascii="DejaVu Sans" w:hAnsi="DejaVu Sans"/>
                <w:sz w:val="18"/>
              </w:rPr>
              <w:t>3</w:t>
            </w:r>
          </w:p>
        </w:tc>
        <w:tc>
          <w:tcPr>
            <w:tcW w:type="dxa" w:w="5102"/>
            <w:vAlign w:val="top"/>
            <w:shd w:fill="FFFFFF"/>
            <w:tcMar>
              <w:top w:w="80" w:type="dxa"/>
              <w:left w:w="80" w:type="dxa"/>
              <w:bottom w:w="80" w:type="dxa"/>
              <w:right w:w="80" w:type="dxa"/>
            </w:tcMar>
          </w:tcPr>
          <w:p>
            <w:pPr>
              <w:spacing w:after="100" w:before="100" w:line="247" w:lineRule="auto"/>
            </w:pPr>
            <w:r>
              <w:rPr>
                <w:rFonts w:ascii="DejaVu Sans" w:hAnsi="DejaVu Sans"/>
                <w:sz w:val="18"/>
              </w:rPr>
              <w:t>GRETIL, SARIT, BORI; не отдельные произведения</w:t>
            </w:r>
          </w:p>
        </w:tc>
      </w:tr>
      <w:tr>
        <w:trPr>
          <w:cantSplit/>
        </w:trPr>
        <w:tc>
          <w:tcPr>
            <w:tcW w:type="dxa" w:w="2948"/>
            <w:vAlign w:val="top"/>
            <w:shd w:fill="EAF1F3"/>
            <w:tcMar>
              <w:top w:w="80" w:type="dxa"/>
              <w:left w:w="80" w:type="dxa"/>
              <w:bottom w:w="80" w:type="dxa"/>
              <w:right w:w="80" w:type="dxa"/>
            </w:tcMar>
          </w:tcPr>
          <w:p>
            <w:pPr>
              <w:spacing w:after="100" w:before="100" w:line="247" w:lineRule="auto"/>
            </w:pPr>
            <w:r>
              <w:rPr>
                <w:rFonts w:ascii="DejaVu Sans" w:hAnsi="DejaVu Sans"/>
                <w:b/>
                <w:sz w:val="18"/>
              </w:rPr>
              <w:t>Итого</w:t>
            </w:r>
          </w:p>
        </w:tc>
        <w:tc>
          <w:tcPr>
            <w:tcW w:type="dxa" w:w="1361"/>
            <w:vAlign w:val="top"/>
            <w:shd w:fill="EAF1F3"/>
            <w:tcMar>
              <w:top w:w="80" w:type="dxa"/>
              <w:left w:w="80" w:type="dxa"/>
              <w:bottom w:w="80" w:type="dxa"/>
              <w:right w:w="80" w:type="dxa"/>
            </w:tcMar>
          </w:tcPr>
          <w:p>
            <w:pPr>
              <w:spacing w:after="100" w:before="100" w:line="247" w:lineRule="auto"/>
            </w:pPr>
            <w:r>
              <w:rPr>
                <w:rFonts w:ascii="DejaVu Sans" w:hAnsi="DejaVu Sans"/>
                <w:b/>
                <w:sz w:val="18"/>
              </w:rPr>
              <w:t>90</w:t>
            </w:r>
          </w:p>
        </w:tc>
        <w:tc>
          <w:tcPr>
            <w:tcW w:type="dxa" w:w="5102"/>
            <w:vAlign w:val="top"/>
            <w:shd w:fill="EAF1F3"/>
            <w:tcMar>
              <w:top w:w="80" w:type="dxa"/>
              <w:left w:w="80" w:type="dxa"/>
              <w:bottom w:w="80" w:type="dxa"/>
              <w:right w:w="80" w:type="dxa"/>
            </w:tcMar>
          </w:tcPr>
          <w:p>
            <w:pPr>
              <w:spacing w:after="100" w:before="100" w:line="247" w:lineRule="auto"/>
            </w:pPr>
            <w:r>
              <w:rPr>
                <w:rFonts w:ascii="DejaVu Sans" w:hAnsi="DejaVu Sans"/>
                <w:b/>
                <w:sz w:val="18"/>
              </w:rPr>
              <w:t>Количество способов доступа, не произведений</w:t>
            </w:r>
          </w:p>
        </w:tc>
      </w:tr>
    </w:tbl>
    <w:p>
      <w:r>
        <w:t>По режимам доступа 71 запись допускает бесплатное чтение своего представленного объекта, 69 предлагают бесплатную загрузку, 13 имеют каталожный компонент, 6 — покупку, 3 — preview, 2 — библиотечную выдачу при наличии читательских прав, 1 — институциональный доступ. Категории пересекаются. Эти числа НЕ означают 71 полное произведение: в них входят фрагменты, отдельные тома, транскрипции и порталы. Загрузка нередко подтверждена предложенным форматом/ссылкой, но не байтовым скачиванием и полистной сверкой.</w:t>
      </w:r>
    </w:p>
    <w:p>
      <w:r>
        <w:t>Метки relevance распределены по функции: core — 41, same_corpus_or_tradition — 14, commentary_or_reception — 13, continuation — 9, transmission_or_preservation — 5, antecedent — 3, infrastructure — 3, boundary — 1, supporting — 1. Отдельные secondary_navigation-записи не раздували основной реестр: справочные ориентиры использованы для идентификации и gaps. Число предметных находок не равно числу полностью доступных критических изданий.</w:t>
      </w:r>
    </w:p>
    <w:p>
      <w:pPr>
        <w:pStyle w:val="Heading1"/>
      </w:pPr>
      <w:r>
        <w:t>3. Лучшие пути доступа</w:t>
      </w:r>
    </w:p>
    <w:p>
      <w:pPr>
        <w:pStyle w:val="Heading2"/>
      </w:pPr>
      <w:r>
        <w:t>Nyāya: читать цепь, не смешивая её слои</w:t>
      </w:r>
    </w:p>
    <w:p>
      <w:r>
        <w:t>Для быстрого чтения санскрита удобнее всего GRETIL: отдельные Nyāyasūtra, сутры с Vātsyāyana и Vācaspati с сутрами. Для машиночитаемой Tātparyaṭīkā — SARIT с TEI-заголовком и источником Thakur 1996. Последний современный редакционный слой требует отдельной проверки перед публичным повторным использованием. Для собственно Uddyotakara полезнее официальный каталог критического Nyāyabhāṣyavārttika Thakur 1997; его одностраничный PDF — только описание книги. [</w:t>
      </w:r>
      <w:hyperlink r:id="rId12">
        <w:r>
          <w:rPr>
            <w:color w:val="176274"/>
            <w:u w:val="single"/>
            <w:rFonts w:ascii="DejaVu Sans" w:hAnsi="DejaVu Sans"/>
            <w:sz w:val="19"/>
          </w:rPr>
          <w:t>R001</w:t>
        </w:r>
      </w:hyperlink>
      <w:r>
        <w:t xml:space="preserve">; </w:t>
      </w:r>
      <w:hyperlink r:id="rId13">
        <w:r>
          <w:rPr>
            <w:color w:val="176274"/>
            <w:u w:val="single"/>
            <w:rFonts w:ascii="DejaVu Sans" w:hAnsi="DejaVu Sans"/>
            <w:sz w:val="19"/>
          </w:rPr>
          <w:t>R002</w:t>
        </w:r>
      </w:hyperlink>
      <w:r>
        <w:t xml:space="preserve">; </w:t>
      </w:r>
      <w:hyperlink r:id="rId14">
        <w:r>
          <w:rPr>
            <w:color w:val="176274"/>
            <w:u w:val="single"/>
            <w:rFonts w:ascii="DejaVu Sans" w:hAnsi="DejaVu Sans"/>
            <w:sz w:val="19"/>
          </w:rPr>
          <w:t>R003</w:t>
        </w:r>
      </w:hyperlink>
      <w:r>
        <w:t xml:space="preserve">; </w:t>
      </w:r>
      <w:hyperlink r:id="rId82">
        <w:r>
          <w:rPr>
            <w:color w:val="176274"/>
            <w:u w:val="single"/>
            <w:rFonts w:ascii="DejaVu Sans" w:hAnsi="DejaVu Sans"/>
            <w:sz w:val="19"/>
          </w:rPr>
          <w:t>R027</w:t>
        </w:r>
      </w:hyperlink>
      <w:r>
        <w:t xml:space="preserve">; </w:t>
      </w:r>
      <w:hyperlink r:id="rId22">
        <w:r>
          <w:rPr>
            <w:color w:val="176274"/>
            <w:u w:val="single"/>
            <w:rFonts w:ascii="DejaVu Sans" w:hAnsi="DejaVu Sans"/>
            <w:sz w:val="19"/>
          </w:rPr>
          <w:t>R083</w:t>
        </w:r>
      </w:hyperlink>
      <w:r>
        <w:t>]</w:t>
      </w:r>
    </w:p>
    <w:p>
      <w:r>
        <w:t>Наиболее практичный широкий английский путь к корневой цепи — официальный четырёхтомный репринт Ganganatha Jha: сутры, bhāṣya и vārttika. Это покупка старого перевода в определённом переиздании, не разрешение на зеркало. Современная французская версия Michel Angot 2009 доступна через Les Belles Lettres; Dasti–Phillips 2017 подтверждён университетской карточкой как перевод избранных мест, но не как проверенный полный бесплатный текст. Русский Шохин 2001 пока оставлен в gaps: найденная библиография не заменяет рабочего библиотечного входа. [</w:t>
      </w:r>
      <w:hyperlink r:id="rId17">
        <w:r>
          <w:rPr>
            <w:color w:val="176274"/>
            <w:u w:val="single"/>
            <w:rFonts w:ascii="DejaVu Sans" w:hAnsi="DejaVu Sans"/>
            <w:sz w:val="19"/>
          </w:rPr>
          <w:t>R029</w:t>
        </w:r>
      </w:hyperlink>
      <w:r>
        <w:t xml:space="preserve">; </w:t>
      </w:r>
      <w:hyperlink r:id="rId83">
        <w:r>
          <w:rPr>
            <w:color w:val="176274"/>
            <w:u w:val="single"/>
            <w:rFonts w:ascii="DejaVu Sans" w:hAnsi="DejaVu Sans"/>
            <w:sz w:val="19"/>
          </w:rPr>
          <w:t>R057</w:t>
        </w:r>
      </w:hyperlink>
      <w:r>
        <w:t xml:space="preserve">; </w:t>
      </w:r>
      <w:hyperlink r:id="rId84">
        <w:r>
          <w:rPr>
            <w:color w:val="176274"/>
            <w:u w:val="single"/>
            <w:rFonts w:ascii="DejaVu Sans" w:hAnsi="DejaVu Sans"/>
            <w:sz w:val="19"/>
          </w:rPr>
          <w:t>R058</w:t>
        </w:r>
      </w:hyperlink>
      <w:r>
        <w:t>]</w:t>
      </w:r>
    </w:p>
    <w:p>
      <w:r>
        <w:t>Nyāyamañjarī: лучший найденный полный санскритский машинный вход — SARIT, 12 āhnika, по Varadacharya 1969/1983. Важно учитывать современную Nyāyasaurabhaṭippaṇī. Критическая работа Graheli у Австрийской академии наук полезна для конкретного sphoṭa-раздела шестой āhnika и истории его передачи, но не даёт новый полный перевод всей Nyāyamañjarī. [</w:t>
      </w:r>
      <w:hyperlink r:id="rId85">
        <w:r>
          <w:rPr>
            <w:color w:val="176274"/>
            <w:u w:val="single"/>
            <w:rFonts w:ascii="DejaVu Sans" w:hAnsi="DejaVu Sans"/>
            <w:sz w:val="19"/>
          </w:rPr>
          <w:t>R030</w:t>
        </w:r>
      </w:hyperlink>
      <w:r>
        <w:t xml:space="preserve">; </w:t>
      </w:r>
      <w:hyperlink r:id="rId18">
        <w:r>
          <w:rPr>
            <w:color w:val="176274"/>
            <w:u w:val="single"/>
            <w:rFonts w:ascii="DejaVu Sans" w:hAnsi="DejaVu Sans"/>
            <w:sz w:val="19"/>
          </w:rPr>
          <w:t>R031</w:t>
        </w:r>
      </w:hyperlink>
      <w:r>
        <w:t>]</w:t>
      </w:r>
    </w:p>
    <w:p>
      <w:r>
        <w:t>Nyāyakusumāñjali: GRETIL содержит только первую stavaka. Более широкий старый вход — HathiTrust, Cowell/Mahesh Chandra 1864, санскрит, Haridāsa и английский перевод; каталог показывает Full View, однако просмотрщик не удалось стабильно проверить постранично. Pariśuddhi также представлена только начальным объёмом. Для Ātmatattvaviveka сохранена карточка Dravid 1995, а не неподтверждённый PDF. [</w:t>
      </w:r>
      <w:hyperlink r:id="rId15">
        <w:r>
          <w:rPr>
            <w:color w:val="176274"/>
            <w:u w:val="single"/>
            <w:rFonts w:ascii="DejaVu Sans" w:hAnsi="DejaVu Sans"/>
            <w:sz w:val="19"/>
          </w:rPr>
          <w:t>R004</w:t>
        </w:r>
      </w:hyperlink>
      <w:r>
        <w:t xml:space="preserve">; </w:t>
      </w:r>
      <w:hyperlink r:id="rId16">
        <w:r>
          <w:rPr>
            <w:color w:val="176274"/>
            <w:u w:val="single"/>
            <w:rFonts w:ascii="DejaVu Sans" w:hAnsi="DejaVu Sans"/>
            <w:sz w:val="19"/>
          </w:rPr>
          <w:t>R005</w:t>
        </w:r>
      </w:hyperlink>
      <w:r>
        <w:t xml:space="preserve">; </w:t>
      </w:r>
      <w:hyperlink r:id="rId86">
        <w:r>
          <w:rPr>
            <w:color w:val="176274"/>
            <w:u w:val="single"/>
            <w:rFonts w:ascii="DejaVu Sans" w:hAnsi="DejaVu Sans"/>
            <w:sz w:val="19"/>
          </w:rPr>
          <w:t>R052</w:t>
        </w:r>
      </w:hyperlink>
      <w:r>
        <w:t xml:space="preserve">; </w:t>
      </w:r>
      <w:hyperlink r:id="rId20">
        <w:r>
          <w:rPr>
            <w:color w:val="176274"/>
            <w:u w:val="single"/>
            <w:rFonts w:ascii="DejaVu Sans" w:hAnsi="DejaVu Sans"/>
            <w:sz w:val="19"/>
          </w:rPr>
          <w:t>R079</w:t>
        </w:r>
      </w:hyperlink>
      <w:r>
        <w:t>]</w:t>
      </w:r>
    </w:p>
    <w:p>
      <w:pPr>
        <w:pStyle w:val="Heading2"/>
      </w:pPr>
      <w:r>
        <w:t>Vaiśeṣika: свободный Praśastapāda, менее доступные субкомментарии</w:t>
      </w:r>
    </w:p>
    <w:p>
      <w:r>
        <w:t>Наиболее удобный оригинальный текст Padārthadharmasaṃgraha — GRETIL: происхождение из издания Dvivedin 1895 и вклад Tokunaga/Muroya указаны в заголовке; лицензия электронного файла — CC BY-NC-SA 4.0. Этот путь позволяет некоммерчески переиспользовать именно e-text с атрибуцией и ShareAlike, не весь репринт и не Nyāyakandalī. [</w:t>
      </w:r>
      <w:hyperlink r:id="rId24">
        <w:r>
          <w:rPr>
            <w:color w:val="176274"/>
            <w:u w:val="single"/>
            <w:rFonts w:ascii="DejaVu Sans" w:hAnsi="DejaVu Sans"/>
            <w:sz w:val="19"/>
          </w:rPr>
          <w:t>R007</w:t>
        </w:r>
      </w:hyperlink>
      <w:r>
        <w:t>]</w:t>
      </w:r>
    </w:p>
    <w:p>
      <w:r>
        <w:t>Старый широкий санскритско-английский том Vaiśeṣikasūtra с Upaskāra и дополнительными извлечениями — Sinha/Basu 1923, университетский скан Toronto в Internet Archive. Saptapadārthī с Mitabhāṣiṇī доступна отдельным санскритским сканом 1893. Для Vyomavatī имеется библиотечный каталог двухтомника 1983; для Nyāyakandalī — WorldCat-карточка; для Lakṣaṇāvalī и избранной Kiraṇāvalī — Springer с покупкой, институциональным доступом и preview. Полная Kiraṇāvalī и ветвь Candrānanda остаются приоритетными пробелами. [</w:t>
      </w:r>
      <w:hyperlink r:id="rId25">
        <w:r>
          <w:rPr>
            <w:color w:val="176274"/>
            <w:u w:val="single"/>
            <w:rFonts w:ascii="DejaVu Sans" w:hAnsi="DejaVu Sans"/>
            <w:sz w:val="19"/>
          </w:rPr>
          <w:t>R055</w:t>
        </w:r>
      </w:hyperlink>
      <w:r>
        <w:t xml:space="preserve">; </w:t>
      </w:r>
      <w:hyperlink r:id="rId26">
        <w:r>
          <w:rPr>
            <w:color w:val="176274"/>
            <w:u w:val="single"/>
            <w:rFonts w:ascii="DejaVu Sans" w:hAnsi="DejaVu Sans"/>
            <w:sz w:val="19"/>
          </w:rPr>
          <w:t>R078</w:t>
        </w:r>
      </w:hyperlink>
      <w:r>
        <w:t xml:space="preserve">; </w:t>
      </w:r>
      <w:hyperlink r:id="rId21">
        <w:r>
          <w:rPr>
            <w:color w:val="176274"/>
            <w:u w:val="single"/>
            <w:rFonts w:ascii="DejaVu Sans" w:hAnsi="DejaVu Sans"/>
            <w:sz w:val="19"/>
          </w:rPr>
          <w:t>R082</w:t>
        </w:r>
      </w:hyperlink>
      <w:r>
        <w:t xml:space="preserve">; </w:t>
      </w:r>
      <w:hyperlink r:id="rId27">
        <w:r>
          <w:rPr>
            <w:color w:val="176274"/>
            <w:u w:val="single"/>
            <w:rFonts w:ascii="DejaVu Sans" w:hAnsi="DejaVu Sans"/>
            <w:sz w:val="19"/>
          </w:rPr>
          <w:t>R085</w:t>
        </w:r>
      </w:hyperlink>
      <w:r>
        <w:t xml:space="preserve">; </w:t>
      </w:r>
      <w:hyperlink r:id="rId28">
        <w:r>
          <w:rPr>
            <w:color w:val="176274"/>
            <w:u w:val="single"/>
            <w:rFonts w:ascii="DejaVu Sans" w:hAnsi="DejaVu Sans"/>
            <w:sz w:val="19"/>
          </w:rPr>
          <w:t>R086</w:t>
        </w:r>
      </w:hyperlink>
      <w:r>
        <w:t>]</w:t>
      </w:r>
    </w:p>
    <w:p>
      <w:pPr>
        <w:pStyle w:val="Heading2"/>
      </w:pPr>
      <w:r>
        <w:t>Mīmāṃsā: оригиналы, три больших труда Kumārila и Prābhākara</w:t>
      </w:r>
    </w:p>
    <w:p>
      <w:r>
        <w:t>Mīmāṃsāsūtra: бесплатный санскритский текст всех 12 adhyāya — GRETIL, по Basu 1923–1925. Śābarabhāṣya в GRETIL охватывает лишь главы 1–7. Для полного старого английского маршрута найдены три тома Jha: I (1933, главы I–III), II (1934, IV–VIII), III (1936, IX–XII); каждый имеет отдельную запись и provenance. Комплект переиздания 1973 дополнительно подтверждён каталогом Delhi University с библиотечной выдачей. [</w:t>
      </w:r>
      <w:hyperlink r:id="rId29">
        <w:r>
          <w:rPr>
            <w:color w:val="176274"/>
            <w:u w:val="single"/>
            <w:rFonts w:ascii="DejaVu Sans" w:hAnsi="DejaVu Sans"/>
            <w:sz w:val="19"/>
          </w:rPr>
          <w:t>R010</w:t>
        </w:r>
      </w:hyperlink>
      <w:r>
        <w:t xml:space="preserve">; </w:t>
      </w:r>
      <w:hyperlink r:id="rId30">
        <w:r>
          <w:rPr>
            <w:color w:val="176274"/>
            <w:u w:val="single"/>
            <w:rFonts w:ascii="DejaVu Sans" w:hAnsi="DejaVu Sans"/>
            <w:sz w:val="19"/>
          </w:rPr>
          <w:t>R011</w:t>
        </w:r>
      </w:hyperlink>
      <w:r>
        <w:t xml:space="preserve">; </w:t>
      </w:r>
      <w:hyperlink r:id="rId87">
        <w:r>
          <w:rPr>
            <w:color w:val="176274"/>
            <w:u w:val="single"/>
            <w:rFonts w:ascii="DejaVu Sans" w:hAnsi="DejaVu Sans"/>
            <w:sz w:val="19"/>
          </w:rPr>
          <w:t>R063</w:t>
        </w:r>
      </w:hyperlink>
      <w:r>
        <w:t xml:space="preserve">; </w:t>
      </w:r>
      <w:hyperlink r:id="rId88">
        <w:r>
          <w:rPr>
            <w:color w:val="176274"/>
            <w:u w:val="single"/>
            <w:rFonts w:ascii="DejaVu Sans" w:hAnsi="DejaVu Sans"/>
            <w:sz w:val="19"/>
          </w:rPr>
          <w:t>R064</w:t>
        </w:r>
      </w:hyperlink>
      <w:r>
        <w:t xml:space="preserve">; </w:t>
      </w:r>
      <w:hyperlink r:id="rId89">
        <w:r>
          <w:rPr>
            <w:color w:val="176274"/>
            <w:u w:val="single"/>
            <w:rFonts w:ascii="DejaVu Sans" w:hAnsi="DejaVu Sans"/>
            <w:sz w:val="19"/>
          </w:rPr>
          <w:t>R065</w:t>
        </w:r>
      </w:hyperlink>
      <w:r>
        <w:t xml:space="preserve">; </w:t>
      </w:r>
      <w:hyperlink r:id="rId90">
        <w:r>
          <w:rPr>
            <w:color w:val="176274"/>
            <w:u w:val="single"/>
            <w:rFonts w:ascii="DejaVu Sans" w:hAnsi="DejaVu Sans"/>
            <w:sz w:val="19"/>
          </w:rPr>
          <w:t>R066</w:t>
        </w:r>
      </w:hyperlink>
      <w:r>
        <w:t>]</w:t>
      </w:r>
    </w:p>
    <w:p>
      <w:r>
        <w:t xml:space="preserve">Ślokavārttika: наиболее цельный машинный mūla найден в HANSEL, но его база — Dvārikādāsa Śāstrī 1978, с последующими электронными исправлениями; это не автоматически чистый публичнодоменный оригинал. GRETIL-версия с Kāśikā содержит только определённые разделы и лакуну, выписанные в </w:t>
      </w:r>
      <w:hyperlink r:id="rId31">
        <w:r>
          <w:rPr>
            <w:color w:val="176274"/>
            <w:u w:val="single"/>
            <w:rFonts w:ascii="DejaVu Sans" w:hAnsi="DejaVu Sans"/>
            <w:sz w:val="19"/>
          </w:rPr>
          <w:t>R012</w:t>
        </w:r>
      </w:hyperlink>
      <w:r>
        <w:t>. Старый английский Jha 1907 найден в Cornell-скане; у файла имеется предупреждение о JP2, поэтому перед выбором его как основы нужна проверка качества. Современная критическая публикация Kataoka 2011 относится к Codanāsūtra, не ко всей Ślokavārttika. [</w:t>
      </w:r>
      <w:hyperlink r:id="rId31">
        <w:r>
          <w:rPr>
            <w:color w:val="176274"/>
            <w:u w:val="single"/>
            <w:rFonts w:ascii="DejaVu Sans" w:hAnsi="DejaVu Sans"/>
            <w:sz w:val="19"/>
          </w:rPr>
          <w:t>R012</w:t>
        </w:r>
      </w:hyperlink>
      <w:r>
        <w:t xml:space="preserve">; </w:t>
      </w:r>
      <w:hyperlink r:id="rId32">
        <w:r>
          <w:rPr>
            <w:color w:val="176274"/>
            <w:u w:val="single"/>
            <w:rFonts w:ascii="DejaVu Sans" w:hAnsi="DejaVu Sans"/>
            <w:sz w:val="19"/>
          </w:rPr>
          <w:t>R013</w:t>
        </w:r>
      </w:hyperlink>
      <w:r>
        <w:t xml:space="preserve">; </w:t>
      </w:r>
      <w:hyperlink r:id="rId91">
        <w:r>
          <w:rPr>
            <w:color w:val="176274"/>
            <w:u w:val="single"/>
            <w:rFonts w:ascii="DejaVu Sans" w:hAnsi="DejaVu Sans"/>
            <w:sz w:val="19"/>
          </w:rPr>
          <w:t>R038</w:t>
        </w:r>
      </w:hyperlink>
      <w:r>
        <w:t xml:space="preserve">; </w:t>
      </w:r>
      <w:hyperlink r:id="rId92">
        <w:r>
          <w:rPr>
            <w:color w:val="176274"/>
            <w:u w:val="single"/>
            <w:rFonts w:ascii="DejaVu Sans" w:hAnsi="DejaVu Sans"/>
            <w:sz w:val="19"/>
          </w:rPr>
          <w:t>R039</w:t>
        </w:r>
      </w:hyperlink>
      <w:r>
        <w:t xml:space="preserve">; </w:t>
      </w:r>
      <w:hyperlink r:id="rId93">
        <w:r>
          <w:rPr>
            <w:color w:val="176274"/>
            <w:u w:val="single"/>
            <w:rFonts w:ascii="DejaVu Sans" w:hAnsi="DejaVu Sans"/>
            <w:sz w:val="19"/>
          </w:rPr>
          <w:t>R059</w:t>
        </w:r>
      </w:hyperlink>
      <w:r>
        <w:t>]</w:t>
      </w:r>
    </w:p>
    <w:p>
      <w:r>
        <w:t>Tantravārttika: SARIT предоставляет текст к Mīmāṃsāsūtra 1.2–3.8 с указанием издания Subbāśāstrī 1929–1931. В проверенном заголовке не найдено разрешение, которое можно было бы уверенно перенести на данный файл; оставлены чтение, предлагаемый download и ручная проверка прав. Для английского доступны два тома Jha 1924 в DLI/институциональных сканах. Ṭupṭīkā не потеряна: найден отдельный санскритский том 1904, но его полнота относительно всего произведения не коллирована. [</w:t>
      </w:r>
      <w:hyperlink r:id="rId35">
        <w:r>
          <w:rPr>
            <w:color w:val="176274"/>
            <w:u w:val="single"/>
            <w:rFonts w:ascii="DejaVu Sans" w:hAnsi="DejaVu Sans"/>
            <w:sz w:val="19"/>
          </w:rPr>
          <w:t>R032</w:t>
        </w:r>
      </w:hyperlink>
      <w:r>
        <w:t xml:space="preserve">; </w:t>
      </w:r>
      <w:hyperlink r:id="rId94">
        <w:r>
          <w:rPr>
            <w:color w:val="176274"/>
            <w:u w:val="single"/>
            <w:rFonts w:ascii="DejaVu Sans" w:hAnsi="DejaVu Sans"/>
            <w:sz w:val="19"/>
          </w:rPr>
          <w:t>R036</w:t>
        </w:r>
      </w:hyperlink>
      <w:r>
        <w:t xml:space="preserve">; </w:t>
      </w:r>
      <w:hyperlink r:id="rId95">
        <w:r>
          <w:rPr>
            <w:color w:val="176274"/>
            <w:u w:val="single"/>
            <w:rFonts w:ascii="DejaVu Sans" w:hAnsi="DejaVu Sans"/>
            <w:sz w:val="19"/>
          </w:rPr>
          <w:t>R037</w:t>
        </w:r>
      </w:hyperlink>
      <w:r>
        <w:t xml:space="preserve">; </w:t>
      </w:r>
      <w:hyperlink r:id="rId40">
        <w:r>
          <w:rPr>
            <w:color w:val="176274"/>
            <w:u w:val="single"/>
            <w:rFonts w:ascii="DejaVu Sans" w:hAnsi="DejaVu Sans"/>
            <w:sz w:val="19"/>
          </w:rPr>
          <w:t>R073</w:t>
        </w:r>
      </w:hyperlink>
      <w:r>
        <w:t>]</w:t>
      </w:r>
    </w:p>
    <w:p>
      <w:r>
        <w:t>Prābhākara: бесплатный практический вход — Prakaraṇapañcikā с Nyāyasiddhi, скан 1961; GRETIL даёт только начальный Śāstramukha. Для Bṛhatī есть реальный библиотечный экземпляр с Ṛjuvimalā и отдельный скан Tarkapāda 1936 с Bhāṣyapariśiṣṭa. Нельзя называть эти входы полным свободным корпусом Prabhākara. Существенное расширение для языковой герменевтики — Vidhiviveka с Nyāyakaṇikā в SARIT, а поздняя учебная передача представлена санскритско-английской Āpadevī Edgerton 1929. [</w:t>
      </w:r>
      <w:hyperlink r:id="rId33">
        <w:r>
          <w:rPr>
            <w:color w:val="176274"/>
            <w:u w:val="single"/>
            <w:rFonts w:ascii="DejaVu Sans" w:hAnsi="DejaVu Sans"/>
            <w:sz w:val="19"/>
          </w:rPr>
          <w:t>R014</w:t>
        </w:r>
      </w:hyperlink>
      <w:r>
        <w:t xml:space="preserve">; </w:t>
      </w:r>
      <w:hyperlink r:id="rId36">
        <w:r>
          <w:rPr>
            <w:color w:val="176274"/>
            <w:u w:val="single"/>
            <w:rFonts w:ascii="DejaVu Sans" w:hAnsi="DejaVu Sans"/>
            <w:sz w:val="19"/>
          </w:rPr>
          <w:t>R040</w:t>
        </w:r>
      </w:hyperlink>
      <w:r>
        <w:t xml:space="preserve">; </w:t>
      </w:r>
      <w:hyperlink r:id="rId38">
        <w:r>
          <w:rPr>
            <w:color w:val="176274"/>
            <w:u w:val="single"/>
            <w:rFonts w:ascii="DejaVu Sans" w:hAnsi="DejaVu Sans"/>
            <w:sz w:val="19"/>
          </w:rPr>
          <w:t>R053</w:t>
        </w:r>
      </w:hyperlink>
      <w:r>
        <w:t xml:space="preserve">; </w:t>
      </w:r>
      <w:hyperlink r:id="rId39">
        <w:r>
          <w:rPr>
            <w:color w:val="176274"/>
            <w:u w:val="single"/>
            <w:rFonts w:ascii="DejaVu Sans" w:hAnsi="DejaVu Sans"/>
            <w:sz w:val="19"/>
          </w:rPr>
          <w:t>R054</w:t>
        </w:r>
      </w:hyperlink>
      <w:r>
        <w:t xml:space="preserve">; </w:t>
      </w:r>
      <w:hyperlink r:id="rId41">
        <w:r>
          <w:rPr>
            <w:color w:val="176274"/>
            <w:u w:val="single"/>
            <w:rFonts w:ascii="DejaVu Sans" w:hAnsi="DejaVu Sans"/>
            <w:sz w:val="19"/>
          </w:rPr>
          <w:t>R075</w:t>
        </w:r>
      </w:hyperlink>
      <w:r>
        <w:t xml:space="preserve">; </w:t>
      </w:r>
      <w:hyperlink r:id="rId42">
        <w:r>
          <w:rPr>
            <w:color w:val="176274"/>
            <w:u w:val="single"/>
            <w:rFonts w:ascii="DejaVu Sans" w:hAnsi="DejaVu Sans"/>
            <w:sz w:val="19"/>
          </w:rPr>
          <w:t>R081</w:t>
        </w:r>
      </w:hyperlink>
      <w:r>
        <w:t>]</w:t>
      </w:r>
    </w:p>
    <w:p>
      <w:pPr>
        <w:pStyle w:val="Heading2"/>
      </w:pPr>
      <w:r>
        <w:t>Sāṃkhya: Kārikā и её настоящая комментарийная семья</w:t>
      </w:r>
    </w:p>
    <w:p>
      <w:r>
        <w:t>Для чтения доступны GRETIL-версии Kārikā и три конкретных комментария: Gauḍapāda, Māṭhara, Jayamaṅgalā. По открытости наиболее удобны электронные тексты Gauḍapādabhāṣya и Jayamaṅgalā, основанные на идентифицированных старых изданиях; применяются NC, атрибуция и SA. Tattvakaumudī Vācaspati доступна в старом санскритско-английском Jha 1896, Toronto/Internet Archive. Это полезнее для полного чтения комментария, чем один mūla Kārikā. [</w:t>
      </w:r>
      <w:hyperlink r:id="rId43">
        <w:r>
          <w:rPr>
            <w:color w:val="176274"/>
            <w:u w:val="single"/>
            <w:rFonts w:ascii="DejaVu Sans" w:hAnsi="DejaVu Sans"/>
            <w:sz w:val="19"/>
          </w:rPr>
          <w:t>R016</w:t>
        </w:r>
      </w:hyperlink>
      <w:r>
        <w:t xml:space="preserve">; </w:t>
      </w:r>
      <w:hyperlink r:id="rId44">
        <w:r>
          <w:rPr>
            <w:color w:val="176274"/>
            <w:u w:val="single"/>
            <w:rFonts w:ascii="DejaVu Sans" w:hAnsi="DejaVu Sans"/>
            <w:sz w:val="19"/>
          </w:rPr>
          <w:t>R017</w:t>
        </w:r>
      </w:hyperlink>
      <w:r>
        <w:t xml:space="preserve">; </w:t>
      </w:r>
      <w:hyperlink r:id="rId45">
        <w:r>
          <w:rPr>
            <w:color w:val="176274"/>
            <w:u w:val="single"/>
            <w:rFonts w:ascii="DejaVu Sans" w:hAnsi="DejaVu Sans"/>
            <w:sz w:val="19"/>
          </w:rPr>
          <w:t>R018</w:t>
        </w:r>
      </w:hyperlink>
      <w:r>
        <w:t xml:space="preserve">; </w:t>
      </w:r>
      <w:hyperlink r:id="rId46">
        <w:r>
          <w:rPr>
            <w:color w:val="176274"/>
            <w:u w:val="single"/>
            <w:rFonts w:ascii="DejaVu Sans" w:hAnsi="DejaVu Sans"/>
            <w:sz w:val="19"/>
          </w:rPr>
          <w:t>R019</w:t>
        </w:r>
      </w:hyperlink>
      <w:r>
        <w:t xml:space="preserve">; </w:t>
      </w:r>
      <w:hyperlink r:id="rId47">
        <w:r>
          <w:rPr>
            <w:color w:val="176274"/>
            <w:u w:val="single"/>
            <w:rFonts w:ascii="DejaVu Sans" w:hAnsi="DejaVu Sans"/>
            <w:sz w:val="19"/>
          </w:rPr>
          <w:t>R020</w:t>
        </w:r>
      </w:hyperlink>
      <w:r>
        <w:t xml:space="preserve">; </w:t>
      </w:r>
      <w:hyperlink r:id="rId52">
        <w:r>
          <w:rPr>
            <w:color w:val="176274"/>
            <w:u w:val="single"/>
            <w:rFonts w:ascii="DejaVu Sans" w:hAnsi="DejaVu Sans"/>
            <w:sz w:val="19"/>
          </w:rPr>
          <w:t>R035</w:t>
        </w:r>
      </w:hyperlink>
      <w:r>
        <w:t>]</w:t>
      </w:r>
    </w:p>
    <w:p>
      <w:r>
        <w:t>Yuktidīpikā: лучший найденный бесплатный непрерывный санскритский вход — GRETIL, но он основан на Kumar–Bhargava 1990–1992. Современный критический ориентир Wezler–Motegi 1998 сохранён отдельно через Google Books preview. Нельзя приписывать электронному тексту GRETIL рукописную основу, аппарат и права другой редакции. Полный современный перевод не был подтверждён этим исследованием. [</w:t>
      </w:r>
      <w:hyperlink r:id="rId48">
        <w:r>
          <w:rPr>
            <w:color w:val="176274"/>
            <w:u w:val="single"/>
            <w:rFonts w:ascii="DejaVu Sans" w:hAnsi="DejaVu Sans"/>
            <w:sz w:val="19"/>
          </w:rPr>
          <w:t>R021</w:t>
        </w:r>
      </w:hyperlink>
      <w:r>
        <w:t xml:space="preserve">; </w:t>
      </w:r>
      <w:hyperlink r:id="rId96">
        <w:r>
          <w:rPr>
            <w:color w:val="176274"/>
            <w:u w:val="single"/>
            <w:rFonts w:ascii="DejaVu Sans" w:hAnsi="DejaVu Sans"/>
            <w:sz w:val="19"/>
          </w:rPr>
          <w:t>R060</w:t>
        </w:r>
      </w:hyperlink>
      <w:r>
        <w:t>]</w:t>
      </w:r>
    </w:p>
    <w:p>
      <w:r>
        <w:t>Поздние Sāṃkhyasūtra и Sāṃkhyasāra доступны электронно, а Ballantyne/Hall 1885 — старым английским сканом сутр с поясняющими извлечениями. Для свободного некоммерческого текстового слоя особенно полезны Tattvasamāsa и малые тексты Sāṃkhyasaṃgraha: они представлены отдельными произведениями, а не искусственно раздуваются по страницам. Четыре версии Tattvasamāsa собраны в одной записи. Факсимиле всего сборника по старому Göttingen-resolver сейчас не открылось. [</w:t>
      </w:r>
      <w:hyperlink r:id="rId49">
        <w:r>
          <w:rPr>
            <w:color w:val="176274"/>
            <w:u w:val="single"/>
            <w:rFonts w:ascii="DejaVu Sans" w:hAnsi="DejaVu Sans"/>
            <w:sz w:val="19"/>
          </w:rPr>
          <w:t>R022</w:t>
        </w:r>
      </w:hyperlink>
      <w:r>
        <w:t xml:space="preserve">; </w:t>
      </w:r>
      <w:hyperlink r:id="rId50">
        <w:r>
          <w:rPr>
            <w:color w:val="176274"/>
            <w:u w:val="single"/>
            <w:rFonts w:ascii="DejaVu Sans" w:hAnsi="DejaVu Sans"/>
            <w:sz w:val="19"/>
          </w:rPr>
          <w:t>R023</w:t>
        </w:r>
      </w:hyperlink>
      <w:r>
        <w:t xml:space="preserve">; </w:t>
      </w:r>
      <w:hyperlink r:id="rId51">
        <w:r>
          <w:rPr>
            <w:color w:val="176274"/>
            <w:u w:val="single"/>
            <w:rFonts w:ascii="DejaVu Sans" w:hAnsi="DejaVu Sans"/>
            <w:sz w:val="19"/>
          </w:rPr>
          <w:t>R024</w:t>
        </w:r>
      </w:hyperlink>
      <w:r>
        <w:t xml:space="preserve">; </w:t>
      </w:r>
      <w:hyperlink r:id="rId53">
        <w:r>
          <w:rPr>
            <w:color w:val="176274"/>
            <w:u w:val="single"/>
            <w:rFonts w:ascii="DejaVu Sans" w:hAnsi="DejaVu Sans"/>
            <w:sz w:val="19"/>
          </w:rPr>
          <w:t>R041</w:t>
        </w:r>
      </w:hyperlink>
      <w:r>
        <w:t xml:space="preserve">; </w:t>
      </w:r>
      <w:hyperlink r:id="rId54">
        <w:r>
          <w:rPr>
            <w:color w:val="176274"/>
            <w:u w:val="single"/>
            <w:rFonts w:ascii="DejaVu Sans" w:hAnsi="DejaVu Sans"/>
            <w:sz w:val="19"/>
          </w:rPr>
          <w:t>R042</w:t>
        </w:r>
      </w:hyperlink>
      <w:r>
        <w:t xml:space="preserve">; </w:t>
      </w:r>
      <w:hyperlink r:id="rId55">
        <w:r>
          <w:rPr>
            <w:color w:val="176274"/>
            <w:u w:val="single"/>
            <w:rFonts w:ascii="DejaVu Sans" w:hAnsi="DejaVu Sans"/>
            <w:sz w:val="19"/>
          </w:rPr>
          <w:t>R043</w:t>
        </w:r>
      </w:hyperlink>
      <w:r>
        <w:t xml:space="preserve">; </w:t>
      </w:r>
      <w:hyperlink r:id="rId56">
        <w:r>
          <w:rPr>
            <w:color w:val="176274"/>
            <w:u w:val="single"/>
            <w:rFonts w:ascii="DejaVu Sans" w:hAnsi="DejaVu Sans"/>
            <w:sz w:val="19"/>
          </w:rPr>
          <w:t>R044</w:t>
        </w:r>
      </w:hyperlink>
      <w:r>
        <w:t xml:space="preserve">; </w:t>
      </w:r>
      <w:hyperlink r:id="rId57">
        <w:r>
          <w:rPr>
            <w:color w:val="176274"/>
            <w:u w:val="single"/>
            <w:rFonts w:ascii="DejaVu Sans" w:hAnsi="DejaVu Sans"/>
            <w:sz w:val="19"/>
          </w:rPr>
          <w:t>R045</w:t>
        </w:r>
      </w:hyperlink>
      <w:r>
        <w:t xml:space="preserve">; </w:t>
      </w:r>
      <w:hyperlink r:id="rId58">
        <w:r>
          <w:rPr>
            <w:color w:val="176274"/>
            <w:u w:val="single"/>
            <w:rFonts w:ascii="DejaVu Sans" w:hAnsi="DejaVu Sans"/>
            <w:sz w:val="19"/>
          </w:rPr>
          <w:t>R046</w:t>
        </w:r>
      </w:hyperlink>
      <w:r>
        <w:t xml:space="preserve">; </w:t>
      </w:r>
      <w:hyperlink r:id="rId59">
        <w:r>
          <w:rPr>
            <w:color w:val="176274"/>
            <w:u w:val="single"/>
            <w:rFonts w:ascii="DejaVu Sans" w:hAnsi="DejaVu Sans"/>
            <w:sz w:val="19"/>
          </w:rPr>
          <w:t>R047</w:t>
        </w:r>
      </w:hyperlink>
      <w:r>
        <w:t xml:space="preserve">; </w:t>
      </w:r>
      <w:hyperlink r:id="rId60">
        <w:r>
          <w:rPr>
            <w:color w:val="176274"/>
            <w:u w:val="single"/>
            <w:rFonts w:ascii="DejaVu Sans" w:hAnsi="DejaVu Sans"/>
            <w:sz w:val="19"/>
          </w:rPr>
          <w:t>R048</w:t>
        </w:r>
      </w:hyperlink>
      <w:r>
        <w:t xml:space="preserve">; </w:t>
      </w:r>
      <w:hyperlink r:id="rId61">
        <w:r>
          <w:rPr>
            <w:color w:val="176274"/>
            <w:u w:val="single"/>
            <w:rFonts w:ascii="DejaVu Sans" w:hAnsi="DejaVu Sans"/>
            <w:sz w:val="19"/>
          </w:rPr>
          <w:t>R049</w:t>
        </w:r>
      </w:hyperlink>
      <w:r>
        <w:t xml:space="preserve">; </w:t>
      </w:r>
      <w:hyperlink r:id="rId72">
        <w:r>
          <w:rPr>
            <w:color w:val="176274"/>
            <w:u w:val="single"/>
            <w:rFonts w:ascii="DejaVu Sans" w:hAnsi="DejaVu Sans"/>
            <w:sz w:val="19"/>
          </w:rPr>
          <w:t>R074</w:t>
        </w:r>
      </w:hyperlink>
      <w:r>
        <w:t>]</w:t>
      </w:r>
    </w:p>
    <w:p>
      <w:pPr>
        <w:pStyle w:val="Heading2"/>
      </w:pPr>
      <w:r>
        <w:t>Yoga: лучший чистый TEI, старые переводы и актуальная филология</w:t>
      </w:r>
    </w:p>
    <w:p>
      <w:r>
        <w:t>Для оригинального текста и последующей работы ToS предпочтителен SARIT Pātañjalayogaśāstra по Āgāśe 1904, электронная редакция Maas: CC BY-SA 3.0 без ограничения NC. GRETIL предоставляет удобный HTML-параллель под CC BY-NC-SA 4.0. Rājamārtaṇḍa Bhoja в SARIT — самостоятельная открытая транскрипция, также BY-SA 3.0; сведения о семейной рукописи донора не превращены в независимо проверенный музейный shelfmark. [</w:t>
      </w:r>
      <w:hyperlink r:id="rId62">
        <w:r>
          <w:rPr>
            <w:color w:val="176274"/>
            <w:u w:val="single"/>
            <w:rFonts w:ascii="DejaVu Sans" w:hAnsi="DejaVu Sans"/>
            <w:sz w:val="19"/>
          </w:rPr>
          <w:t>R009</w:t>
        </w:r>
      </w:hyperlink>
      <w:r>
        <w:t xml:space="preserve">; </w:t>
      </w:r>
      <w:hyperlink r:id="rId11">
        <w:r>
          <w:rPr>
            <w:color w:val="176274"/>
            <w:u w:val="single"/>
            <w:rFonts w:ascii="DejaVu Sans" w:hAnsi="DejaVu Sans"/>
            <w:sz w:val="19"/>
          </w:rPr>
          <w:t>R025</w:t>
        </w:r>
      </w:hyperlink>
      <w:r>
        <w:t xml:space="preserve">; </w:t>
      </w:r>
      <w:hyperlink r:id="rId63">
        <w:r>
          <w:rPr>
            <w:color w:val="176274"/>
            <w:u w:val="single"/>
            <w:rFonts w:ascii="DejaVu Sans" w:hAnsi="DejaVu Sans"/>
            <w:sz w:val="19"/>
          </w:rPr>
          <w:t>R026</w:t>
        </w:r>
      </w:hyperlink>
      <w:r>
        <w:t>]</w:t>
      </w:r>
    </w:p>
    <w:p>
      <w:r>
        <w:t>Лучший найденный рукописный вход — OPenn, Ms. Coll. 390 Item 249, Pātañjala Yogaśāstra под названием Saṃkhyapravacana. Изображения имеют Public Domain Mark, метаданные — CC BY 4.0. Это один поздний свидетель, а не древний автограф и не гарантия полноты идеального произведения. Item-level права прочитаны; повторные обращения давали timeout. [</w:t>
      </w:r>
      <w:hyperlink r:id="rId65">
        <w:r>
          <w:rPr>
            <w:color w:val="176274"/>
            <w:u w:val="single"/>
            <w:rFonts w:ascii="DejaVu Sans" w:hAnsi="DejaVu Sans"/>
            <w:sz w:val="19"/>
          </w:rPr>
          <w:t>R033</w:t>
        </w:r>
      </w:hyperlink>
      <w:r>
        <w:t>]</w:t>
      </w:r>
    </w:p>
    <w:p>
      <w:r>
        <w:t>Для старого английского чтения — Woods 1914: Yoga-sūtra, bhāṣya и Tattvavaiśāradī. Современный объяснительный перевод Bryant 2009 доступен через официальную покупку. Yogavārttika Vijñānabhikṣu с переводом Rukmani подтверждена четырёхтомным комплектом Wellcome, но только как печатное местонахождение. Русская «Классическая йога» Островской–Рудого 1992 на сайте ИВР имеет карточку и ссылку на вводные материалы, не на полный перевод; переход к приложению при проверке завершился ошибкой. [</w:t>
      </w:r>
      <w:hyperlink r:id="rId66">
        <w:r>
          <w:rPr>
            <w:color w:val="176274"/>
            <w:u w:val="single"/>
            <w:rFonts w:ascii="DejaVu Sans" w:hAnsi="DejaVu Sans"/>
            <w:sz w:val="19"/>
          </w:rPr>
          <w:t>R034</w:t>
        </w:r>
      </w:hyperlink>
      <w:r>
        <w:t xml:space="preserve">; </w:t>
      </w:r>
      <w:hyperlink r:id="rId67">
        <w:r>
          <w:rPr>
            <w:color w:val="176274"/>
            <w:u w:val="single"/>
            <w:rFonts w:ascii="DejaVu Sans" w:hAnsi="DejaVu Sans"/>
            <w:sz w:val="19"/>
          </w:rPr>
          <w:t>R056</w:t>
        </w:r>
      </w:hyperlink>
      <w:r>
        <w:t xml:space="preserve">; </w:t>
      </w:r>
      <w:hyperlink r:id="rId68">
        <w:r>
          <w:rPr>
            <w:color w:val="176274"/>
            <w:u w:val="single"/>
            <w:rFonts w:ascii="DejaVu Sans" w:hAnsi="DejaVu Sans"/>
            <w:sz w:val="19"/>
          </w:rPr>
          <w:t>R061</w:t>
        </w:r>
      </w:hyperlink>
      <w:r>
        <w:t xml:space="preserve">; </w:t>
      </w:r>
      <w:hyperlink r:id="rId69">
        <w:r>
          <w:rPr>
            <w:color w:val="176274"/>
            <w:u w:val="single"/>
            <w:rFonts w:ascii="DejaVu Sans" w:hAnsi="DejaVu Sans"/>
            <w:sz w:val="19"/>
          </w:rPr>
          <w:t>R062</w:t>
        </w:r>
      </w:hyperlink>
      <w:r>
        <w:t>]</w:t>
      </w:r>
    </w:p>
    <w:p>
      <w:r>
        <w:t>Новейшая находка из DR подтверждена не через ResearchGate, а через институциональный ORCA: Maas 2026, Vibhūtipāda. Бесплатная статья включает перевод и working edition только третьей главы; лицензия CC BY-NC-ND 4.0 допускает некоммерческое распространение неизменённого файла с атрибуцией, но не даёт общего права публиковать переработку редакции. Vivaraṇa представлена законными отрывками Leggett Trust и критической публикацией Harimoto только 1.23–28; полное свободное издание Vivaraṇa не установлено. [</w:t>
      </w:r>
      <w:hyperlink r:id="rId64">
        <w:r>
          <w:rPr>
            <w:color w:val="176274"/>
            <w:u w:val="single"/>
            <w:rFonts w:ascii="DejaVu Sans" w:hAnsi="DejaVu Sans"/>
            <w:sz w:val="19"/>
          </w:rPr>
          <w:t>R028</w:t>
        </w:r>
      </w:hyperlink>
      <w:r>
        <w:t xml:space="preserve">; </w:t>
      </w:r>
      <w:hyperlink r:id="rId70">
        <w:r>
          <w:rPr>
            <w:color w:val="176274"/>
            <w:u w:val="single"/>
            <w:rFonts w:ascii="DejaVu Sans" w:hAnsi="DejaVu Sans"/>
            <w:sz w:val="19"/>
          </w:rPr>
          <w:t>R080</w:t>
        </w:r>
      </w:hyperlink>
      <w:r>
        <w:t xml:space="preserve">; </w:t>
      </w:r>
      <w:hyperlink r:id="rId71">
        <w:r>
          <w:rPr>
            <w:color w:val="176274"/>
            <w:u w:val="single"/>
            <w:rFonts w:ascii="DejaVu Sans" w:hAnsi="DejaVu Sans"/>
            <w:sz w:val="19"/>
          </w:rPr>
          <w:t>R084</w:t>
        </w:r>
      </w:hyperlink>
      <w:r>
        <w:t>]</w:t>
      </w:r>
    </w:p>
    <w:p>
      <w:pPr>
        <w:pStyle w:val="Heading2"/>
      </w:pPr>
      <w:r>
        <w:t>Китайский, арабский и доксографический входы</w:t>
      </w:r>
    </w:p>
    <w:p>
      <w:r>
        <w:t>CBETA T54n2137 — лучший найденный машинный китайский свидетель Kārikā-семьи, три juan. Условия файла собственные некоммерческие: при распространении сохранять header; они не названы CC-лицензией. Арабский Kitāb Bātanjali доступен отдельным 47-страничным PDF Library of Arabic Literature, но ©2020 NYU Press и All rights reserved не снимаются кнопкой бесплатной загрузки. Английский перевод и аппарат находятся в платной двуязычной книге. [</w:t>
      </w:r>
      <w:hyperlink r:id="rId73">
        <w:r>
          <w:rPr>
            <w:color w:val="176274"/>
            <w:u w:val="single"/>
            <w:rFonts w:ascii="DejaVu Sans" w:hAnsi="DejaVu Sans"/>
            <w:sz w:val="19"/>
          </w:rPr>
          <w:t>R067</w:t>
        </w:r>
      </w:hyperlink>
      <w:r>
        <w:t xml:space="preserve">; </w:t>
      </w:r>
      <w:hyperlink r:id="rId74">
        <w:r>
          <w:rPr>
            <w:color w:val="176274"/>
            <w:u w:val="single"/>
            <w:rFonts w:ascii="DejaVu Sans" w:hAnsi="DejaVu Sans"/>
            <w:sz w:val="19"/>
          </w:rPr>
          <w:t>R068</w:t>
        </w:r>
      </w:hyperlink>
      <w:r>
        <w:t xml:space="preserve">; </w:t>
      </w:r>
      <w:hyperlink r:id="rId75">
        <w:r>
          <w:rPr>
            <w:color w:val="176274"/>
            <w:u w:val="single"/>
            <w:rFonts w:ascii="DejaVu Sans" w:hAnsi="DejaVu Sans"/>
            <w:sz w:val="19"/>
          </w:rPr>
          <w:t>R070</w:t>
        </w:r>
      </w:hyperlink>
      <w:r>
        <w:t>]</w:t>
      </w:r>
    </w:p>
    <w:p>
      <w:r>
        <w:t>Для адресного знакомства с поздней систематизацией — Sarvadarśanasaṃgraha: старый английский Cowell–Gough 1882 у Project Gutenberg и санскритский SARIT по Abhyankar 1924 с открыто лицензированными исправлениями Bronkhorst. В английском томе релевантны прежде всего главы X, XI, XII, XIV и XV. Эти тексты показывают позднюю рецепцию, а не доказывают существование неизменной схемы школ во все предыдущие века. [</w:t>
      </w:r>
      <w:hyperlink r:id="rId76">
        <w:r>
          <w:rPr>
            <w:color w:val="176274"/>
            <w:u w:val="single"/>
            <w:rFonts w:ascii="DejaVu Sans" w:hAnsi="DejaVu Sans"/>
            <w:sz w:val="19"/>
          </w:rPr>
          <w:t>R069</w:t>
        </w:r>
      </w:hyperlink>
      <w:r>
        <w:t xml:space="preserve">; </w:t>
      </w:r>
      <w:hyperlink r:id="rId79">
        <w:r>
          <w:rPr>
            <w:color w:val="176274"/>
            <w:u w:val="single"/>
            <w:rFonts w:ascii="DejaVu Sans" w:hAnsi="DejaVu Sans"/>
            <w:sz w:val="19"/>
          </w:rPr>
          <w:t>R076</w:t>
        </w:r>
      </w:hyperlink>
      <w:r>
        <w:t>]</w:t>
      </w:r>
    </w:p>
    <w:p>
      <w:pPr>
        <w:pStyle w:val="Heading1"/>
      </w:pPr>
      <w:r>
        <w:t>4. Карта прав и практического использования</w:t>
      </w:r>
    </w:p>
    <w:p>
      <w:pPr>
        <w:pStyle w:val="Heading2"/>
      </w:pPr>
      <w:r>
        <w:t>Первый слой для собственного размещения</w:t>
      </w:r>
    </w:p>
    <w:p>
      <w:r>
        <w:t>Наиболее уверенно отделённый слой — изображения одного OPenn-свидетеля и три конкретные открытые электронные редакции SARIT: Pātañjalayogaśāstra, Rājamārtaṇḍa и Sarvadarśanasaṃgraha. Для первых изображений PDM — маркировка статуса, не лицензия; для сопровождающих метаданных нужна атрибуция CC BY. Для SARIT действуют соответствующие BY-SA 3.0/4.0: сохраняются авторские сведения, уведомление о лицензии, обозначаются изменения и соблюдается ShareAlike при распространении адаптации. [</w:t>
      </w:r>
      <w:hyperlink r:id="rId11">
        <w:r>
          <w:rPr>
            <w:color w:val="176274"/>
            <w:u w:val="single"/>
            <w:rFonts w:ascii="DejaVu Sans" w:hAnsi="DejaVu Sans"/>
            <w:sz w:val="19"/>
          </w:rPr>
          <w:t>R025</w:t>
        </w:r>
      </w:hyperlink>
      <w:r>
        <w:t xml:space="preserve">; </w:t>
      </w:r>
      <w:hyperlink r:id="rId63">
        <w:r>
          <w:rPr>
            <w:color w:val="176274"/>
            <w:u w:val="single"/>
            <w:rFonts w:ascii="DejaVu Sans" w:hAnsi="DejaVu Sans"/>
            <w:sz w:val="19"/>
          </w:rPr>
          <w:t>R026</w:t>
        </w:r>
      </w:hyperlink>
      <w:r>
        <w:t xml:space="preserve">; </w:t>
      </w:r>
      <w:hyperlink r:id="rId65">
        <w:r>
          <w:rPr>
            <w:color w:val="176274"/>
            <w:u w:val="single"/>
            <w:rFonts w:ascii="DejaVu Sans" w:hAnsi="DejaVu Sans"/>
            <w:sz w:val="19"/>
          </w:rPr>
          <w:t>R033</w:t>
        </w:r>
      </w:hyperlink>
      <w:r>
        <w:t xml:space="preserve">; </w:t>
      </w:r>
      <w:hyperlink r:id="rId79">
        <w:r>
          <w:rPr>
            <w:color w:val="176274"/>
            <w:u w:val="single"/>
            <w:rFonts w:ascii="DejaVu Sans" w:hAnsi="DejaVu Sans"/>
            <w:sz w:val="19"/>
          </w:rPr>
          <w:t>R076</w:t>
        </w:r>
      </w:hyperlink>
      <w:r>
        <w:t>]</w:t>
      </w:r>
    </w:p>
    <w:p>
      <w:r>
        <w:t>Отдельная полезная группа — GRETIL-тексты с прозрачной старой печатной основой: Praśastapāda, Āgāśe, Jaimini/Basu, Gauḍapāda, Jayamaṅgalā, Tattvasamāsa и семейство сборника Dvivedin. Для них указаны MIRROR_NONCOMMERCIAL, атрибуция и SA. Уверенность оставлена средней: проект публикует файл добросовестно и допускает снятие при обоснованной претензии. Разрешение ограничено самим электронным текстом и его разметкой, не всем исходным печатным томом, фотографиями и сторонними добавлениями. [</w:t>
      </w:r>
      <w:hyperlink r:id="rId24">
        <w:r>
          <w:rPr>
            <w:color w:val="176274"/>
            <w:u w:val="single"/>
            <w:rFonts w:ascii="DejaVu Sans" w:hAnsi="DejaVu Sans"/>
            <w:sz w:val="19"/>
          </w:rPr>
          <w:t>R007</w:t>
        </w:r>
      </w:hyperlink>
      <w:r>
        <w:t xml:space="preserve">; </w:t>
      </w:r>
      <w:hyperlink r:id="rId62">
        <w:r>
          <w:rPr>
            <w:color w:val="176274"/>
            <w:u w:val="single"/>
            <w:rFonts w:ascii="DejaVu Sans" w:hAnsi="DejaVu Sans"/>
            <w:sz w:val="19"/>
          </w:rPr>
          <w:t>R009</w:t>
        </w:r>
      </w:hyperlink>
      <w:r>
        <w:t xml:space="preserve">; </w:t>
      </w:r>
      <w:hyperlink r:id="rId29">
        <w:r>
          <w:rPr>
            <w:color w:val="176274"/>
            <w:u w:val="single"/>
            <w:rFonts w:ascii="DejaVu Sans" w:hAnsi="DejaVu Sans"/>
            <w:sz w:val="19"/>
          </w:rPr>
          <w:t>R010</w:t>
        </w:r>
      </w:hyperlink>
      <w:r>
        <w:t xml:space="preserve">; </w:t>
      </w:r>
      <w:hyperlink r:id="rId45">
        <w:r>
          <w:rPr>
            <w:color w:val="176274"/>
            <w:u w:val="single"/>
            <w:rFonts w:ascii="DejaVu Sans" w:hAnsi="DejaVu Sans"/>
            <w:sz w:val="19"/>
          </w:rPr>
          <w:t>R018</w:t>
        </w:r>
      </w:hyperlink>
      <w:r>
        <w:t xml:space="preserve">; </w:t>
      </w:r>
      <w:hyperlink r:id="rId47">
        <w:r>
          <w:rPr>
            <w:color w:val="176274"/>
            <w:u w:val="single"/>
            <w:rFonts w:ascii="DejaVu Sans" w:hAnsi="DejaVu Sans"/>
            <w:sz w:val="19"/>
          </w:rPr>
          <w:t>R020</w:t>
        </w:r>
      </w:hyperlink>
      <w:r>
        <w:t xml:space="preserve">; </w:t>
      </w:r>
      <w:hyperlink r:id="rId50">
        <w:r>
          <w:rPr>
            <w:color w:val="176274"/>
            <w:u w:val="single"/>
            <w:rFonts w:ascii="DejaVu Sans" w:hAnsi="DejaVu Sans"/>
            <w:sz w:val="19"/>
          </w:rPr>
          <w:t>R023</w:t>
        </w:r>
      </w:hyperlink>
      <w:r>
        <w:t xml:space="preserve">; </w:t>
      </w:r>
      <w:hyperlink r:id="rId53">
        <w:r>
          <w:rPr>
            <w:color w:val="176274"/>
            <w:u w:val="single"/>
            <w:rFonts w:ascii="DejaVu Sans" w:hAnsi="DejaVu Sans"/>
            <w:sz w:val="19"/>
          </w:rPr>
          <w:t>R041</w:t>
        </w:r>
      </w:hyperlink>
      <w:r>
        <w:t xml:space="preserve">; </w:t>
      </w:r>
      <w:hyperlink r:id="rId61">
        <w:r>
          <w:rPr>
            <w:color w:val="176274"/>
            <w:u w:val="single"/>
            <w:rFonts w:ascii="DejaVu Sans" w:hAnsi="DejaVu Sans"/>
            <w:sz w:val="19"/>
          </w:rPr>
          <w:t>R049</w:t>
        </w:r>
      </w:hyperlink>
      <w:r>
        <w:t xml:space="preserve">; </w:t>
      </w:r>
      <w:hyperlink r:id="rId37">
        <w:r>
          <w:rPr>
            <w:color w:val="176274"/>
            <w:u w:val="single"/>
            <w:rFonts w:ascii="DejaVu Sans" w:hAnsi="DejaVu Sans"/>
            <w:sz w:val="19"/>
          </w:rPr>
          <w:t>R050</w:t>
        </w:r>
      </w:hyperlink>
      <w:r>
        <w:t>]</w:t>
      </w:r>
    </w:p>
    <w:p>
      <w:pPr>
        <w:pStyle w:val="Heading2"/>
      </w:pPr>
      <w:r>
        <w:t>Некоммерческое и неизменённое распространение</w:t>
      </w:r>
    </w:p>
    <w:p>
      <w:r>
        <w:t>Maas 2026 — сильный пример допустимого неизменённого NC-зеркала: публиковать исходный PDF с сохранением лицензии и атрибуции. Тег RIGHTS_REVIEW_REQUIRED в той же записи относится к производным публикациям, изменённой транскрипции, переводу и публичным результатам переработки, а не отменяет явно разрешённое неизменённое распространение. ND не истолковано как запрет всякой технической обработки, но отдельного положительного разрешения на любой производный публичный сервис также нет. [</w:t>
      </w:r>
      <w:hyperlink r:id="rId64">
        <w:r>
          <w:rPr>
            <w:color w:val="176274"/>
            <w:u w:val="single"/>
            <w:rFonts w:ascii="DejaVu Sans" w:hAnsi="DejaVu Sans"/>
            <w:sz w:val="19"/>
          </w:rPr>
          <w:t>R028</w:t>
        </w:r>
      </w:hyperlink>
      <w:r>
        <w:t>]</w:t>
      </w:r>
    </w:p>
    <w:p>
      <w:r>
        <w:t>CBETA допускает некоммерческую передачу указанного файла с сохранённым заголовком. Это не позволяет механически приписать всему CBETA свободный режим адаптаций или распространить условия файла на изображения Taishō. Для публичного перевода, изменённого корпуса, индекса и embeddings в этой записи оставлена ручная проверка. [</w:t>
      </w:r>
      <w:hyperlink r:id="rId75">
        <w:r>
          <w:rPr>
            <w:color w:val="176274"/>
            <w:u w:val="single"/>
            <w:rFonts w:ascii="DejaVu Sans" w:hAnsi="DejaVu Sans"/>
            <w:sz w:val="19"/>
          </w:rPr>
          <w:t>R070</w:t>
        </w:r>
      </w:hyperlink>
      <w:r>
        <w:t>]</w:t>
      </w:r>
    </w:p>
    <w:p>
      <w:pPr>
        <w:pStyle w:val="Heading2"/>
      </w:pPr>
      <w:r>
        <w:t>Чтение и исследовательская копия без доказанного права зеркала</w:t>
      </w:r>
    </w:p>
    <w:p>
      <w:r>
        <w:t>Большая часть электронных изданий с современной критической базой, сканов старых переводов и официальных PDF остаётся в режиме читать/скачать/локально исследовать, но не автоматически публиковать заново. Особенно показательны Tantravārttika SARIT без найденного item-level разрешения и бесплатная арабская редакция Kozah с All rights reserved. У DLI встречаются разные формулировки: In Public Domain, Out of copyright, Copyright Permitted; они сохранены буквально по смыслу, а не нормализованы в фиктивную CC0. [</w:t>
      </w:r>
      <w:hyperlink r:id="rId35">
        <w:r>
          <w:rPr>
            <w:color w:val="176274"/>
            <w:u w:val="single"/>
            <w:rFonts w:ascii="DejaVu Sans" w:hAnsi="DejaVu Sans"/>
            <w:sz w:val="19"/>
          </w:rPr>
          <w:t>R032</w:t>
        </w:r>
      </w:hyperlink>
      <w:r>
        <w:t xml:space="preserve">; </w:t>
      </w:r>
      <w:hyperlink r:id="rId94">
        <w:r>
          <w:rPr>
            <w:color w:val="176274"/>
            <w:u w:val="single"/>
            <w:rFonts w:ascii="DejaVu Sans" w:hAnsi="DejaVu Sans"/>
            <w:sz w:val="19"/>
          </w:rPr>
          <w:t>R036</w:t>
        </w:r>
      </w:hyperlink>
      <w:r>
        <w:t xml:space="preserve">; </w:t>
      </w:r>
      <w:hyperlink r:id="rId95">
        <w:r>
          <w:rPr>
            <w:color w:val="176274"/>
            <w:u w:val="single"/>
            <w:rFonts w:ascii="DejaVu Sans" w:hAnsi="DejaVu Sans"/>
            <w:sz w:val="19"/>
          </w:rPr>
          <w:t>R037</w:t>
        </w:r>
      </w:hyperlink>
      <w:r>
        <w:t xml:space="preserve">; </w:t>
      </w:r>
      <w:hyperlink r:id="rId39">
        <w:r>
          <w:rPr>
            <w:color w:val="176274"/>
            <w:u w:val="single"/>
            <w:rFonts w:ascii="DejaVu Sans" w:hAnsi="DejaVu Sans"/>
            <w:sz w:val="19"/>
          </w:rPr>
          <w:t>R054</w:t>
        </w:r>
      </w:hyperlink>
      <w:r>
        <w:t xml:space="preserve">; </w:t>
      </w:r>
      <w:hyperlink r:id="rId87">
        <w:r>
          <w:rPr>
            <w:color w:val="176274"/>
            <w:u w:val="single"/>
            <w:rFonts w:ascii="DejaVu Sans" w:hAnsi="DejaVu Sans"/>
            <w:sz w:val="19"/>
          </w:rPr>
          <w:t>R063</w:t>
        </w:r>
      </w:hyperlink>
      <w:r>
        <w:t xml:space="preserve">; </w:t>
      </w:r>
      <w:hyperlink r:id="rId88">
        <w:r>
          <w:rPr>
            <w:color w:val="176274"/>
            <w:u w:val="single"/>
            <w:rFonts w:ascii="DejaVu Sans" w:hAnsi="DejaVu Sans"/>
            <w:sz w:val="19"/>
          </w:rPr>
          <w:t>R064</w:t>
        </w:r>
      </w:hyperlink>
      <w:r>
        <w:t xml:space="preserve">; </w:t>
      </w:r>
      <w:hyperlink r:id="rId89">
        <w:r>
          <w:rPr>
            <w:color w:val="176274"/>
            <w:u w:val="single"/>
            <w:rFonts w:ascii="DejaVu Sans" w:hAnsi="DejaVu Sans"/>
            <w:sz w:val="19"/>
          </w:rPr>
          <w:t>R065</w:t>
        </w:r>
      </w:hyperlink>
      <w:r>
        <w:t xml:space="preserve">; </w:t>
      </w:r>
      <w:hyperlink r:id="rId74">
        <w:r>
          <w:rPr>
            <w:color w:val="176274"/>
            <w:u w:val="single"/>
            <w:rFonts w:ascii="DejaVu Sans" w:hAnsi="DejaVu Sans"/>
            <w:sz w:val="19"/>
          </w:rPr>
          <w:t>R068</w:t>
        </w:r>
      </w:hyperlink>
      <w:r>
        <w:t>]</w:t>
      </w:r>
    </w:p>
    <w:p>
      <w:r>
        <w:t>Метки NOT_IN_COPYRIGHT/Project Gutenberg Public Domain относятся к заявленной платформой юрисдикции, прежде всего США, либо требуют её уточнения. Для публичного размещения ToS нужно отдельно проверить применимый режим конкретного перевода, репринта и его добавлений. Возраст санскритского произведения не устраняет права современного переводчика, редактора или фотографа. Локальная исследовательская копия не означает доступность той же копии пользователям сайта. [</w:t>
      </w:r>
      <w:hyperlink r:id="rId66">
        <w:r>
          <w:rPr>
            <w:color w:val="176274"/>
            <w:u w:val="single"/>
            <w:rFonts w:ascii="DejaVu Sans" w:hAnsi="DejaVu Sans"/>
            <w:sz w:val="19"/>
          </w:rPr>
          <w:t>R034</w:t>
        </w:r>
      </w:hyperlink>
      <w:r>
        <w:t xml:space="preserve">; </w:t>
      </w:r>
      <w:hyperlink r:id="rId52">
        <w:r>
          <w:rPr>
            <w:color w:val="176274"/>
            <w:u w:val="single"/>
            <w:rFonts w:ascii="DejaVu Sans" w:hAnsi="DejaVu Sans"/>
            <w:sz w:val="19"/>
          </w:rPr>
          <w:t>R035</w:t>
        </w:r>
      </w:hyperlink>
      <w:r>
        <w:t xml:space="preserve">; </w:t>
      </w:r>
      <w:hyperlink r:id="rId91">
        <w:r>
          <w:rPr>
            <w:color w:val="176274"/>
            <w:u w:val="single"/>
            <w:rFonts w:ascii="DejaVu Sans" w:hAnsi="DejaVu Sans"/>
            <w:sz w:val="19"/>
          </w:rPr>
          <w:t>R038</w:t>
        </w:r>
      </w:hyperlink>
      <w:r>
        <w:t xml:space="preserve">; </w:t>
      </w:r>
      <w:hyperlink r:id="rId76">
        <w:r>
          <w:rPr>
            <w:color w:val="176274"/>
            <w:u w:val="single"/>
            <w:rFonts w:ascii="DejaVu Sans" w:hAnsi="DejaVu Sans"/>
            <w:sz w:val="19"/>
          </w:rPr>
          <w:t>R069</w:t>
        </w:r>
      </w:hyperlink>
      <w:r>
        <w:t xml:space="preserve">; </w:t>
      </w:r>
      <w:hyperlink r:id="rId42">
        <w:r>
          <w:rPr>
            <w:color w:val="176274"/>
            <w:u w:val="single"/>
            <w:rFonts w:ascii="DejaVu Sans" w:hAnsi="DejaVu Sans"/>
            <w:sz w:val="19"/>
          </w:rPr>
          <w:t>R081</w:t>
        </w:r>
      </w:hyperlink>
      <w:r>
        <w:t xml:space="preserve">; </w:t>
      </w:r>
      <w:hyperlink r:id="rId27">
        <w:r>
          <w:rPr>
            <w:color w:val="176274"/>
            <w:u w:val="single"/>
            <w:rFonts w:ascii="DejaVu Sans" w:hAnsi="DejaVu Sans"/>
            <w:sz w:val="19"/>
          </w:rPr>
          <w:t>R085</w:t>
        </w:r>
      </w:hyperlink>
      <w:r>
        <w:t>]</w:t>
      </w:r>
    </w:p>
    <w:p>
      <w:pPr>
        <w:pStyle w:val="Heading2"/>
      </w:pPr>
      <w:r>
        <w:t>OCR, публичный поиск, embeddings и собственный перевод</w:t>
      </w:r>
    </w:p>
    <w:p>
      <w:r>
        <w:t>Эти действия оценены раздельно. OCR_OK явно выставлен для изображений конкретного OPenn-свидетеля. У открытых исходных e-texts OCR обычно не нужен; FULLTEXT_INDEX_OK и EMBEDDINGS_OK относятся к использованию именно лицензированного текста в указанном NC/SA-режиме. Это оценка разрешённых лицензией действий, а не специальное разрешение на обучение любых моделей, смешивание любых источников или публикацию чужого аппарата.</w:t>
      </w:r>
    </w:p>
    <w:p>
      <w:r>
        <w:t>OWN_TRANSLATION_POSSIBLE встречается в 20 записях, но не означает 20 разных полностью переводимых корпусов: среди них альтернативы одного произведения и ограниченные объёмы. Чистая основа названа в own_translation_basis — конкретный оригинальный e-text или факсимиле, а перевод ограничен coverage. У Jaiminīyanyāyamālāvistara это лишь первая adhyāya; у OPenn — реально сохранившийся текст одного свидетеля. Современные Thakur, Varadacharya, Kumar–Bhargava, Gosvāmī и Kozah не объявлены безусловно свободной основой только потому, что исходный автор древний. [</w:t>
      </w:r>
      <w:hyperlink r:id="rId14">
        <w:r>
          <w:rPr>
            <w:color w:val="176274"/>
            <w:u w:val="single"/>
            <w:rFonts w:ascii="DejaVu Sans" w:hAnsi="DejaVu Sans"/>
            <w:sz w:val="19"/>
          </w:rPr>
          <w:t>R003</w:t>
        </w:r>
      </w:hyperlink>
      <w:r>
        <w:t xml:space="preserve">; </w:t>
      </w:r>
      <w:hyperlink r:id="rId48">
        <w:r>
          <w:rPr>
            <w:color w:val="176274"/>
            <w:u w:val="single"/>
            <w:rFonts w:ascii="DejaVu Sans" w:hAnsi="DejaVu Sans"/>
            <w:sz w:val="19"/>
          </w:rPr>
          <w:t>R021</w:t>
        </w:r>
      </w:hyperlink>
      <w:r>
        <w:t xml:space="preserve">; </w:t>
      </w:r>
      <w:hyperlink r:id="rId11">
        <w:r>
          <w:rPr>
            <w:color w:val="176274"/>
            <w:u w:val="single"/>
            <w:rFonts w:ascii="DejaVu Sans" w:hAnsi="DejaVu Sans"/>
            <w:sz w:val="19"/>
          </w:rPr>
          <w:t>R025</w:t>
        </w:r>
      </w:hyperlink>
      <w:r>
        <w:t xml:space="preserve">; </w:t>
      </w:r>
      <w:hyperlink r:id="rId18">
        <w:r>
          <w:rPr>
            <w:color w:val="176274"/>
            <w:u w:val="single"/>
            <w:rFonts w:ascii="DejaVu Sans" w:hAnsi="DejaVu Sans"/>
            <w:sz w:val="19"/>
          </w:rPr>
          <w:t>R031</w:t>
        </w:r>
      </w:hyperlink>
      <w:r>
        <w:t xml:space="preserve">; </w:t>
      </w:r>
      <w:hyperlink r:id="rId65">
        <w:r>
          <w:rPr>
            <w:color w:val="176274"/>
            <w:u w:val="single"/>
            <w:rFonts w:ascii="DejaVu Sans" w:hAnsi="DejaVu Sans"/>
            <w:sz w:val="19"/>
          </w:rPr>
          <w:t>R033</w:t>
        </w:r>
      </w:hyperlink>
      <w:r>
        <w:t xml:space="preserve">; </w:t>
      </w:r>
      <w:hyperlink r:id="rId37">
        <w:r>
          <w:rPr>
            <w:color w:val="176274"/>
            <w:u w:val="single"/>
            <w:rFonts w:ascii="DejaVu Sans" w:hAnsi="DejaVu Sans"/>
            <w:sz w:val="19"/>
          </w:rPr>
          <w:t>R050</w:t>
        </w:r>
      </w:hyperlink>
      <w:r>
        <w:t xml:space="preserve">; </w:t>
      </w:r>
      <w:hyperlink r:id="rId74">
        <w:r>
          <w:rPr>
            <w:color w:val="176274"/>
            <w:u w:val="single"/>
            <w:rFonts w:ascii="DejaVu Sans" w:hAnsi="DejaVu Sans"/>
            <w:sz w:val="19"/>
          </w:rPr>
          <w:t>R068</w:t>
        </w:r>
      </w:hyperlink>
      <w:r>
        <w:t xml:space="preserve">; </w:t>
      </w:r>
      <w:hyperlink r:id="rId41">
        <w:r>
          <w:rPr>
            <w:color w:val="176274"/>
            <w:u w:val="single"/>
            <w:rFonts w:ascii="DejaVu Sans" w:hAnsi="DejaVu Sans"/>
            <w:sz w:val="19"/>
          </w:rPr>
          <w:t>R075</w:t>
        </w:r>
      </w:hyperlink>
      <w:r>
        <w:t>]</w:t>
      </w:r>
    </w:p>
    <w:p>
      <w:r>
        <w:t>Покупка, библиотечная выдача, просмотр и библиографическая карточка сохранены как самостоятельная польза. Публичный некоммерческий характер ToS не заменяет лицензию. При дальнейшем изменении модели проекта NC-объекты нужно перепроверить до коммерческого использования; ничего не приобреталось, аккаунты не создавались, запросы правообладателям не отправлялись.</w:t>
      </w:r>
    </w:p>
    <w:p>
      <w:pPr>
        <w:pStyle w:val="Heading1"/>
      </w:pPr>
      <w:r>
        <w:t>5. Характерные правовые и источниковедческие тонкости</w:t>
      </w:r>
    </w:p>
    <w:p>
      <w:r>
        <w:t>Лицензия файла не равна лицензии его источника. GRETIL часто сопровождает электронную транскрипцию CC BY-NC-SA 4.0, одновременно ссылаясь на современную печатную редакцию. SARIT использует разные availability в разных файлах. Поэтому у двух похожих XML могут быть разные допустимые действия; общая лицензия соседнего текста или программного кода сюда не переносится. [</w:t>
      </w:r>
      <w:hyperlink r:id="rId48">
        <w:r>
          <w:rPr>
            <w:color w:val="176274"/>
            <w:u w:val="single"/>
            <w:rFonts w:ascii="DejaVu Sans" w:hAnsi="DejaVu Sans"/>
            <w:sz w:val="19"/>
          </w:rPr>
          <w:t>R021</w:t>
        </w:r>
      </w:hyperlink>
      <w:r>
        <w:t xml:space="preserve">; </w:t>
      </w:r>
      <w:hyperlink r:id="rId82">
        <w:r>
          <w:rPr>
            <w:color w:val="176274"/>
            <w:u w:val="single"/>
            <w:rFonts w:ascii="DejaVu Sans" w:hAnsi="DejaVu Sans"/>
            <w:sz w:val="19"/>
          </w:rPr>
          <w:t>R027</w:t>
        </w:r>
      </w:hyperlink>
      <w:r>
        <w:t xml:space="preserve">; </w:t>
      </w:r>
      <w:hyperlink r:id="rId18">
        <w:r>
          <w:rPr>
            <w:color w:val="176274"/>
            <w:u w:val="single"/>
            <w:rFonts w:ascii="DejaVu Sans" w:hAnsi="DejaVu Sans"/>
            <w:sz w:val="19"/>
          </w:rPr>
          <w:t>R031</w:t>
        </w:r>
      </w:hyperlink>
      <w:r>
        <w:t xml:space="preserve">; </w:t>
      </w:r>
      <w:hyperlink r:id="rId35">
        <w:r>
          <w:rPr>
            <w:color w:val="176274"/>
            <w:u w:val="single"/>
            <w:rFonts w:ascii="DejaVu Sans" w:hAnsi="DejaVu Sans"/>
            <w:sz w:val="19"/>
          </w:rPr>
          <w:t>R032</w:t>
        </w:r>
      </w:hyperlink>
      <w:r>
        <w:t xml:space="preserve">; </w:t>
      </w:r>
      <w:hyperlink r:id="rId41">
        <w:r>
          <w:rPr>
            <w:color w:val="176274"/>
            <w:u w:val="single"/>
            <w:rFonts w:ascii="DejaVu Sans" w:hAnsi="DejaVu Sans"/>
            <w:sz w:val="19"/>
          </w:rPr>
          <w:t>R075</w:t>
        </w:r>
      </w:hyperlink>
      <w:r>
        <w:t xml:space="preserve">; </w:t>
      </w:r>
      <w:hyperlink r:id="rId97">
        <w:r>
          <w:rPr>
            <w:color w:val="176274"/>
            <w:u w:val="single"/>
            <w:rFonts w:ascii="DejaVu Sans" w:hAnsi="DejaVu Sans"/>
            <w:sz w:val="19"/>
          </w:rPr>
          <w:t>R089</w:t>
        </w:r>
      </w:hyperlink>
      <w:r>
        <w:t>]</w:t>
      </w:r>
    </w:p>
    <w:p>
      <w:r>
        <w:t>Состав печатной книги шире состава e-text. Том Āgāśe может включать несколько комментариев, тогда как электронный PYŚ содержит только сутры и bhāṣya. Книга Dvivedin упоминает Nyāyakandalī, но выбранная транскрипция представляет Praśastapāda. Такие различия влияют одновременно на полноту, цитирование и право собственного перевода. [</w:t>
      </w:r>
      <w:hyperlink r:id="rId24">
        <w:r>
          <w:rPr>
            <w:color w:val="176274"/>
            <w:u w:val="single"/>
            <w:rFonts w:ascii="DejaVu Sans" w:hAnsi="DejaVu Sans"/>
            <w:sz w:val="19"/>
          </w:rPr>
          <w:t>R007</w:t>
        </w:r>
      </w:hyperlink>
      <w:r>
        <w:t xml:space="preserve">; </w:t>
      </w:r>
      <w:hyperlink r:id="rId62">
        <w:r>
          <w:rPr>
            <w:color w:val="176274"/>
            <w:u w:val="single"/>
            <w:rFonts w:ascii="DejaVu Sans" w:hAnsi="DejaVu Sans"/>
            <w:sz w:val="19"/>
          </w:rPr>
          <w:t>R009</w:t>
        </w:r>
      </w:hyperlink>
      <w:r>
        <w:t xml:space="preserve">; </w:t>
      </w:r>
      <w:hyperlink r:id="rId11">
        <w:r>
          <w:rPr>
            <w:color w:val="176274"/>
            <w:u w:val="single"/>
            <w:rFonts w:ascii="DejaVu Sans" w:hAnsi="DejaVu Sans"/>
            <w:sz w:val="19"/>
          </w:rPr>
          <w:t>R025</w:t>
        </w:r>
      </w:hyperlink>
      <w:r>
        <w:t>]</w:t>
      </w:r>
    </w:p>
    <w:p>
      <w:r>
        <w:t>Полностью открытая страница может представлять неполное произведение. Особенно важны Nyāyakusumāñjali, Pariśuddhi, Śābarabhāṣya 1–7, Ślokavārttika с Kāśikā, начальная Prakaraṇapañcikā, Śāstradīpikā, первая adhyāya Jaiminīyanyāyamālāvistara и части пограничных трактатов. complete_work_or_corpus в некоторых старых сканах означает полный представленный том/редакцию, а не все комментарии, которые в нём цитируются. [</w:t>
      </w:r>
      <w:hyperlink r:id="rId15">
        <w:r>
          <w:rPr>
            <w:color w:val="176274"/>
            <w:u w:val="single"/>
            <w:rFonts w:ascii="DejaVu Sans" w:hAnsi="DejaVu Sans"/>
            <w:sz w:val="19"/>
          </w:rPr>
          <w:t>R004</w:t>
        </w:r>
      </w:hyperlink>
      <w:r>
        <w:t xml:space="preserve">; </w:t>
      </w:r>
      <w:hyperlink r:id="rId16">
        <w:r>
          <w:rPr>
            <w:color w:val="176274"/>
            <w:u w:val="single"/>
            <w:rFonts w:ascii="DejaVu Sans" w:hAnsi="DejaVu Sans"/>
            <w:sz w:val="19"/>
          </w:rPr>
          <w:t>R005</w:t>
        </w:r>
      </w:hyperlink>
      <w:r>
        <w:t xml:space="preserve">; </w:t>
      </w:r>
      <w:hyperlink r:id="rId30">
        <w:r>
          <w:rPr>
            <w:color w:val="176274"/>
            <w:u w:val="single"/>
            <w:rFonts w:ascii="DejaVu Sans" w:hAnsi="DejaVu Sans"/>
            <w:sz w:val="19"/>
          </w:rPr>
          <w:t>R011</w:t>
        </w:r>
      </w:hyperlink>
      <w:r>
        <w:t xml:space="preserve">; </w:t>
      </w:r>
      <w:hyperlink r:id="rId31">
        <w:r>
          <w:rPr>
            <w:color w:val="176274"/>
            <w:u w:val="single"/>
            <w:rFonts w:ascii="DejaVu Sans" w:hAnsi="DejaVu Sans"/>
            <w:sz w:val="19"/>
          </w:rPr>
          <w:t>R012</w:t>
        </w:r>
      </w:hyperlink>
      <w:r>
        <w:t xml:space="preserve">; </w:t>
      </w:r>
      <w:hyperlink r:id="rId33">
        <w:r>
          <w:rPr>
            <w:color w:val="176274"/>
            <w:u w:val="single"/>
            <w:rFonts w:ascii="DejaVu Sans" w:hAnsi="DejaVu Sans"/>
            <w:sz w:val="19"/>
          </w:rPr>
          <w:t>R014</w:t>
        </w:r>
      </w:hyperlink>
      <w:r>
        <w:t xml:space="preserve">; </w:t>
      </w:r>
      <w:hyperlink r:id="rId34">
        <w:r>
          <w:rPr>
            <w:color w:val="176274"/>
            <w:u w:val="single"/>
            <w:rFonts w:ascii="DejaVu Sans" w:hAnsi="DejaVu Sans"/>
            <w:sz w:val="19"/>
          </w:rPr>
          <w:t>R015</w:t>
        </w:r>
      </w:hyperlink>
      <w:r>
        <w:t xml:space="preserve">; </w:t>
      </w:r>
      <w:hyperlink r:id="rId37">
        <w:r>
          <w:rPr>
            <w:color w:val="176274"/>
            <w:u w:val="single"/>
            <w:rFonts w:ascii="DejaVu Sans" w:hAnsi="DejaVu Sans"/>
            <w:sz w:val="19"/>
          </w:rPr>
          <w:t>R050</w:t>
        </w:r>
      </w:hyperlink>
      <w:r>
        <w:t xml:space="preserve">; </w:t>
      </w:r>
      <w:hyperlink r:id="rId77">
        <w:r>
          <w:rPr>
            <w:color w:val="176274"/>
            <w:u w:val="single"/>
            <w:rFonts w:ascii="DejaVu Sans" w:hAnsi="DejaVu Sans"/>
            <w:sz w:val="19"/>
          </w:rPr>
          <w:t>R071</w:t>
        </w:r>
      </w:hyperlink>
      <w:r>
        <w:t xml:space="preserve">; </w:t>
      </w:r>
      <w:hyperlink r:id="rId78">
        <w:r>
          <w:rPr>
            <w:color w:val="176274"/>
            <w:u w:val="single"/>
            <w:rFonts w:ascii="DejaVu Sans" w:hAnsi="DejaVu Sans"/>
            <w:sz w:val="19"/>
          </w:rPr>
          <w:t>R072</w:t>
        </w:r>
      </w:hyperlink>
      <w:r>
        <w:t xml:space="preserve">; </w:t>
      </w:r>
      <w:hyperlink r:id="rId27">
        <w:r>
          <w:rPr>
            <w:color w:val="176274"/>
            <w:u w:val="single"/>
            <w:rFonts w:ascii="DejaVu Sans" w:hAnsi="DejaVu Sans"/>
            <w:sz w:val="19"/>
          </w:rPr>
          <w:t>R085</w:t>
        </w:r>
      </w:hyperlink>
      <w:r>
        <w:t>]</w:t>
      </w:r>
    </w:p>
    <w:p>
      <w:r>
        <w:t>Совпадающие названия требуют проверки состава. Saṃkhyapravacana на рукописи OPenn — Yogaśāstra, а не автоматически поздняя Kapila-сутра. Tattvamīmāṃsā из Sāṃkhyasaṃgraha принадлежит санкхья-семье, несмотря на слово mīmāṃsā. Jayamaṅgalā не даёт основания отождествить комментатора с основателем Advaita; атрибуция Vādarahasya Ratnakīrti прямо помечена неуверенной. [</w:t>
      </w:r>
      <w:hyperlink r:id="rId47">
        <w:r>
          <w:rPr>
            <w:color w:val="176274"/>
            <w:u w:val="single"/>
            <w:rFonts w:ascii="DejaVu Sans" w:hAnsi="DejaVu Sans"/>
            <w:sz w:val="19"/>
          </w:rPr>
          <w:t>R020</w:t>
        </w:r>
      </w:hyperlink>
      <w:r>
        <w:t xml:space="preserve">; </w:t>
      </w:r>
      <w:hyperlink r:id="rId65">
        <w:r>
          <w:rPr>
            <w:color w:val="176274"/>
            <w:u w:val="single"/>
            <w:rFonts w:ascii="DejaVu Sans" w:hAnsi="DejaVu Sans"/>
            <w:sz w:val="19"/>
          </w:rPr>
          <w:t>R033</w:t>
        </w:r>
      </w:hyperlink>
      <w:r>
        <w:t xml:space="preserve">; </w:t>
      </w:r>
      <w:hyperlink r:id="rId57">
        <w:r>
          <w:rPr>
            <w:color w:val="176274"/>
            <w:u w:val="single"/>
            <w:rFonts w:ascii="DejaVu Sans" w:hAnsi="DejaVu Sans"/>
            <w:sz w:val="19"/>
          </w:rPr>
          <w:t>R045</w:t>
        </w:r>
      </w:hyperlink>
      <w:r>
        <w:t xml:space="preserve">; </w:t>
      </w:r>
      <w:hyperlink r:id="rId60">
        <w:r>
          <w:rPr>
            <w:color w:val="176274"/>
            <w:u w:val="single"/>
            <w:rFonts w:ascii="DejaVu Sans" w:hAnsi="DejaVu Sans"/>
            <w:sz w:val="19"/>
          </w:rPr>
          <w:t>R048</w:t>
        </w:r>
      </w:hyperlink>
      <w:r>
        <w:t xml:space="preserve">; </w:t>
      </w:r>
      <w:hyperlink r:id="rId81">
        <w:r>
          <w:rPr>
            <w:color w:val="176274"/>
            <w:u w:val="single"/>
            <w:rFonts w:ascii="DejaVu Sans" w:hAnsi="DejaVu Sans"/>
            <w:sz w:val="19"/>
          </w:rPr>
          <w:t>R087</w:t>
        </w:r>
      </w:hyperlink>
      <w:r>
        <w:t>]</w:t>
      </w:r>
    </w:p>
    <w:p>
      <w:r>
        <w:t>Доступ после регистрации и библиотечная выдача не симулировались. DULS показывает экземпляры и возможность hold/recall, но пользовательские права зависят от правил библиотеки. Wellcome Closed stores означает каталогизированный печатный комплект, не Controlled Digital Lending. Ни одна запись не обещает CDL, бесплатную регистрацию или API, если такой режим не был подтверждён. [</w:t>
      </w:r>
      <w:hyperlink r:id="rId36">
        <w:r>
          <w:rPr>
            <w:color w:val="176274"/>
            <w:u w:val="single"/>
            <w:rFonts w:ascii="DejaVu Sans" w:hAnsi="DejaVu Sans"/>
            <w:sz w:val="19"/>
          </w:rPr>
          <w:t>R040</w:t>
        </w:r>
      </w:hyperlink>
      <w:r>
        <w:t xml:space="preserve">; </w:t>
      </w:r>
      <w:hyperlink r:id="rId69">
        <w:r>
          <w:rPr>
            <w:color w:val="176274"/>
            <w:u w:val="single"/>
            <w:rFonts w:ascii="DejaVu Sans" w:hAnsi="DejaVu Sans"/>
            <w:sz w:val="19"/>
          </w:rPr>
          <w:t>R062</w:t>
        </w:r>
      </w:hyperlink>
      <w:r>
        <w:t xml:space="preserve">; </w:t>
      </w:r>
      <w:hyperlink r:id="rId90">
        <w:r>
          <w:rPr>
            <w:color w:val="176274"/>
            <w:u w:val="single"/>
            <w:rFonts w:ascii="DejaVu Sans" w:hAnsi="DejaVu Sans"/>
            <w:sz w:val="19"/>
          </w:rPr>
          <w:t>R066</w:t>
        </w:r>
      </w:hyperlink>
      <w:r>
        <w:t>]</w:t>
      </w:r>
    </w:p>
    <w:p>
      <w:r>
        <w:t>Стабильность сети и правовая уверенность — разные шкалы. Item-level лицензия могла быть прочитана до последующего timeout; это не делает лицензию неизвестной, но ухудшает практическую доступность. Напротив, рабочая кнопка Download не доказывает право зеркала. verification_status и rights_confidence поэтому разделены; сохранены и ошибки файлов, и фактически прочитанные сведения.</w:t>
      </w:r>
    </w:p>
    <w:p>
      <w:pPr>
        <w:pStyle w:val="Heading1"/>
      </w:pPr>
      <w:r>
        <w:t>6. Пробелы и дальнейший поиск</w:t>
      </w:r>
    </w:p>
    <w:p>
      <w:pPr>
        <w:pStyle w:val="Heading2"/>
      </w:pPr>
      <w:r>
        <w:t>Что осталось неполным</w:t>
      </w:r>
    </w:p>
    <w:p>
      <w:r>
        <w:t>Главные предметные пробелы сосредоточены не в корневых текстах, а в комментарийных цепях. Для Prābhākara не установлен полный свободный цифровой Bṛhatī–Ṛjuvimalā; для Vaiśeṣika — надёжно идентифицированные полные Nyāyakandalī и Kiraṇāvalī, ветвь Candrānanda. Для Bhāṭṭa Mīmāṃsā требуют отдельного поиска Nyāyaratnākara, Tantraratna, Nyāyasudhā Someśvara, Tattvabindu и его комментарий. Для поздней Sāṃkhya не получены самостоятельные полные Aniruddhavṛtti и Sāṃkhyapravacanabhāṣya. Эти ограничения не означают утраты или отсутствия произведений. [G005; G006; G007; G008; G010; G011; G012]</w:t>
      </w:r>
    </w:p>
    <w:p>
      <w:r>
        <w:t>Современные научные варианты частично остались в каталожном, preview, покупном или институциональном доступе: Nyāya Jha/Angot/Dasti–Phillips, Graheli, Kataoka, Wezler–Motegi, Rukmani, Dravid, Tachikawa и Harimoto. Русские Nyāya 2001, «Лунный свет санкхьи» 1995 и перевод Praśastapāda/комментарийной традиции Лысенко 2005 подтверждались библиографически, но пригодные предметные страницы доступа не были надёжно открыты. Непроверенные зеркала этих переводов не использовались. [G003]</w:t>
      </w:r>
    </w:p>
    <w:p>
      <w:r>
        <w:t>Конкретные технические препятствия: GRETIL Bhāṭṭadīpikā 1–3 вернул 404; старый resolver факсимиле Sāṃkhyasaṃgraha — document not found; ссылки NMM/Kriti Sampada не открылись; OPenn и часть SARIT неоднократно давали timeout; приложение ИВР к «Классической йоге» не загрузилось; HathiTrust не позволил уверенно проверить все страницы. Для Harimoto Free Access предложен официально, но активный файл не извлечён. Это ошибки проверенных маршрутов, не утверждение о постоянной недоступности самих ресурсов. [G002; G004; G015; G019; G024; G026]</w:t>
      </w:r>
    </w:p>
    <w:p>
      <w:r>
        <w:t>Среди unverified_candidate и незавершённых расширений сохранены Bhāsarvajña, Tattvabindu–Tattvavibhāvanā, Haribhadra–Guṇaratna, древнеяванский Dharma Pātañjala, Frey 2023, новая публикация Vākyārthamātṛkāvṛtti и Arthasaṃgraha. Для части кандидатов есть только поисковое/каталожное указание, для других не прочитано конкретное издание. Они не считаются установленными цифровыми объектами registry. Предклассическая Sāṃkhya и широкие эпические/упанишадические параллели требуют точных testimonia и пассажей, а не общей тематической близости. [G009; G011; G013; G014; G016; G017; G020; G022; G023]</w:t>
      </w:r>
    </w:p>
    <w:p>
      <w:pPr>
        <w:pStyle w:val="Heading2"/>
      </w:pPr>
      <w:r>
        <w:t>Восемь целевых продолжений</w:t>
      </w:r>
    </w:p>
    <w:p>
      <w:r>
        <w:t>1. Prābhākara: собрать полную последовательность частей Bṛhatī–Ṛjuvimalā, отдельно от Tarkapāda 1936; сопоставить с Prakaraṇapañcikā и Bhāṣyapariśiṣṭa. Приоритет — институциональные сканы и точные границы каждой части.</w:t>
      </w:r>
    </w:p>
    <w:p>
      <w:r>
        <w:t>2. Praśastapāda и его комментаторы: установить старый титул Jha для Nyāyakandalī, полный санскрит Kiraṇāvalī и Candrānandavṛtti. Проверить, что цифровой объект содержит именно названный комментарий, а не один базовый текст.</w:t>
      </w:r>
    </w:p>
    <w:p>
      <w:r>
        <w:t>3. Bhāṭṭa Mīmāṃsā: проверить отдельные файлы Nyāyaratnākara, Tantraratna, Nyāyasudhā и Tattvabindu с их аппаратом и availability. Исправить сломанный путь Bhāṭṭadīpikā через официальный legacy/XML, не через случайное зеркало.</w:t>
      </w:r>
    </w:p>
    <w:p>
      <w:r>
        <w:t>4. Русские переводы: получить карточки РГБ/РНБ/профильных библиотек и издательские переиздания для Шохина и Лысенко; выяснить читательский доступ и легальные приложения. Не переносить разрешение на вводную статью на весь перевод.</w:t>
      </w:r>
    </w:p>
    <w:p>
      <w:r>
        <w:t>5. Поздняя Sāṃkhya: найти полный Aniruddha и Vijñānabhikṣu, восстановить факсимиле CSS 50; затем отделить даты сочинений, датировки свидетелей и даты печати. Четыре редакции Tattvasamāsa не считать четырьмя независимыми произведениями.</w:t>
      </w:r>
    </w:p>
    <w:p>
      <w:r>
        <w:t>6. Рукописи Yoga: пройти от сигл Maas 2026 к держателям и shelfmarks, найти изображения и их собственные права. Отдельно разрешить Free Access Harimoto и проверить полный Vivaraṇa без некритического отождествления его автора.</w:t>
      </w:r>
    </w:p>
    <w:p>
      <w:r>
        <w:t>7. Иноязычные и полемические передачи: уточнить право адаптации CBETA T2137, рукописный слой Kitāb Bātanjali и издательский статус Dharma Pātañjala; для Tattvasaṃgraha/Ṣaḍdarśanasamuccaya выбрать адресные разделы о пяти традициях.</w:t>
      </w:r>
    </w:p>
    <w:p>
      <w:r>
        <w:t>8. Перед публикацией ToS: для выбранных базовых файлов провести полистную/структурную проверку, закрыть component-level права, закрепить используемую версию и обязательную атрибуцию. Наличие Git или Public Domain in the USA не использовать как универсальную юридическую отметку.</w:t>
      </w:r>
    </w:p>
    <w:p>
      <w:pPr>
        <w:pStyle w:val="Heading1"/>
      </w:pPr>
      <w:r>
        <w:t>7. Итоговая оценка</w:t>
      </w:r>
    </w:p>
    <w:p>
      <w:r>
        <w:t>Корпус покрыт широко на уровне корневых произведений и основных комментарийных направлений, но не исчерпывающе на уровне всех субкомментариев и рукописей. Все центральные линии DR получили практический путь чтения, загрузки, каталога, библиотеки, preview или покупки; ограничения некоторых отдельных произведений и ветвей явно сохранены в gaps. Самая существенная асимметрия — высокая доступность санскритских e-texts при гораздо менее равномерном доступе к полным переводам и качественно описанным факсимиле.</w:t>
      </w:r>
    </w:p>
    <w:p>
      <w:r>
        <w:t>Наиболее свободный практически применимый слой — конкретные SARIT-редакции по старой основе, OPenn-свидетель с разделёнными правами на изображения/метаданные и некоммерческие GRETIL-транскрипции с прозрачным происхождением. Главные ограничения — современные критические реконструкции и аппараты, неполные электронные комментарии, неоднозначные права старых сканов в разных юрисдикциях и нестабильные предметные ссылки.</w:t>
      </w:r>
    </w:p>
    <w:p>
      <w:r>
        <w:t>Пакет пригоден для передачи Codex как исследовательский реестр: пути доступа, provenance, coverage, права и разрешённые действия разнесены; ID T2-31 и статус A сохранены. Он не является разрешением на массовое зеркалирование всех 90 записей. Для публикации сначала выбираются конкретные разрешённые слои, затем выполняются условия лицензии и проверка версии. Исходный исторический DR, настоящий отчёт и XLSX выполняют разные роли и не подменяют друг друга.</w:t>
      </w:r>
    </w:p>
    <w:sectPr w:rsidR="00FC693F" w:rsidRPr="0006063C" w:rsidSect="00034616">
      <w:headerReference w:type="default" r:id="rId9"/>
      <w:footerReference w:type="default" r:id="rId10"/>
      <w:pgSz w:w="11906" w:h="16838"/>
      <w:pgMar w:top="1020" w:right="1020" w:bottom="1020"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DejaVu Sans" w:hAnsi="DejaVu Sans"/>
        <w:color w:val="526775"/>
        <w:sz w:val="16"/>
      </w:rPr>
      <w:t xml:space="preserve">T2-31  •  04.09.2026     |     </w:t>
    </w:r>
    <w:r>
      <w:rPr>
        <w:rFonts w:ascii="DejaVu Sans" w:hAnsi="DejaVu Sans"/>
        <w:sz w:val="16"/>
      </w:rPr>
      <w:fldChar w:fldCharType="begin"/>
      <w:instrText xml:space="preserve"> PAGE </w:instrText>
      <w:fldChar w:fldCharType="separate"/>
      <w:t>1</w:t>
      <w:fldChar w:fldCharType="end"/>
    </w:r>
    <w:r>
      <w:rPr>
        <w:sz w:val="16"/>
      </w:rPr>
      <w:t xml:space="preserve"> / </w:t>
    </w:r>
    <w:r>
      <w:rPr>
        <w:rFonts w:ascii="DejaVu Sans" w:hAnsi="DejaVu Sans"/>
        <w:sz w:val="16"/>
      </w:rP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DejaVu Sans" w:hAnsi="DejaVu Sans"/>
        <w:color w:val="526775"/>
        <w:sz w:val="16"/>
      </w:rPr>
      <w:t>TREE OF SOPHIA  /  CORPUS &amp; RIGHTS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69" w:lineRule="auto"/>
    </w:pPr>
    <w:rPr>
      <w:rFonts w:ascii="DejaVu Serif" w:hAnsi="DejaVu Serif" w:cs="DejaVu Serif"/>
      <w:b w:val="0"/>
      <w:color w:val="202B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DejaVu Sans" w:hAnsi="DejaVu Sans" w:cs="DejaVu Sans"/>
      <w:b/>
      <w:bCs/>
      <w:color w:val="153F4A"/>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DejaVu Sans" w:hAnsi="DejaVu Sans" w:cs="DejaVu Sans"/>
      <w:b/>
      <w:bCs/>
      <w:color w:val="153F4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80" w:line="240" w:lineRule="auto"/>
      <w:contextualSpacing/>
    </w:pPr>
    <w:rPr>
      <w:rFonts w:asciiTheme="majorHAnsi" w:eastAsiaTheme="majorEastAsia" w:hAnsiTheme="majorHAnsi" w:cstheme="majorBidi" w:ascii="DejaVu Sans" w:hAnsi="DejaVu Sans" w:cs="DejaVu Sans"/>
      <w:b/>
      <w:color w:val="153F4A"/>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60"/>
    </w:pPr>
    <w:rPr>
      <w:rFonts w:asciiTheme="majorHAnsi" w:eastAsiaTheme="majorEastAsia" w:hAnsiTheme="majorHAnsi" w:cstheme="majorBidi" w:ascii="DejaVu Sans" w:hAnsi="DejaVu Sans" w:cs="DejaVu Sans"/>
      <w:b w:val="0"/>
      <w:i/>
      <w:iCs/>
      <w:color w:val="526775"/>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DejaVu Sans" w:hAnsi="DejaVu Sans" w:cs="DejaVu Sans"/>
      <w:b w:val="0"/>
      <w:bCs/>
      <w:color w:val="52677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sarit/SARIT-corpus/blob/master/patanjalayogasastra.xml" TargetMode="External"/><Relationship Id="rId12" Type="http://schemas.openxmlformats.org/officeDocument/2006/relationships/hyperlink" Target="https://gretil.sub.uni-goettingen.de/gretil/corpustei/transformations/html/sa_gautama-nyAyasUtra.htm" TargetMode="External"/><Relationship Id="rId13" Type="http://schemas.openxmlformats.org/officeDocument/2006/relationships/hyperlink" Target="https://gretil.sub.uni-goettingen.de/gretil/corpustei/transformations/html/sa_gautama-nyAyasUtra-comm.htm" TargetMode="External"/><Relationship Id="rId14" Type="http://schemas.openxmlformats.org/officeDocument/2006/relationships/hyperlink" Target="https://gretil.sub.uni-goettingen.de/gretil/corpustei/transformations/html/sa_gautama-nyAyasUtra-comm2.htm" TargetMode="External"/><Relationship Id="rId15" Type="http://schemas.openxmlformats.org/officeDocument/2006/relationships/hyperlink" Target="https://gretil.sub.uni-goettingen.de/gretil/corpustei/transformations/html/sa_udayana-nyAyakusumAJjali.htm" TargetMode="External"/><Relationship Id="rId16" Type="http://schemas.openxmlformats.org/officeDocument/2006/relationships/hyperlink" Target="https://gretil.sub.uni-goettingen.de/gretil/corpustei/transformations/html/sa_udayana-nyAyavArttikatAtparyaparizuddhi-1.htm" TargetMode="External"/><Relationship Id="rId17" Type="http://schemas.openxmlformats.org/officeDocument/2006/relationships/hyperlink" Target="https://www.motilalbanarsidass.com/products/the-nyaya-sutras-of-gautama-with-the-bhasya-of-vatsyayana-and-the-vartika-of-uddyotakara-set-of-4-volumes" TargetMode="External"/><Relationship Id="rId18" Type="http://schemas.openxmlformats.org/officeDocument/2006/relationships/hyperlink" Target="https://sarit.indology.info/nyayamanjari.xml?view=div" TargetMode="External"/><Relationship Id="rId19" Type="http://schemas.openxmlformats.org/officeDocument/2006/relationships/hyperlink" Target="https://gretil.sub.uni-goettingen.de/gretil/corpustei/transformations/html/sa_annaMbhaTTa-tarkasaMgraha-comm.htm" TargetMode="External"/><Relationship Id="rId20" Type="http://schemas.openxmlformats.org/officeDocument/2006/relationships/hyperlink" Target="https://books.google.com/books/about/Atmatattvaviveka_By_Udayanacarya_With_Tr.html?id=MOqT0QEACAAJ" TargetMode="External"/><Relationship Id="rId21" Type="http://schemas.openxmlformats.org/officeDocument/2006/relationships/hyperlink" Target="https://link.springer.com/book/10.1007/978-94-009-7709-9" TargetMode="External"/><Relationship Id="rId22" Type="http://schemas.openxmlformats.org/officeDocument/2006/relationships/hyperlink" Target="https://icpr.in/wp-content/uploads/2024/01/Pdf-18.pdf" TargetMode="External"/><Relationship Id="rId23" Type="http://schemas.openxmlformats.org/officeDocument/2006/relationships/hyperlink" Target="https://gretil.sub.uni-goettingen.de/gretil/corpustei/transformations/html/sa_kaNAda-vaizeSikasUtra.htm" TargetMode="External"/><Relationship Id="rId24" Type="http://schemas.openxmlformats.org/officeDocument/2006/relationships/hyperlink" Target="https://gretil.sub.uni-goettingen.de/gretil/corpustei/transformations/html/sa_prazastapAda-pAdArthadharmasaMgraha.htm" TargetMode="External"/><Relationship Id="rId25" Type="http://schemas.openxmlformats.org/officeDocument/2006/relationships/hyperlink" Target="https://search.worldcat.org/title/10685955" TargetMode="External"/><Relationship Id="rId26" Type="http://schemas.openxmlformats.org/officeDocument/2006/relationships/hyperlink" Target="https://opac.ryukoku.ac.jp/iwjs0005opc/catdbl.do?hidden_return_link=true&amp;pkey=BB21291650" TargetMode="External"/><Relationship Id="rId27" Type="http://schemas.openxmlformats.org/officeDocument/2006/relationships/hyperlink" Target="https://archive.org/details/thevaiasesikasut00kanauoft" TargetMode="External"/><Relationship Id="rId28" Type="http://schemas.openxmlformats.org/officeDocument/2006/relationships/hyperlink" Target="https://archive.org/details/saptapadarthinam00ivad" TargetMode="External"/><Relationship Id="rId29" Type="http://schemas.openxmlformats.org/officeDocument/2006/relationships/hyperlink" Target="https://gretil.sub.uni-goettingen.de/gretil/corpustei/transformations/html/sa_jaimini-mImAMsAsUtra.htm" TargetMode="External"/><Relationship Id="rId30" Type="http://schemas.openxmlformats.org/officeDocument/2006/relationships/hyperlink" Target="https://gretil.sub.uni-goettingen.de/gretil/corpustei/transformations/html/sa_jaimini-mImAMsAsUtra-1-7-comm.htm" TargetMode="External"/><Relationship Id="rId31" Type="http://schemas.openxmlformats.org/officeDocument/2006/relationships/hyperlink" Target="https://gretil.sub.uni-goettingen.de/gretil/corpustei/transformations/html/sa_kumArila-mImAMsazlokavArttika-comm.htm" TargetMode="External"/><Relationship Id="rId32" Type="http://schemas.openxmlformats.org/officeDocument/2006/relationships/hyperlink" Target="https://gretil.sub.uni-goettingen.de/gretil/corpustei/transformations/html/sa_sucaritamizra-mImAMsAzlokavArttika.htm" TargetMode="External"/><Relationship Id="rId33" Type="http://schemas.openxmlformats.org/officeDocument/2006/relationships/hyperlink" Target="https://gretil.sub.uni-goettingen.de/gretil/corpustei/transformations/html/sa_zAlikanAthamizra-prakaraNapaJcikA-comm.htm" TargetMode="External"/><Relationship Id="rId34" Type="http://schemas.openxmlformats.org/officeDocument/2006/relationships/hyperlink" Target="https://gretil.sub.uni-goettingen.de/gretil/corpustei/transformations/html/sa_pArthasArathimizra-zAstradIpikA.htm" TargetMode="External"/><Relationship Id="rId35" Type="http://schemas.openxmlformats.org/officeDocument/2006/relationships/hyperlink" Target="https://sarit.indology.info/kumarila-tantravarttika.xml?view=div" TargetMode="External"/><Relationship Id="rId36" Type="http://schemas.openxmlformats.org/officeDocument/2006/relationships/hyperlink" Target="https://opac.duls.du.ac.in/cgi-bin/koha/opac-detail.pl?biblionumber=199745" TargetMode="External"/><Relationship Id="rId37" Type="http://schemas.openxmlformats.org/officeDocument/2006/relationships/hyperlink" Target="https://gretil.sub.uni-goettingen.de/gretil/corpustei/transformations/html/sa_mAdhava-jaiminIyanyAyamAlAvistara.htm" TargetMode="External"/><Relationship Id="rId38" Type="http://schemas.openxmlformats.org/officeDocument/2006/relationships/hyperlink" Target="https://archive.org/details/in.ernet.dli.2015.68208" TargetMode="External"/><Relationship Id="rId39" Type="http://schemas.openxmlformats.org/officeDocument/2006/relationships/hyperlink" Target="https://archive.org/details/in.ernet.dli.2015.383225" TargetMode="External"/><Relationship Id="rId40" Type="http://schemas.openxmlformats.org/officeDocument/2006/relationships/hyperlink" Target="https://archive.org/details/tuptikak00kuma" TargetMode="External"/><Relationship Id="rId41" Type="http://schemas.openxmlformats.org/officeDocument/2006/relationships/hyperlink" Target="https://github.com/sarit/SARIT-corpus/blob/master/vidhiviveka-and-nyayakanika.xml" TargetMode="External"/><Relationship Id="rId42" Type="http://schemas.openxmlformats.org/officeDocument/2006/relationships/hyperlink" Target="https://archive.org/details/in.ernet.dli.2015.264213" TargetMode="External"/><Relationship Id="rId43" Type="http://schemas.openxmlformats.org/officeDocument/2006/relationships/hyperlink" Target="https://gretil.sub.uni-goettingen.de/gretil/corpustei/transformations/html/sa_IzvarakRSNa-sAMkhyakArikA-alt.htm" TargetMode="External"/><Relationship Id="rId44" Type="http://schemas.openxmlformats.org/officeDocument/2006/relationships/hyperlink" Target="https://gretil.sub.uni-goettingen.de/gretil/corpustei/transformations/html/sa_IzvarakRSNa-sAMkhyakArikA.htm" TargetMode="External"/><Relationship Id="rId45" Type="http://schemas.openxmlformats.org/officeDocument/2006/relationships/hyperlink" Target="https://gretil.sub.uni-goettingen.de/gretil/corpustei/transformations/html/sa_IzvarakRSNa-sAMkhyakArikA-comm2.htm" TargetMode="External"/><Relationship Id="rId46" Type="http://schemas.openxmlformats.org/officeDocument/2006/relationships/hyperlink" Target="https://gretil.sub.uni-goettingen.de/gretil/corpustei/transformations/html/sa_IzvarakRSNa-sAMkhyakArikA-comm.htm" TargetMode="External"/><Relationship Id="rId47" Type="http://schemas.openxmlformats.org/officeDocument/2006/relationships/hyperlink" Target="https://gretil.sub.uni-goettingen.de/gretil/corpustei/transformations/html/sa_IzvarakRSNa-sAMkhyakArikA-comm3.htm" TargetMode="External"/><Relationship Id="rId48" Type="http://schemas.openxmlformats.org/officeDocument/2006/relationships/hyperlink" Target="https://gretil.sub.uni-goettingen.de/gretil/corpustei/transformations/html/sa_yuktidIpikA.htm" TargetMode="External"/><Relationship Id="rId49" Type="http://schemas.openxmlformats.org/officeDocument/2006/relationships/hyperlink" Target="https://gretil.sub.uni-goettingen.de/gretil/corpustei/transformations/html/sa_kapila-sAMkhyasUtra.htm" TargetMode="External"/><Relationship Id="rId50" Type="http://schemas.openxmlformats.org/officeDocument/2006/relationships/hyperlink" Target="https://gretil.sub.uni-goettingen.de/gretil/corpustei/transformations/html/sa_tattvasamAsa-4versions.htm" TargetMode="External"/><Relationship Id="rId51" Type="http://schemas.openxmlformats.org/officeDocument/2006/relationships/hyperlink" Target="https://gretil.sub.uni-goettingen.de/gretil/corpustei/transformations/html/sa_vijJAnabhikSu-sAMkhyasAra.htm" TargetMode="External"/><Relationship Id="rId52" Type="http://schemas.openxmlformats.org/officeDocument/2006/relationships/hyperlink" Target="https://archive.org/details/anenglishtransla00vaacuoft" TargetMode="External"/><Relationship Id="rId53" Type="http://schemas.openxmlformats.org/officeDocument/2006/relationships/hyperlink" Target="https://gretil.sub.uni-goettingen.de/gretil/corpustei/transformations/html/sa_bhAvAgaNeza-tattvayAthArthyadIpana.htm" TargetMode="External"/><Relationship Id="rId54" Type="http://schemas.openxmlformats.org/officeDocument/2006/relationships/hyperlink" Target="https://gretil.sub.uni-goettingen.de/gretil/corpustei/transformations/html/sa_kavirAjayati-sAMkhyatattvapradIpa.htm" TargetMode="External"/><Relationship Id="rId55" Type="http://schemas.openxmlformats.org/officeDocument/2006/relationships/hyperlink" Target="https://gretil.sub.uni-goettingen.de/gretil/corpustei/transformations/html/sa_kezava-sAMkhyatattvapradIpikA.htm" TargetMode="External"/><Relationship Id="rId56" Type="http://schemas.openxmlformats.org/officeDocument/2006/relationships/hyperlink" Target="https://gretil.sub.uni-goettingen.de/gretil/corpustei/transformations/html/sa_sAMkhyaparibhASA.htm" TargetMode="External"/><Relationship Id="rId57" Type="http://schemas.openxmlformats.org/officeDocument/2006/relationships/hyperlink" Target="https://gretil.sub.uni-goettingen.de/gretil/corpustei/transformations/html/sa_sAMkhyasUtravivaraNa.htm" TargetMode="External"/><Relationship Id="rId58" Type="http://schemas.openxmlformats.org/officeDocument/2006/relationships/hyperlink" Target="https://gretil.sub.uni-goettingen.de/gretil/corpustei/transformations/html/sa_sarvopakAriNI.htm" TargetMode="External"/><Relationship Id="rId59" Type="http://schemas.openxmlformats.org/officeDocument/2006/relationships/hyperlink" Target="https://gretil.sub.uni-goettingen.de/gretil/corpustei/transformations/html/sa_SimAnanda-sAMkhyatattvavivecana.htm" TargetMode="External"/><Relationship Id="rId60" Type="http://schemas.openxmlformats.org/officeDocument/2006/relationships/hyperlink" Target="https://gretil.sub.uni-goettingen.de/gretil/corpustei/transformations/html/sa_tattvamImAMsA.htm" TargetMode="External"/><Relationship Id="rId61" Type="http://schemas.openxmlformats.org/officeDocument/2006/relationships/hyperlink" Target="https://gretil.sub.uni-goettingen.de/gretil/corpustei/transformations/html/sa_tattvasamAsasUtravRtti.htm" TargetMode="External"/><Relationship Id="rId62" Type="http://schemas.openxmlformats.org/officeDocument/2006/relationships/hyperlink" Target="https://gretil.sub.uni-goettingen.de/gretil/corpustei/transformations/html/sa_pataJjali-yogasUtra-with-bhASya.htm" TargetMode="External"/><Relationship Id="rId63" Type="http://schemas.openxmlformats.org/officeDocument/2006/relationships/hyperlink" Target="https://github.com/sarit/SARIT-corpus/blob/master/bhoja-rajamartanda.xml" TargetMode="External"/><Relationship Id="rId64" Type="http://schemas.openxmlformats.org/officeDocument/2006/relationships/hyperlink" Target="https://orca.cardiff.ac.uk/id/eprint/187493/" TargetMode="External"/><Relationship Id="rId65" Type="http://schemas.openxmlformats.org/officeDocument/2006/relationships/hyperlink" Target="https://openn.library.upenn.edu/Data/0002/html/mscoll390_item249.html" TargetMode="External"/><Relationship Id="rId66" Type="http://schemas.openxmlformats.org/officeDocument/2006/relationships/hyperlink" Target="https://archive.org/details/yogasystemofpata00wooduoft" TargetMode="External"/><Relationship Id="rId67" Type="http://schemas.openxmlformats.org/officeDocument/2006/relationships/hyperlink" Target="https://www.orientalstudies.ru/rus/index.php?Itemid=75&amp;option=com_publications&amp;pub=427" TargetMode="External"/><Relationship Id="rId68" Type="http://schemas.openxmlformats.org/officeDocument/2006/relationships/hyperlink" Target="https://us.macmillan.com/books/9781429995986/theyogasutrasofpatanyjali/" TargetMode="External"/><Relationship Id="rId69" Type="http://schemas.openxmlformats.org/officeDocument/2006/relationships/hyperlink" Target="https://wellcomecollection.org/works/yt34dfxb" TargetMode="External"/><Relationship Id="rId70" Type="http://schemas.openxmlformats.org/officeDocument/2006/relationships/hyperlink" Target="https://tlayt.org/how-to-use-the-yoga-sutras-for-yoga-practice/" TargetMode="External"/><Relationship Id="rId71" Type="http://schemas.openxmlformats.org/officeDocument/2006/relationships/hyperlink" Target="https://www.bibliaimpex.com/index.php?Field=bookcode&amp;String=9783945151006&amp;format=fullpage&amp;p=sr" TargetMode="External"/><Relationship Id="rId72" Type="http://schemas.openxmlformats.org/officeDocument/2006/relationships/hyperlink" Target="https://archive.org/details/sankhyaaphorisms032069mbp" TargetMode="External"/><Relationship Id="rId73" Type="http://schemas.openxmlformats.org/officeDocument/2006/relationships/hyperlink" Target="https://nyupress.org/9781479804139/the-yoga-sutras-of-patanyjali/" TargetMode="External"/><Relationship Id="rId74" Type="http://schemas.openxmlformats.org/officeDocument/2006/relationships/hyperlink" Target="https://www.libraryofarabicliterature.org/books/9781479804139/the-yoga-sutras-of-patanyjali/" TargetMode="External"/><Relationship Id="rId75" Type="http://schemas.openxmlformats.org/officeDocument/2006/relationships/hyperlink" Target="https://github.com/cbeta-org/xml-p5/blob/master/T/T54/T54n2137.xml" TargetMode="External"/><Relationship Id="rId76" Type="http://schemas.openxmlformats.org/officeDocument/2006/relationships/hyperlink" Target="https://www.gutenberg.org/ebooks/34125" TargetMode="External"/><Relationship Id="rId77" Type="http://schemas.openxmlformats.org/officeDocument/2006/relationships/hyperlink" Target="https://gretil.sub.uni-goettingen.de/gretil/corpustei/transformations/html/sa_gAGgeza-tattvacintAmaNizabdakhANDa.htm" TargetMode="External"/><Relationship Id="rId78" Type="http://schemas.openxmlformats.org/officeDocument/2006/relationships/hyperlink" Target="https://gretil.sub.uni-goettingen.de/gretil/corpustei/transformations/html/sa_vyAsatIrtha-tarkatANDava-comm.htm" TargetMode="External"/><Relationship Id="rId79" Type="http://schemas.openxmlformats.org/officeDocument/2006/relationships/hyperlink" Target="https://github.com/sarit/SARIT-corpus/blob/master/sarvadarsanasangraha.xml" TargetMode="External"/><Relationship Id="rId80" Type="http://schemas.openxmlformats.org/officeDocument/2006/relationships/hyperlink" Target="https://gretil.sub.uni-goettingen.de/gretil/corpustei/transformations/html/sa_bhartRhari-vAkyapadIya.htm" TargetMode="External"/><Relationship Id="rId81" Type="http://schemas.openxmlformats.org/officeDocument/2006/relationships/hyperlink" Target="https://gretil.sub.uni-goettingen.de/gretil/corpustei/transformations/html/sa_ratnakIrti-vAdarahasya.htm" TargetMode="External"/><Relationship Id="rId82" Type="http://schemas.openxmlformats.org/officeDocument/2006/relationships/hyperlink" Target="https://github.com/sarit/SARIT-corpus/blob/master/nyayavarttikatatparyatika.xml" TargetMode="External"/><Relationship Id="rId83" Type="http://schemas.openxmlformats.org/officeDocument/2006/relationships/hyperlink" Target="https://vc.bridgew.edu/fac_books/167/" TargetMode="External"/><Relationship Id="rId84" Type="http://schemas.openxmlformats.org/officeDocument/2006/relationships/hyperlink" Target="https://www.lesbelleslettres.com/livre/9782251720517/l-art-de-conduire-la-pensee-en-inde-ancienne" TargetMode="External"/><Relationship Id="rId85" Type="http://schemas.openxmlformats.org/officeDocument/2006/relationships/hyperlink" Target="https://www.oeaw.ac.at/en/ikga/publikationen/reihen/beitraege-zur-kultur-und-geistesgeschichte-asiens-bkga/nyayamanjari" TargetMode="External"/><Relationship Id="rId86" Type="http://schemas.openxmlformats.org/officeDocument/2006/relationships/hyperlink" Target="https://catalog.hathitrust.org/Record/102962652" TargetMode="External"/><Relationship Id="rId87" Type="http://schemas.openxmlformats.org/officeDocument/2006/relationships/hyperlink" Target="https://archive.org/details/in.ernet.dli.2015.70523" TargetMode="External"/><Relationship Id="rId88" Type="http://schemas.openxmlformats.org/officeDocument/2006/relationships/hyperlink" Target="https://archive.org/details/in.gov.ignca.8000" TargetMode="External"/><Relationship Id="rId89" Type="http://schemas.openxmlformats.org/officeDocument/2006/relationships/hyperlink" Target="https://archive.org/details/in.ernet.dli.2015.282804" TargetMode="External"/><Relationship Id="rId90" Type="http://schemas.openxmlformats.org/officeDocument/2006/relationships/hyperlink" Target="https://opac.duls.du.ac.in/cgi-bin/koha/opac-detail.pl?biblionumber=199750&amp;query_desc=au%3A%22+Jha+Ganganath++%22" TargetMode="External"/><Relationship Id="rId91" Type="http://schemas.openxmlformats.org/officeDocument/2006/relationships/hyperlink" Target="https://archive.org/details/cu31924022991818" TargetMode="External"/><Relationship Id="rId92" Type="http://schemas.openxmlformats.org/officeDocument/2006/relationships/hyperlink" Target="https://hansel-library.info/view_metadata/kumArilabhaTTa_zlokavArtika.html" TargetMode="External"/><Relationship Id="rId93" Type="http://schemas.openxmlformats.org/officeDocument/2006/relationships/hyperlink" Target="https://www.oeaw.ac.at/en/ikga/publikationen/reihen/beitraege-zur-kultur-und-geistesgeschichte-asiens-bkga/kumarila-on-truth-omniscience-and-killing" TargetMode="External"/><Relationship Id="rId94" Type="http://schemas.openxmlformats.org/officeDocument/2006/relationships/hyperlink" Target="https://archive.org/details/in.ernet.dli.2015.282920" TargetMode="External"/><Relationship Id="rId95" Type="http://schemas.openxmlformats.org/officeDocument/2006/relationships/hyperlink" Target="https://archive.org/details/in.ernet.dli.2015.24676" TargetMode="External"/><Relationship Id="rId96" Type="http://schemas.openxmlformats.org/officeDocument/2006/relationships/hyperlink" Target="https://books.google.com/books/about/Yuktid%C4%ABpik%C4%81.html?id=Vs3LyaFziVkC" TargetMode="External"/><Relationship Id="rId97" Type="http://schemas.openxmlformats.org/officeDocument/2006/relationships/hyperlink" Target="https://github.com/sarit/SARIT-corpu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ToS Corpus &amp; Rights Registry — T2-31</dc:title>
  <dc:subject>Даршаны как комментарийные экологии: корпус, доступ и права</dc:subject>
  <dc:creator>ToS / Древо Софии</dc:creator>
  <cp:keywords>T2-31, Nyāya, Vaiśeṣika, Mīmāṃsā, Sāṃkhya, Yoga, corpus, rights</cp:keywords>
  <dc:description>Отдельный исследовательский пакет; исходный DR не изменён.</dc:description>
  <cp:lastModifiedBy/>
  <cp:revision>1</cp:revision>
  <dcterms:created xsi:type="dcterms:W3CDTF">2013-12-23T23:15:00Z</dcterms:created>
  <dcterms:modified xsi:type="dcterms:W3CDTF">2013-12-23T23:15:00Z</dcterms:modified>
  <cp:category/>
</cp:coreProperties>
</file>