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ToS Corpus &amp; Rights Registry</w:t>
      </w:r>
    </w:p>
    <w:p>
      <w:r>
        <w:rPr>
          <w:b/>
          <w:sz w:val="30"/>
        </w:rPr>
        <w:t>T2-20 — Каббала как метафизико-мистический письменный узел</w:t>
      </w:r>
    </w:p>
    <w:p>
      <w:pPr>
        <w:pStyle w:val="Caption"/>
      </w:pPr>
      <w:r>
        <w:t>Исследовательский отчёт • 94 маршрута доступа • 25 записей о пробелах</w:t>
      </w:r>
    </w:p>
    <w:p>
      <w:r>
        <w:t>Результат — карта законных входов в тексты и их версии, а не готовое разрешение на массовое зеркалирование. Наиболее существенная открытая находка — лицензированный перевод Нахманида; наиболее заметный технический предел — неполученные тела текстов ряда динамических каталогов.</w:t>
      </w:r>
    </w:p>
    <w:p>
      <w:pPr>
        <w:pStyle w:val="Heading1"/>
      </w:pPr>
      <w:r>
        <w:t>1. Паспорт</w:t>
      </w:r>
    </w:p>
    <w:tbl>
      <w:tblPr>
        <w:tblW w:type="auto" w:w="0"/>
        <w:tblLayout w:type="fixed"/>
        <w:tblLook w:firstColumn="1" w:firstRow="1" w:lastColumn="0" w:lastRow="0" w:noHBand="0" w:noVBand="1" w:val="04A0"/>
      </w:tblPr>
      <w:tblGrid>
        <w:gridCol w:w="4819"/>
        <w:gridCol w:w="4819"/>
      </w:tblGrid>
      <w:tr>
        <w:trPr>
          <w:cantSplit/>
          <w:tblHeader/>
        </w:trPr>
        <w:tc>
          <w:tcPr>
            <w:tcW w:type="dxa" w:w="2268"/>
            <w:shd w:fill="173B4D"/>
          </w:tcPr>
          <w:p>
            <w:pPr>
              <w:spacing w:after="80" w:before="80"/>
            </w:pPr>
            <w:r>
              <w:rPr>
                <w:b/>
                <w:color w:val="FFFFFF"/>
                <w:sz w:val="19"/>
              </w:rPr>
              <w:t>Параметр</w:t>
            </w:r>
          </w:p>
        </w:tc>
        <w:tc>
          <w:tcPr>
            <w:tcW w:type="dxa" w:w="7257"/>
            <w:shd w:fill="173B4D"/>
          </w:tcPr>
          <w:p>
            <w:pPr>
              <w:spacing w:after="80" w:before="80"/>
            </w:pPr>
            <w:r>
              <w:rPr>
                <w:b/>
                <w:color w:val="FFFFFF"/>
                <w:sz w:val="19"/>
              </w:rPr>
              <w:t>Значение</w:t>
            </w:r>
          </w:p>
        </w:tc>
      </w:tr>
      <w:tr>
        <w:trPr>
          <w:cantSplit/>
        </w:trPr>
        <w:tc>
          <w:tcPr>
            <w:tcW w:type="dxa" w:w="2268"/>
          </w:tcPr>
          <w:p>
            <w:pPr>
              <w:spacing w:after="80" w:before="80"/>
            </w:pPr>
            <w:r>
              <w:rPr>
                <w:sz w:val="19"/>
              </w:rPr>
              <w:t>Строка и статус</w:t>
            </w:r>
          </w:p>
        </w:tc>
        <w:tc>
          <w:tcPr>
            <w:tcW w:type="dxa" w:w="7257"/>
          </w:tcPr>
          <w:p>
            <w:pPr>
              <w:spacing w:after="80" w:before="80"/>
            </w:pPr>
            <w:r>
              <w:rPr>
                <w:sz w:val="19"/>
              </w:rPr>
              <w:t>T2-20; исходный статус B, уверенность 3/5 — без изменений</w:t>
            </w:r>
          </w:p>
        </w:tc>
      </w:tr>
      <w:tr>
        <w:trPr>
          <w:cantSplit/>
        </w:trPr>
        <w:tc>
          <w:tcPr>
            <w:tcW w:type="dxa" w:w="2268"/>
            <w:shd w:fill="EEF4F5"/>
          </w:tcPr>
          <w:p>
            <w:pPr>
              <w:spacing w:after="80" w:before="80"/>
            </w:pPr>
            <w:r>
              <w:rPr>
                <w:sz w:val="19"/>
              </w:rPr>
              <w:t>Исторические границы</w:t>
            </w:r>
          </w:p>
        </w:tc>
        <w:tc>
          <w:tcPr>
            <w:tcW w:type="dxa" w:w="7257"/>
            <w:shd w:fill="EEF4F5"/>
          </w:tcPr>
          <w:p>
            <w:pPr>
              <w:spacing w:after="80" w:before="80"/>
            </w:pPr>
            <w:r>
              <w:rPr>
                <w:sz w:val="19"/>
              </w:rPr>
              <w:t>Формирование XI–XIII вв.; фиксация/передача XII–XIV вв.; канонизация/комментарий XIII–XV вв.</w:t>
            </w:r>
          </w:p>
        </w:tc>
      </w:tr>
      <w:tr>
        <w:trPr>
          <w:cantSplit/>
        </w:trPr>
        <w:tc>
          <w:tcPr>
            <w:tcW w:type="dxa" w:w="2268"/>
          </w:tcPr>
          <w:p>
            <w:pPr>
              <w:spacing w:after="80" w:before="80"/>
            </w:pPr>
            <w:r>
              <w:rPr>
                <w:sz w:val="19"/>
              </w:rPr>
              <w:t>Фокус исходного DR</w:t>
            </w:r>
          </w:p>
        </w:tc>
        <w:tc>
          <w:tcPr>
            <w:tcW w:type="dxa" w:w="7257"/>
          </w:tcPr>
          <w:p>
            <w:pPr>
              <w:spacing w:after="80" w:before="80"/>
            </w:pPr>
            <w:r>
              <w:rPr>
                <w:sz w:val="19"/>
              </w:rPr>
              <w:t>Аналитическое ядро около 1150–1350; средневековая рецепция до XV в.</w:t>
            </w:r>
          </w:p>
        </w:tc>
      </w:tr>
      <w:tr>
        <w:trPr>
          <w:cantSplit/>
        </w:trPr>
        <w:tc>
          <w:tcPr>
            <w:tcW w:type="dxa" w:w="2268"/>
            <w:shd w:fill="EEF4F5"/>
          </w:tcPr>
          <w:p>
            <w:pPr>
              <w:spacing w:after="80" w:before="80"/>
            </w:pPr>
            <w:r>
              <w:rPr>
                <w:sz w:val="19"/>
              </w:rPr>
              <w:t>Дата проверки</w:t>
            </w:r>
          </w:p>
        </w:tc>
        <w:tc>
          <w:tcPr>
            <w:tcW w:type="dxa" w:w="7257"/>
            <w:shd w:fill="EEF4F5"/>
          </w:tcPr>
          <w:p>
            <w:pPr>
              <w:spacing w:after="80" w:before="80"/>
            </w:pPr>
            <w:r>
              <w:rPr>
                <w:sz w:val="19"/>
              </w:rPr>
              <w:t>4 сентября 2026 года</w:t>
            </w:r>
          </w:p>
        </w:tc>
      </w:tr>
      <w:tr>
        <w:trPr>
          <w:cantSplit/>
        </w:trPr>
        <w:tc>
          <w:tcPr>
            <w:tcW w:type="dxa" w:w="2268"/>
          </w:tcPr>
          <w:p>
            <w:pPr>
              <w:spacing w:after="80" w:before="80"/>
            </w:pPr>
            <w:r>
              <w:rPr>
                <w:sz w:val="19"/>
              </w:rPr>
              <w:t>Поставка</w:t>
            </w:r>
          </w:p>
        </w:tc>
        <w:tc>
          <w:tcPr>
            <w:tcW w:type="dxa" w:w="7257"/>
          </w:tcPr>
          <w:p>
            <w:pPr>
              <w:spacing w:after="80" w:before="80"/>
            </w:pPr>
            <w:r>
              <w:rPr>
                <w:sz w:val="19"/>
              </w:rPr>
              <w:t>Один XLSX: registry + gaps; настоящий DOCX</w:t>
            </w:r>
          </w:p>
        </w:tc>
      </w:tr>
    </w:tbl>
    <w:p>
      <w:r>
        <w:t>Основание: приложенный «ToS Deep Research: T2-20 — Каббала как метафизико-мистический письменный узел» (локальное имя заканчивается на «узел(1).docx»). Из него извлечены корпуса, авторские группы, языки и направления передачи. Исторические границы и спорные атрибуции сохранены; найденные поздние тексты не меняют мастер-строку.</w:t>
      </w:r>
    </w:p>
    <w:p>
      <w:r>
        <w:t>Ядро: Sefer Yetzirah и его каббалистическое прочтение, Bahir, ранние комментарии, круги Жироны, Нахманид, пророческая каббала Абулафии, авторская кастильская теософия и многослойная зогарическая литература. Поиск велся по английским, ивритским, русским, французским, немецким, итальянским и латинским названиям и формам имён; арамейские названия искались еврейским письмом и в транслитерации.</w:t>
      </w:r>
    </w:p>
    <w:p>
      <w:r>
        <w:t>Искались полные тексты и части, отдельные переводы и критические издания, конкретные рукописи и старопечатные экземпляры, изображения, электронные транскрипции, выгрузки и IIIF. Для доступа использованы издательские страницы, университетские репозитории, Wikisource, Sefaria, Internet Archive, Google Books, e-rara, библиотечные и музейные каталоги. Для идентификации приоритет имели издатели и учреждения; для прав — уведомления конкретного объекта, официальные лицензии и применимые условия проекта.</w:t>
      </w:r>
    </w:p>
    <w:p>
      <w:r>
        <w:t xml:space="preserve">Ссылки </w:t>
      </w:r>
      <w:hyperlink r:id="rId11">
        <w:r>
          <w:rPr>
            <w:color w:val="16727B"/>
            <w:u w:val="single"/>
          </w:rPr>
          <w:t>R001</w:t>
        </w:r>
      </w:hyperlink>
      <w:r>
        <w:t>–</w:t>
      </w:r>
      <w:hyperlink r:id="rId12">
        <w:r>
          <w:rPr>
            <w:color w:val="16727B"/>
            <w:u w:val="single"/>
          </w:rPr>
          <w:t>R094</w:t>
        </w:r>
      </w:hyperlink>
      <w:r>
        <w:t xml:space="preserve"> в отчёте — сокращённые record_id таблицы (полный вид: T2-20-</w:t>
      </w:r>
      <w:hyperlink r:id="rId11">
        <w:r>
          <w:rPr>
            <w:color w:val="16727B"/>
            <w:u w:val="single"/>
          </w:rPr>
          <w:t>R001</w:t>
        </w:r>
      </w:hyperlink>
      <w:r>
        <w:t>). Они ведут к страницам доступа; правовые доказательства отдельно сохранены в rights_evidence_url. G001–G025 относятся к листу gaps. Пустое поле прямой загрузки означает отсутствие проверенного адреса, а не отсутствие самого текста. Поля access_mode следует читать вместе с verification_status: возможность, заявленная официальным сайтом, не всегда была технически воспроизведена.</w:t>
      </w:r>
    </w:p>
    <w:p>
      <w:r>
        <w:t>Wikipedia не использована в итоговых ссылках или доказательствах. Неподтверждённый кандидат Bahir, BSB Cod. hebr. 209 оставлен в G002; сведения о конкретном свидетеле не перенесены в основной реестр без проверки официальной карточки. Другие слабые поисковые подсказки заменены институциональными источниками либо сохранены как вопросы, а не установленные факты.</w:t>
      </w:r>
    </w:p>
    <w:p>
      <w:pPr>
        <w:pStyle w:val="Heading1"/>
      </w:pPr>
      <w:r>
        <w:t>2. Охват корпуса</w:t>
      </w:r>
    </w:p>
    <w:p>
      <w:pPr>
        <w:pStyle w:val="Heading2"/>
      </w:pPr>
      <w:r>
        <w:t>Исходное ядро и добавления веб-поиска</w:t>
      </w:r>
    </w:p>
    <w:p>
      <w:r>
        <w:t>DR задавал Sefer Yetzirah, Bahir, раннюю комментаторскую традицию, Нахманида, Абулафию, Shaʿarei Orah, авторский корпус де Леона, Зогар, Tikkunei Zohar и Raʿaya Meheimna. Он также называл Иосифа из Хамадана, Давида бен Иуды ха-Хасида, визуальные ilanot, Sefaria и Ktiv. Эти группы получили конкретные записи доступа либо предметные пробелы; для Абулафии и ранних авторов полная инвентаризация произведений ещё не завершена.</w:t>
      </w:r>
    </w:p>
    <w:p>
      <w:r>
        <w:t>Веб-поиск конкретизировал авторские массивы: Sefer ha-Rimmon, Shekel ha-Qodesh и Mishkan ha-Edut де Леона; Ginnat Egoz и Shaʿarei Tzedek Гикатиллы; The Book of Mirrors Давида; фрагмент комментария на Бытие Иосифа из Хамадана; пять отдельных заглавий Абулафии. Добавлены Iggeret ha-Qodesh, Sefer ha-Temunah, Maʿarekhet ha-Elokut и первичные антологии. Для них сохранены различия между полной книгой, фрагментом, английским введением и собственно переводом. [</w:t>
      </w:r>
      <w:hyperlink r:id="rId13">
        <w:r>
          <w:rPr>
            <w:color w:val="16727B"/>
            <w:u w:val="single"/>
          </w:rPr>
          <w:t>R017</w:t>
        </w:r>
      </w:hyperlink>
      <w:r>
        <w:t>–</w:t>
      </w:r>
      <w:hyperlink r:id="rId14">
        <w:r>
          <w:rPr>
            <w:color w:val="16727B"/>
            <w:u w:val="single"/>
          </w:rPr>
          <w:t>R020</w:t>
        </w:r>
      </w:hyperlink>
      <w:r>
        <w:t xml:space="preserve">, </w:t>
      </w:r>
      <w:hyperlink r:id="rId15">
        <w:r>
          <w:rPr>
            <w:color w:val="16727B"/>
            <w:u w:val="single"/>
          </w:rPr>
          <w:t>R032</w:t>
        </w:r>
      </w:hyperlink>
      <w:r>
        <w:t>–</w:t>
      </w:r>
      <w:hyperlink r:id="rId16">
        <w:r>
          <w:rPr>
            <w:color w:val="16727B"/>
            <w:u w:val="single"/>
          </w:rPr>
          <w:t>R050</w:t>
        </w:r>
      </w:hyperlink>
      <w:r>
        <w:t xml:space="preserve">, </w:t>
      </w:r>
      <w:hyperlink r:id="rId17">
        <w:r>
          <w:rPr>
            <w:color w:val="16727B"/>
            <w:u w:val="single"/>
          </w:rPr>
          <w:t>R071</w:t>
        </w:r>
      </w:hyperlink>
      <w:r>
        <w:t>–</w:t>
      </w:r>
      <w:hyperlink r:id="rId18">
        <w:r>
          <w:rPr>
            <w:color w:val="16727B"/>
            <w:u w:val="single"/>
          </w:rPr>
          <w:t>R072</w:t>
        </w:r>
      </w:hyperlink>
      <w:r>
        <w:t xml:space="preserve">, </w:t>
      </w:r>
      <w:hyperlink r:id="rId19">
        <w:r>
          <w:rPr>
            <w:color w:val="16727B"/>
            <w:u w:val="single"/>
          </w:rPr>
          <w:t>R079</w:t>
        </w:r>
      </w:hyperlink>
      <w:r>
        <w:t xml:space="preserve">, </w:t>
      </w:r>
      <w:hyperlink r:id="rId20">
        <w:r>
          <w:rPr>
            <w:color w:val="16727B"/>
            <w:u w:val="single"/>
          </w:rPr>
          <w:t>R084</w:t>
        </w:r>
      </w:hyperlink>
      <w:r>
        <w:t>]</w:t>
      </w:r>
    </w:p>
    <w:p>
      <w:pPr>
        <w:pStyle w:val="Heading2"/>
      </w:pPr>
      <w:r>
        <w:t>Поиск назад</w:t>
      </w:r>
    </w:p>
    <w:p>
      <w:r>
        <w:t>Sefer Yetzirah включён как прямой полученный текст, а не как произведение средневекового происхождения. Его старая ивритская версия, современное критическое издание и перевод Westcott — разные объекты доступа. Комментарий Саадии представляет докаббалистическую линию интерпретации; Sefaria-заглавие Rasag не отождествлено без проверки с подлинным иудео-арабским текстом. [</w:t>
      </w:r>
      <w:hyperlink r:id="rId11">
        <w:r>
          <w:rPr>
            <w:color w:val="16727B"/>
            <w:u w:val="single"/>
          </w:rPr>
          <w:t>R001</w:t>
        </w:r>
      </w:hyperlink>
      <w:r>
        <w:t>–</w:t>
      </w:r>
      <w:hyperlink r:id="rId21">
        <w:r>
          <w:rPr>
            <w:color w:val="16727B"/>
            <w:u w:val="single"/>
          </w:rPr>
          <w:t>R004</w:t>
        </w:r>
      </w:hyperlink>
      <w:r>
        <w:t xml:space="preserve">, </w:t>
      </w:r>
      <w:hyperlink r:id="rId22">
        <w:r>
          <w:rPr>
            <w:color w:val="16727B"/>
            <w:u w:val="single"/>
          </w:rPr>
          <w:t>R029</w:t>
        </w:r>
      </w:hyperlink>
      <w:r>
        <w:t xml:space="preserve">, </w:t>
      </w:r>
      <w:hyperlink r:id="rId23">
        <w:r>
          <w:rPr>
            <w:color w:val="16727B"/>
            <w:u w:val="single"/>
          </w:rPr>
          <w:t>R039</w:t>
        </w:r>
      </w:hyperlink>
      <w:r>
        <w:t xml:space="preserve">, </w:t>
      </w:r>
      <w:hyperlink r:id="rId24">
        <w:r>
          <w:rPr>
            <w:color w:val="16727B"/>
            <w:u w:val="single"/>
          </w:rPr>
          <w:t>R085</w:t>
        </w:r>
      </w:hyperlink>
      <w:r>
        <w:t>; G003]</w:t>
      </w:r>
    </w:p>
    <w:p>
      <w:r>
        <w:t>Heikhalot Rabbati и еврейская книга Еноха (3 Enoch) добавлены как конкретные представители предшествующего мистико-эзотерического поля, названного в DR. Это не два названия одной книги и не доказательство прямого заимствования каждого их мотива Зогаром. «Путеводитель растерянных» Маймонида включён из-за обозначенной в DR связи с пророческой эпистемологией Абулафии и полемикой каббалистов, а не ради общей библиографии еврейской философии. [</w:t>
      </w:r>
      <w:hyperlink r:id="rId25">
        <w:r>
          <w:rPr>
            <w:color w:val="16727B"/>
            <w:u w:val="single"/>
          </w:rPr>
          <w:t>R043</w:t>
        </w:r>
      </w:hyperlink>
      <w:r>
        <w:t xml:space="preserve">, </w:t>
      </w:r>
      <w:hyperlink r:id="rId26">
        <w:r>
          <w:rPr>
            <w:color w:val="16727B"/>
            <w:u w:val="single"/>
          </w:rPr>
          <w:t>R062</w:t>
        </w:r>
      </w:hyperlink>
      <w:r>
        <w:t xml:space="preserve">, </w:t>
      </w:r>
      <w:hyperlink r:id="rId27">
        <w:r>
          <w:rPr>
            <w:color w:val="16727B"/>
            <w:u w:val="single"/>
          </w:rPr>
          <w:t>R068</w:t>
        </w:r>
      </w:hyperlink>
      <w:r>
        <w:t>]</w:t>
      </w:r>
    </w:p>
    <w:p>
      <w:pPr>
        <w:pStyle w:val="Heading2"/>
      </w:pPr>
      <w:r>
        <w:t>Поиск вперёд</w:t>
      </w:r>
    </w:p>
    <w:p>
      <w:r>
        <w:t>Поздний контур прослежен по конкретным функциям: Chadash сохраняет и перегруппировывает зогарический материал; Recanati передаёт его в комментарии к Торе; Pardes Rimmonim, Or Neʿerav и Tomer Devorah Кордоверо систематизируют и этически перерабатывают сефиротическую традицию. Shaʿar Maʾamarei Rashbi представляет прямой лурианский комментарий к зогарическим текстам, а не основание включить сюда весь корпус Лурии. [</w:t>
      </w:r>
      <w:hyperlink r:id="rId28">
        <w:r>
          <w:rPr>
            <w:color w:val="16727B"/>
            <w:u w:val="single"/>
          </w:rPr>
          <w:t>R011</w:t>
        </w:r>
      </w:hyperlink>
      <w:r>
        <w:t xml:space="preserve">, </w:t>
      </w:r>
      <w:hyperlink r:id="rId29">
        <w:r>
          <w:rPr>
            <w:color w:val="16727B"/>
            <w:u w:val="single"/>
          </w:rPr>
          <w:t>R015</w:t>
        </w:r>
      </w:hyperlink>
      <w:r>
        <w:t>–</w:t>
      </w:r>
      <w:hyperlink r:id="rId30">
        <w:r>
          <w:rPr>
            <w:color w:val="16727B"/>
            <w:u w:val="single"/>
          </w:rPr>
          <w:t>R016</w:t>
        </w:r>
      </w:hyperlink>
      <w:r>
        <w:t xml:space="preserve">, </w:t>
      </w:r>
      <w:hyperlink r:id="rId31">
        <w:r>
          <w:rPr>
            <w:color w:val="16727B"/>
            <w:u w:val="single"/>
          </w:rPr>
          <w:t>R041</w:t>
        </w:r>
      </w:hyperlink>
      <w:r>
        <w:t xml:space="preserve">, </w:t>
      </w:r>
      <w:hyperlink r:id="rId32">
        <w:r>
          <w:rPr>
            <w:color w:val="16727B"/>
            <w:u w:val="single"/>
          </w:rPr>
          <w:t>R061</w:t>
        </w:r>
      </w:hyperlink>
      <w:r>
        <w:t xml:space="preserve">, </w:t>
      </w:r>
      <w:hyperlink r:id="rId33">
        <w:r>
          <w:rPr>
            <w:color w:val="16727B"/>
            <w:u w:val="single"/>
          </w:rPr>
          <w:t>R069</w:t>
        </w:r>
      </w:hyperlink>
      <w:r>
        <w:t>–</w:t>
      </w:r>
      <w:hyperlink r:id="rId34">
        <w:r>
          <w:rPr>
            <w:color w:val="16727B"/>
            <w:u w:val="single"/>
          </w:rPr>
          <w:t>R070</w:t>
        </w:r>
      </w:hyperlink>
      <w:r>
        <w:t xml:space="preserve">, </w:t>
      </w:r>
      <w:hyperlink r:id="rId35">
        <w:r>
          <w:rPr>
            <w:color w:val="16727B"/>
            <w:u w:val="single"/>
          </w:rPr>
          <w:t>R080</w:t>
        </w:r>
      </w:hyperlink>
      <w:r>
        <w:t>–</w:t>
      </w:r>
      <w:hyperlink r:id="rId36">
        <w:r>
          <w:rPr>
            <w:color w:val="16727B"/>
            <w:u w:val="single"/>
          </w:rPr>
          <w:t>R081</w:t>
        </w:r>
      </w:hyperlink>
      <w:r>
        <w:t>]</w:t>
      </w:r>
    </w:p>
    <w:p>
      <w:r>
        <w:t>Ketem Paz, Ohr ha-Chammah, Mikdash Melekh, комментарий Виленского Гаона к Sifra de-Tzniuta и Sulam отобраны как непосредственная комментарийная линия Зогара. Mitpachat Sefarim — полемический текст о его составе и авторитете. Латинские Portae Lucis, переводы Митридата, Kabbala denudata и De arte cabalistica нужны как конкретные каналы перевода и конфессиональной переработки, а не как вся история западного эзотеризма. [</w:t>
      </w:r>
      <w:hyperlink r:id="rId37">
        <w:r>
          <w:rPr>
            <w:color w:val="16727B"/>
            <w:u w:val="single"/>
          </w:rPr>
          <w:t>R021</w:t>
        </w:r>
      </w:hyperlink>
      <w:r>
        <w:t>–</w:t>
      </w:r>
      <w:hyperlink r:id="rId38">
        <w:r>
          <w:rPr>
            <w:color w:val="16727B"/>
            <w:u w:val="single"/>
          </w:rPr>
          <w:t>R027</w:t>
        </w:r>
      </w:hyperlink>
      <w:r>
        <w:t xml:space="preserve">, </w:t>
      </w:r>
      <w:hyperlink r:id="rId39">
        <w:r>
          <w:rPr>
            <w:color w:val="16727B"/>
            <w:u w:val="single"/>
          </w:rPr>
          <w:t>R073</w:t>
        </w:r>
      </w:hyperlink>
      <w:r>
        <w:t>–</w:t>
      </w:r>
      <w:hyperlink r:id="rId40">
        <w:r>
          <w:rPr>
            <w:color w:val="16727B"/>
            <w:u w:val="single"/>
          </w:rPr>
          <w:t>R078</w:t>
        </w:r>
      </w:hyperlink>
      <w:r>
        <w:t xml:space="preserve">, </w:t>
      </w:r>
      <w:hyperlink r:id="rId41">
        <w:r>
          <w:rPr>
            <w:color w:val="16727B"/>
            <w:u w:val="single"/>
          </w:rPr>
          <w:t>R088</w:t>
        </w:r>
      </w:hyperlink>
      <w:r>
        <w:t>]</w:t>
      </w:r>
    </w:p>
    <w:p>
      <w:r>
        <w:t>Поздние физические свидетели также оправданы содержанием: рукопись Idra Rabba 1834 года сохраняет средневековый текст; поздние копии ilanot воспроизводят и изменяют более ранние схемы. Даты этих носителей не выданы за даты возникновения произведений. [</w:t>
      </w:r>
      <w:hyperlink r:id="rId42">
        <w:r>
          <w:rPr>
            <w:color w:val="16727B"/>
            <w:u w:val="single"/>
          </w:rPr>
          <w:t>R063</w:t>
        </w:r>
      </w:hyperlink>
      <w:r>
        <w:t>–</w:t>
      </w:r>
      <w:hyperlink r:id="rId43">
        <w:r>
          <w:rPr>
            <w:color w:val="16727B"/>
            <w:u w:val="single"/>
          </w:rPr>
          <w:t>R067</w:t>
        </w:r>
      </w:hyperlink>
      <w:r>
        <w:t xml:space="preserve">, </w:t>
      </w:r>
      <w:hyperlink r:id="rId44">
        <w:r>
          <w:rPr>
            <w:color w:val="16727B"/>
            <w:u w:val="single"/>
          </w:rPr>
          <w:t>R091</w:t>
        </w:r>
      </w:hyperlink>
      <w:r>
        <w:t>]</w:t>
      </w:r>
    </w:p>
    <w:p>
      <w:pPr>
        <w:pStyle w:val="Heading2"/>
      </w:pPr>
      <w:r>
        <w:t>Количественная рамка</w:t>
      </w:r>
    </w:p>
    <w:p>
      <w:r>
        <w:t>Основной лист содержит 94 практически различимые записи доступа; gaps — 25 направлений неполноты. По содержанию это порядка четырёх десятков первичных произведений и корпусных групп, а не 94 самостоятельных сочинения. Точный глобальный счёт не навязывается: отдельные Idrot входят в Зогар, антологии пересекаются с ним, а французские тома представляют части одной переводческой серии.</w:t>
      </w:r>
    </w:p>
    <w:tbl>
      <w:tblPr>
        <w:tblW w:type="auto" w:w="0"/>
        <w:tblLayout w:type="fixed"/>
        <w:tblLook w:firstColumn="1" w:firstRow="1" w:lastColumn="0" w:lastRow="0" w:noHBand="0" w:noVBand="1" w:val="04A0"/>
      </w:tblPr>
      <w:tblGrid>
        <w:gridCol w:w="3213"/>
        <w:gridCol w:w="3213"/>
        <w:gridCol w:w="3213"/>
      </w:tblGrid>
      <w:tr>
        <w:trPr>
          <w:cantSplit/>
          <w:tblHeader/>
        </w:trPr>
        <w:tc>
          <w:tcPr>
            <w:tcW w:type="dxa" w:w="3458"/>
            <w:shd w:fill="173B4D"/>
          </w:tcPr>
          <w:p>
            <w:pPr>
              <w:spacing w:after="80" w:before="80"/>
            </w:pPr>
            <w:r>
              <w:rPr>
                <w:b/>
                <w:color w:val="FFFFFF"/>
                <w:sz w:val="19"/>
              </w:rPr>
              <w:t>Релевантность</w:t>
            </w:r>
          </w:p>
        </w:tc>
        <w:tc>
          <w:tcPr>
            <w:tcW w:type="dxa" w:w="1020"/>
            <w:shd w:fill="173B4D"/>
          </w:tcPr>
          <w:p>
            <w:pPr>
              <w:spacing w:after="80" w:before="80"/>
            </w:pPr>
            <w:r>
              <w:rPr>
                <w:b/>
                <w:color w:val="FFFFFF"/>
                <w:sz w:val="19"/>
              </w:rPr>
              <w:t>Записей</w:t>
            </w:r>
          </w:p>
        </w:tc>
        <w:tc>
          <w:tcPr>
            <w:tcW w:type="dxa" w:w="5046"/>
            <w:shd w:fill="173B4D"/>
          </w:tcPr>
          <w:p>
            <w:pPr>
              <w:spacing w:after="80" w:before="80"/>
            </w:pPr>
            <w:r>
              <w:rPr>
                <w:b/>
                <w:color w:val="FFFFFF"/>
                <w:sz w:val="19"/>
              </w:rPr>
              <w:t>Что означает здесь</w:t>
            </w:r>
          </w:p>
        </w:tc>
      </w:tr>
      <w:tr>
        <w:trPr>
          <w:cantSplit/>
        </w:trPr>
        <w:tc>
          <w:tcPr>
            <w:tcW w:type="dxa" w:w="3458"/>
          </w:tcPr>
          <w:p>
            <w:pPr>
              <w:spacing w:after="80" w:before="80"/>
            </w:pPr>
            <w:r>
              <w:rPr>
                <w:sz w:val="19"/>
              </w:rPr>
              <w:t>core</w:t>
            </w:r>
          </w:p>
        </w:tc>
        <w:tc>
          <w:tcPr>
            <w:tcW w:type="dxa" w:w="1020"/>
          </w:tcPr>
          <w:p>
            <w:pPr>
              <w:spacing w:after="80" w:before="80"/>
            </w:pPr>
            <w:r>
              <w:rPr>
                <w:sz w:val="19"/>
              </w:rPr>
              <w:t>38</w:t>
            </w:r>
          </w:p>
        </w:tc>
        <w:tc>
          <w:tcPr>
            <w:tcW w:type="dxa" w:w="5046"/>
          </w:tcPr>
          <w:p>
            <w:pPr>
              <w:spacing w:after="80" w:before="80"/>
            </w:pPr>
            <w:r>
              <w:rPr>
                <w:sz w:val="19"/>
              </w:rPr>
              <w:t>Центральные тексты, их конкретные версии и свидетели</w:t>
            </w:r>
          </w:p>
        </w:tc>
      </w:tr>
      <w:tr>
        <w:trPr>
          <w:cantSplit/>
        </w:trPr>
        <w:tc>
          <w:tcPr>
            <w:tcW w:type="dxa" w:w="3458"/>
            <w:shd w:fill="EEF4F5"/>
          </w:tcPr>
          <w:p>
            <w:pPr>
              <w:spacing w:after="80" w:before="80"/>
            </w:pPr>
            <w:r>
              <w:rPr>
                <w:sz w:val="19"/>
              </w:rPr>
              <w:t>same_corpus_or_tradition</w:t>
            </w:r>
          </w:p>
        </w:tc>
        <w:tc>
          <w:tcPr>
            <w:tcW w:type="dxa" w:w="1020"/>
            <w:shd w:fill="EEF4F5"/>
          </w:tcPr>
          <w:p>
            <w:pPr>
              <w:spacing w:after="80" w:before="80"/>
            </w:pPr>
            <w:r>
              <w:rPr>
                <w:sz w:val="19"/>
              </w:rPr>
              <w:t>12</w:t>
            </w:r>
          </w:p>
        </w:tc>
        <w:tc>
          <w:tcPr>
            <w:tcW w:type="dxa" w:w="5046"/>
            <w:shd w:fill="EEF4F5"/>
          </w:tcPr>
          <w:p>
            <w:pPr>
              <w:spacing w:after="80" w:before="80"/>
            </w:pPr>
            <w:r>
              <w:rPr>
                <w:sz w:val="19"/>
              </w:rPr>
              <w:t>Прямые члены той же текстовой семьи</w:t>
            </w:r>
          </w:p>
        </w:tc>
      </w:tr>
      <w:tr>
        <w:trPr>
          <w:cantSplit/>
        </w:trPr>
        <w:tc>
          <w:tcPr>
            <w:tcW w:type="dxa" w:w="3458"/>
          </w:tcPr>
          <w:p>
            <w:pPr>
              <w:spacing w:after="80" w:before="80"/>
            </w:pPr>
            <w:r>
              <w:rPr>
                <w:sz w:val="19"/>
              </w:rPr>
              <w:t>antecedent</w:t>
            </w:r>
          </w:p>
        </w:tc>
        <w:tc>
          <w:tcPr>
            <w:tcW w:type="dxa" w:w="1020"/>
          </w:tcPr>
          <w:p>
            <w:pPr>
              <w:spacing w:after="80" w:before="80"/>
            </w:pPr>
            <w:r>
              <w:rPr>
                <w:sz w:val="19"/>
              </w:rPr>
              <w:t>8</w:t>
            </w:r>
          </w:p>
        </w:tc>
        <w:tc>
          <w:tcPr>
            <w:tcW w:type="dxa" w:w="5046"/>
          </w:tcPr>
          <w:p>
            <w:pPr>
              <w:spacing w:after="80" w:before="80"/>
            </w:pPr>
            <w:r>
              <w:rPr>
                <w:sz w:val="19"/>
              </w:rPr>
              <w:t>Входящие тексты и ранние комментарии</w:t>
            </w:r>
          </w:p>
        </w:tc>
      </w:tr>
      <w:tr>
        <w:trPr>
          <w:cantSplit/>
        </w:trPr>
        <w:tc>
          <w:tcPr>
            <w:tcW w:type="dxa" w:w="3458"/>
            <w:shd w:fill="EEF4F5"/>
          </w:tcPr>
          <w:p>
            <w:pPr>
              <w:spacing w:after="80" w:before="80"/>
            </w:pPr>
            <w:r>
              <w:rPr>
                <w:sz w:val="19"/>
              </w:rPr>
              <w:t>continuation</w:t>
            </w:r>
          </w:p>
        </w:tc>
        <w:tc>
          <w:tcPr>
            <w:tcW w:type="dxa" w:w="1020"/>
            <w:shd w:fill="EEF4F5"/>
          </w:tcPr>
          <w:p>
            <w:pPr>
              <w:spacing w:after="80" w:before="80"/>
            </w:pPr>
            <w:r>
              <w:rPr>
                <w:sz w:val="19"/>
              </w:rPr>
              <w:t>3</w:t>
            </w:r>
          </w:p>
        </w:tc>
        <w:tc>
          <w:tcPr>
            <w:tcW w:type="dxa" w:w="5046"/>
            <w:shd w:fill="EEF4F5"/>
          </w:tcPr>
          <w:p>
            <w:pPr>
              <w:spacing w:after="80" w:before="80"/>
            </w:pPr>
            <w:r>
              <w:rPr>
                <w:sz w:val="19"/>
              </w:rPr>
              <w:t>Поздняя систематизация той же традиции</w:t>
            </w:r>
          </w:p>
        </w:tc>
      </w:tr>
      <w:tr>
        <w:trPr>
          <w:cantSplit/>
        </w:trPr>
        <w:tc>
          <w:tcPr>
            <w:tcW w:type="dxa" w:w="3458"/>
          </w:tcPr>
          <w:p>
            <w:pPr>
              <w:spacing w:after="80" w:before="80"/>
            </w:pPr>
            <w:r>
              <w:rPr>
                <w:sz w:val="19"/>
              </w:rPr>
              <w:t>commentary_or_reception</w:t>
            </w:r>
          </w:p>
        </w:tc>
        <w:tc>
          <w:tcPr>
            <w:tcW w:type="dxa" w:w="1020"/>
          </w:tcPr>
          <w:p>
            <w:pPr>
              <w:spacing w:after="80" w:before="80"/>
            </w:pPr>
            <w:r>
              <w:rPr>
                <w:sz w:val="19"/>
              </w:rPr>
              <w:t>9</w:t>
            </w:r>
          </w:p>
        </w:tc>
        <w:tc>
          <w:tcPr>
            <w:tcW w:type="dxa" w:w="5046"/>
          </w:tcPr>
          <w:p>
            <w:pPr>
              <w:spacing w:after="80" w:before="80"/>
            </w:pPr>
            <w:r>
              <w:rPr>
                <w:sz w:val="19"/>
              </w:rPr>
              <w:t>Прямые комментарии и полемическая рецепция</w:t>
            </w:r>
          </w:p>
        </w:tc>
      </w:tr>
      <w:tr>
        <w:trPr>
          <w:cantSplit/>
        </w:trPr>
        <w:tc>
          <w:tcPr>
            <w:tcW w:type="dxa" w:w="3458"/>
            <w:shd w:fill="EEF4F5"/>
          </w:tcPr>
          <w:p>
            <w:pPr>
              <w:spacing w:after="80" w:before="80"/>
            </w:pPr>
            <w:r>
              <w:rPr>
                <w:sz w:val="19"/>
              </w:rPr>
              <w:t>transmission_or_preservation</w:t>
            </w:r>
          </w:p>
        </w:tc>
        <w:tc>
          <w:tcPr>
            <w:tcW w:type="dxa" w:w="1020"/>
            <w:shd w:fill="EEF4F5"/>
          </w:tcPr>
          <w:p>
            <w:pPr>
              <w:spacing w:after="80" w:before="80"/>
            </w:pPr>
            <w:r>
              <w:rPr>
                <w:sz w:val="19"/>
              </w:rPr>
              <w:t>20</w:t>
            </w:r>
          </w:p>
        </w:tc>
        <w:tc>
          <w:tcPr>
            <w:tcW w:type="dxa" w:w="5046"/>
            <w:shd w:fill="EEF4F5"/>
          </w:tcPr>
          <w:p>
            <w:pPr>
              <w:spacing w:after="80" w:before="80"/>
            </w:pPr>
            <w:r>
              <w:rPr>
                <w:sz w:val="19"/>
              </w:rPr>
              <w:t>Переводы, редакции, компиляции, сохранение</w:t>
            </w:r>
          </w:p>
        </w:tc>
      </w:tr>
      <w:tr>
        <w:trPr>
          <w:cantSplit/>
        </w:trPr>
        <w:tc>
          <w:tcPr>
            <w:tcW w:type="dxa" w:w="3458"/>
          </w:tcPr>
          <w:p>
            <w:pPr>
              <w:spacing w:after="80" w:before="80"/>
            </w:pPr>
            <w:r>
              <w:rPr>
                <w:sz w:val="19"/>
              </w:rPr>
              <w:t>infrastructure</w:t>
            </w:r>
          </w:p>
        </w:tc>
        <w:tc>
          <w:tcPr>
            <w:tcW w:type="dxa" w:w="1020"/>
          </w:tcPr>
          <w:p>
            <w:pPr>
              <w:spacing w:after="80" w:before="80"/>
            </w:pPr>
            <w:r>
              <w:rPr>
                <w:sz w:val="19"/>
              </w:rPr>
              <w:t>2</w:t>
            </w:r>
          </w:p>
        </w:tc>
        <w:tc>
          <w:tcPr>
            <w:tcW w:type="dxa" w:w="5046"/>
          </w:tcPr>
          <w:p>
            <w:pPr>
              <w:spacing w:after="80" w:before="80"/>
            </w:pPr>
            <w:r>
              <w:rPr>
                <w:sz w:val="19"/>
              </w:rPr>
              <w:t>Выгрузка Sefaria и Ktiv</w:t>
            </w:r>
          </w:p>
        </w:tc>
      </w:tr>
      <w:tr>
        <w:trPr>
          <w:cantSplit/>
        </w:trPr>
        <w:tc>
          <w:tcPr>
            <w:tcW w:type="dxa" w:w="3458"/>
            <w:shd w:fill="EEF4F5"/>
          </w:tcPr>
          <w:p>
            <w:pPr>
              <w:spacing w:after="80" w:before="80"/>
            </w:pPr>
            <w:r>
              <w:rPr>
                <w:sz w:val="19"/>
              </w:rPr>
              <w:t>secondary_navigation</w:t>
            </w:r>
          </w:p>
        </w:tc>
        <w:tc>
          <w:tcPr>
            <w:tcW w:type="dxa" w:w="1020"/>
            <w:shd w:fill="EEF4F5"/>
          </w:tcPr>
          <w:p>
            <w:pPr>
              <w:spacing w:after="80" w:before="80"/>
            </w:pPr>
            <w:r>
              <w:rPr>
                <w:sz w:val="19"/>
              </w:rPr>
              <w:t>2</w:t>
            </w:r>
          </w:p>
        </w:tc>
        <w:tc>
          <w:tcPr>
            <w:tcW w:type="dxa" w:w="5046"/>
            <w:shd w:fill="EEF4F5"/>
          </w:tcPr>
          <w:p>
            <w:pPr>
              <w:spacing w:after="80" w:before="80"/>
            </w:pPr>
            <w:r>
              <w:rPr>
                <w:sz w:val="19"/>
              </w:rPr>
              <w:t>Навигация к первичным текстам и версиям</w:t>
            </w:r>
          </w:p>
        </w:tc>
      </w:tr>
    </w:tbl>
    <w:p>
      <w:r>
        <w:t>Категории supporting и boundary отдельно не присваивались: у включённых пограничных объектов установлена более конкретная функция передачи или рецепции. Числа отражают реестровые записи, а не количество полностью проверенных файлов. Исследование не заявляет исчерпания всех рукописей и авторских сочинений.</w:t>
      </w:r>
    </w:p>
    <w:p>
      <w:pPr>
        <w:pStyle w:val="Heading1"/>
      </w:pPr>
      <w:r>
        <w:t>3. Лучшие пути доступа</w:t>
      </w:r>
    </w:p>
    <w:p>
      <w:pPr>
        <w:pStyle w:val="Heading2"/>
      </w:pPr>
      <w:r>
        <w:t>Sefer Yetzirah и ранние комментарии</w:t>
      </w:r>
    </w:p>
    <w:p>
      <w:r>
        <w:t>Для бесплатного оригинального текста наиболее практичен ивритский Wikisource по варшавской печати 1884 года: самостоятельная транскрипция с указанной редакцией и открытой лицензией. Для старого английского перевода предпочтителен полный университетский скан второго издания Westcott 1893 года на Internet Archive; одноимённая страница английского Wikisource неполна и не должна его заменять. [</w:t>
      </w:r>
      <w:hyperlink r:id="rId11">
        <w:r>
          <w:rPr>
            <w:color w:val="16727B"/>
            <w:u w:val="single"/>
          </w:rPr>
          <w:t>R001</w:t>
        </w:r>
      </w:hyperlink>
      <w:r>
        <w:t xml:space="preserve">, </w:t>
      </w:r>
      <w:hyperlink r:id="rId21">
        <w:r>
          <w:rPr>
            <w:color w:val="16727B"/>
            <w:u w:val="single"/>
          </w:rPr>
          <w:t>R004</w:t>
        </w:r>
      </w:hyperlink>
      <w:r>
        <w:t xml:space="preserve">, </w:t>
      </w:r>
      <w:hyperlink r:id="rId24">
        <w:r>
          <w:rPr>
            <w:color w:val="16727B"/>
            <w:u w:val="single"/>
          </w:rPr>
          <w:t>R085</w:t>
        </w:r>
      </w:hyperlink>
      <w:r>
        <w:t>]</w:t>
      </w:r>
    </w:p>
    <w:p>
      <w:r>
        <w:t>Научный контроль редакций — Sefer Yeṣira A. Peter Hayman, Mohr Siebeck: защищённое критическое издание, сохраняемое как покупной путь. Французское издание комментария Саадии у Verdier даёт иной важный вход, но современное введение и редакционная работа не становятся свободными из-за возраста исходного комментария. [</w:t>
      </w:r>
      <w:hyperlink r:id="rId45">
        <w:r>
          <w:rPr>
            <w:color w:val="16727B"/>
            <w:u w:val="single"/>
          </w:rPr>
          <w:t>R003</w:t>
        </w:r>
      </w:hyperlink>
      <w:r>
        <w:t xml:space="preserve">, </w:t>
      </w:r>
      <w:hyperlink r:id="rId23">
        <w:r>
          <w:rPr>
            <w:color w:val="16727B"/>
            <w:u w:val="single"/>
          </w:rPr>
          <w:t>R039</w:t>
        </w:r>
      </w:hyperlink>
      <w:r>
        <w:t>]</w:t>
      </w:r>
    </w:p>
    <w:p>
      <w:r>
        <w:t>Sefaria сохраняет удобные отдельные входы к Sefer Yetzirah и комментариям Raʾavad, Rasag и Ramban, однако тела и версии в этой среде не извлечены. Особенно существенны атрибуционные оговорки: традиционное имя Raʾavad может скрывать текст Иосифа бен Шалома Ашкенази, а Rasag — не гарантировать подлинный комментарий Саадии. Машиночитаемый приоритет пока у конкретной открытой транскрипции, а не у неконтролируемой смешанной выгрузки. [</w:t>
      </w:r>
      <w:hyperlink r:id="rId46">
        <w:r>
          <w:rPr>
            <w:color w:val="16727B"/>
            <w:u w:val="single"/>
          </w:rPr>
          <w:t>R002</w:t>
        </w:r>
      </w:hyperlink>
      <w:r>
        <w:t xml:space="preserve">, </w:t>
      </w:r>
      <w:hyperlink r:id="rId47">
        <w:r>
          <w:rPr>
            <w:color w:val="16727B"/>
            <w:u w:val="single"/>
          </w:rPr>
          <w:t>R028</w:t>
        </w:r>
      </w:hyperlink>
      <w:r>
        <w:t>–</w:t>
      </w:r>
      <w:hyperlink r:id="rId48">
        <w:r>
          <w:rPr>
            <w:color w:val="16727B"/>
            <w:u w:val="single"/>
          </w:rPr>
          <w:t>R030</w:t>
        </w:r>
      </w:hyperlink>
      <w:r>
        <w:t>; G001, G003]</w:t>
      </w:r>
    </w:p>
    <w:p>
      <w:pPr>
        <w:pStyle w:val="Heading2"/>
      </w:pPr>
      <w:r>
        <w:t>Bahir, Жирона и ранняя теософия</w:t>
      </w:r>
    </w:p>
    <w:p>
      <w:r>
        <w:t>Для Bahir найден полный ивритский текст из 200 параграфов на Wikisource, соотнесённый с амстердамской печатью 1651 года. Английский Kaplan и французское издание Gottfarstein сохранены как современные издательские маршруты, не как свободные аналоги оригинала. Происхождение самого Bahir остаётся той спорной зоной, которую подчёркивает DR; поздняя печать не разрешает спор о его ранней генеалогии. [</w:t>
      </w:r>
      <w:hyperlink r:id="rId49">
        <w:r>
          <w:rPr>
            <w:color w:val="16727B"/>
            <w:u w:val="single"/>
          </w:rPr>
          <w:t>R005</w:t>
        </w:r>
      </w:hyperlink>
      <w:r>
        <w:t>–</w:t>
      </w:r>
      <w:hyperlink r:id="rId50">
        <w:r>
          <w:rPr>
            <w:color w:val="16727B"/>
            <w:u w:val="single"/>
          </w:rPr>
          <w:t>R007</w:t>
        </w:r>
      </w:hyperlink>
      <w:r>
        <w:t xml:space="preserve">, </w:t>
      </w:r>
      <w:hyperlink r:id="rId51">
        <w:r>
          <w:rPr>
            <w:color w:val="16727B"/>
            <w:u w:val="single"/>
          </w:rPr>
          <w:t>R042</w:t>
        </w:r>
      </w:hyperlink>
      <w:r>
        <w:t>]</w:t>
      </w:r>
    </w:p>
    <w:p>
      <w:r>
        <w:t>The Early Kabbalah, составленная Joseph Dan и переведённая Ronald C. Kiener, — полезный английский вход к текстам Iyyun, Исааку Слепому, Азриэлю, Якобу бен Шешету и братьям Коэн. Проверены издательская карточка, оглавление и ограниченный preview, а не полнота каждого произведения. Антология не заменяет отдельные критические издания. [</w:t>
      </w:r>
      <w:hyperlink r:id="rId52">
        <w:r>
          <w:rPr>
            <w:color w:val="16727B"/>
            <w:u w:val="single"/>
          </w:rPr>
          <w:t>R046</w:t>
        </w:r>
      </w:hyperlink>
      <w:r>
        <w:t>–</w:t>
      </w:r>
      <w:hyperlink r:id="rId53">
        <w:r>
          <w:rPr>
            <w:color w:val="16727B"/>
            <w:u w:val="single"/>
          </w:rPr>
          <w:t>R047</w:t>
        </w:r>
      </w:hyperlink>
      <w:r>
        <w:t>]</w:t>
      </w:r>
    </w:p>
    <w:p>
      <w:r>
        <w:t>Для Эзры Жиронского найден университетский маршрут к комментарию на Песнь песней в переводе Seth Brody, вместе с зогарическим материалом. Страница предлагает полный PDF; получение самого файла не удалось, права повторного распространения не установлены. Beur Eser Sefirot Азриэля имеет отдельный Sefaria-вход, но атрибуция и базовая версия требуют филологической проверки. [</w:t>
      </w:r>
      <w:hyperlink r:id="rId30">
        <w:r>
          <w:rPr>
            <w:color w:val="16727B"/>
            <w:u w:val="single"/>
          </w:rPr>
          <w:t>R016</w:t>
        </w:r>
      </w:hyperlink>
      <w:r>
        <w:t xml:space="preserve">, </w:t>
      </w:r>
      <w:hyperlink r:id="rId54">
        <w:r>
          <w:rPr>
            <w:color w:val="16727B"/>
            <w:u w:val="single"/>
          </w:rPr>
          <w:t>R031</w:t>
        </w:r>
      </w:hyperlink>
      <w:r>
        <w:t>; G004–G005]</w:t>
      </w:r>
    </w:p>
    <w:p>
      <w:pPr>
        <w:pStyle w:val="Heading2"/>
      </w:pPr>
      <w:r>
        <w:t>Нахманид: оригинал и открытый современный перевод</w:t>
      </w:r>
    </w:p>
    <w:p>
      <w:r>
        <w:t>Для ивритского комментария к Торе лучший проверенный вход — Daat: оглавление пяти книг, начало Бытия и конец Второзакония открылись как текст. Все главы подряд не проверялись. Условия зеркалирования и массовой обработки не установлены. Стихотворное вступление на Wikisource — отдельный небольшой фрагмент, не полный прозаический вводный трактат о Торе. [</w:t>
      </w:r>
      <w:hyperlink r:id="rId55">
        <w:r>
          <w:rPr>
            <w:color w:val="16727B"/>
            <w:u w:val="single"/>
          </w:rPr>
          <w:t>R082</w:t>
        </w:r>
      </w:hyperlink>
      <w:r>
        <w:t>–</w:t>
      </w:r>
      <w:hyperlink r:id="rId56">
        <w:r>
          <w:rPr>
            <w:color w:val="16727B"/>
            <w:u w:val="single"/>
          </w:rPr>
          <w:t>R083</w:t>
        </w:r>
      </w:hyperlink>
      <w:r>
        <w:t>]</w:t>
      </w:r>
    </w:p>
    <w:p>
      <w:r>
        <w:t>Английский перевод Charles B. Chavel выделяется правовым статусом: официальная страница Shilo применяет к Commentary on the Torah CC BY 4.0, одновременно продавая пятитомник. Это доказанный открытый текстовый слой современного перевода, но не бесплатный файл на странице покупки. Отдельный Sefaria-маршрут подтверждается официальным сообщением о выпуске; технически полный текст этой версии в данном запуске не выгружен. [</w:t>
      </w:r>
      <w:hyperlink r:id="rId57">
        <w:r>
          <w:rPr>
            <w:color w:val="16727B"/>
            <w:u w:val="single"/>
          </w:rPr>
          <w:t>R086</w:t>
        </w:r>
      </w:hyperlink>
      <w:r>
        <w:t>–</w:t>
      </w:r>
      <w:hyperlink r:id="rId58">
        <w:r>
          <w:rPr>
            <w:color w:val="16727B"/>
            <w:u w:val="single"/>
          </w:rPr>
          <w:t>R087</w:t>
        </w:r>
      </w:hyperlink>
      <w:r>
        <w:t>; G025]</w:t>
      </w:r>
    </w:p>
    <w:p>
      <w:r>
        <w:t>Для ToS эти два маршрута взаимодополняют друг друга: Daat даёт оригинал для чтения без доказанной лицензии цифрового слоя; Shilo — ясное разрешение на повторное использование конкретного английского перевода после законного получения. Открытая английская версия не подменяет чистую ивритскую основу самостоятельного перевода ToS.</w:t>
      </w:r>
    </w:p>
    <w:p>
      <w:pPr>
        <w:pStyle w:val="Heading2"/>
      </w:pPr>
      <w:r>
        <w:t>Абулафия и Гикатилла</w:t>
      </w:r>
    </w:p>
    <w:p>
      <w:r>
        <w:t>У Абулафии установлены отдельные входы к Gan Naʿul, Get ha-Shemot, Or ha-Sekhel, Sefer ha-Cheshek и Ve-Zot li-Yehudah. Они не сведены к биографическому порталу, однако страницы Sefaria вернули оболочку reader: полнота, конкретные редакторы и лицензии версий не подтверждены. Chayei ha-Olam ha-Ba, Otzar Eden Ganuz, Sefer ha-Ot, Imrei Shefer и Sitrei Torah перечислены как предметный остаток поиска, а не объявлены отсутствующими. [</w:t>
      </w:r>
      <w:hyperlink r:id="rId15">
        <w:r>
          <w:rPr>
            <w:color w:val="16727B"/>
            <w:u w:val="single"/>
          </w:rPr>
          <w:t>R032</w:t>
        </w:r>
      </w:hyperlink>
      <w:r>
        <w:t>–</w:t>
      </w:r>
      <w:hyperlink r:id="rId59">
        <w:r>
          <w:rPr>
            <w:color w:val="16727B"/>
            <w:u w:val="single"/>
          </w:rPr>
          <w:t>R036</w:t>
        </w:r>
      </w:hyperlink>
      <w:r>
        <w:t>; G006]</w:t>
      </w:r>
    </w:p>
    <w:p>
      <w:r>
        <w:t>Для Shaʿarei Orah Гикатиллы наиболее полезен открытый ивритский текст десяти врат на Wikisource; титульная формула указывает Мантуя, 1561. Сайт помечает книгу как завершённую, но не вычитанную. Современный английский Gates of Light в переводе Avi Weinstein имеет Google Books preview; разрешение зеркалирования не найдено. [</w:t>
      </w:r>
      <w:hyperlink r:id="rId60">
        <w:r>
          <w:rPr>
            <w:color w:val="16727B"/>
            <w:u w:val="single"/>
          </w:rPr>
          <w:t>R008</w:t>
        </w:r>
      </w:hyperlink>
      <w:r>
        <w:t>–</w:t>
      </w:r>
      <w:hyperlink r:id="rId61">
        <w:r>
          <w:rPr>
            <w:color w:val="16727B"/>
            <w:u w:val="single"/>
          </w:rPr>
          <w:t>R009</w:t>
        </w:r>
      </w:hyperlink>
      <w:r>
        <w:t xml:space="preserve">, </w:t>
      </w:r>
      <w:hyperlink r:id="rId62">
        <w:r>
          <w:rPr>
            <w:color w:val="16727B"/>
            <w:u w:val="single"/>
          </w:rPr>
          <w:t>R048</w:t>
        </w:r>
      </w:hyperlink>
      <w:r>
        <w:t>]</w:t>
      </w:r>
    </w:p>
    <w:p>
      <w:r>
        <w:t>Ginnat Egoz добавлен как ранняя авторская фаза того же Гикатиллы, а не по общему сходству тем. Полный текст/OCR представлен в институциональном скане University of Toronto на Internet Archive, но каталог допускает позднюю перепечатку старого издания: это ограничивает вывод о свободе именно цифрового объекта. Gross/CJA даёт иной путь — фотографии конкретной ранней печати, а не полную книгу. Shaʿarei Tzedek имеет самостоятельную карточку Sefaria. [</w:t>
      </w:r>
      <w:hyperlink r:id="rId18">
        <w:r>
          <w:rPr>
            <w:color w:val="16727B"/>
            <w:u w:val="single"/>
          </w:rPr>
          <w:t>R072</w:t>
        </w:r>
      </w:hyperlink>
      <w:r>
        <w:t xml:space="preserve">, </w:t>
      </w:r>
      <w:hyperlink r:id="rId20">
        <w:r>
          <w:rPr>
            <w:color w:val="16727B"/>
            <w:u w:val="single"/>
          </w:rPr>
          <w:t>R084</w:t>
        </w:r>
      </w:hyperlink>
      <w:r>
        <w:t xml:space="preserve">, </w:t>
      </w:r>
      <w:hyperlink r:id="rId63">
        <w:r>
          <w:rPr>
            <w:color w:val="16727B"/>
            <w:u w:val="single"/>
          </w:rPr>
          <w:t>R089</w:t>
        </w:r>
      </w:hyperlink>
      <w:r>
        <w:t>]</w:t>
      </w:r>
    </w:p>
    <w:p>
      <w:pPr>
        <w:pStyle w:val="Heading2"/>
      </w:pPr>
      <w:r>
        <w:t>Де Леон, Иосиф из Хамадана, Давид бен Иуда ха-Хасид</w:t>
      </w:r>
    </w:p>
    <w:p>
      <w:r>
        <w:t>Главный открытый научный вход к де Леону — Sefer ha-Rimmon, критический ивритский текст с английским введением Elliot R. Wolfson. Сохранены официальный Brown-маршрут и JSTOR OA-переиздание. Это не полный английский перевод и не два разных сочинения. Для некоммерческого повторного размещения существенны условия конкретного OA-выпуска, рассмотренные ниже. [</w:t>
      </w:r>
      <w:hyperlink r:id="rId13">
        <w:r>
          <w:rPr>
            <w:color w:val="16727B"/>
            <w:u w:val="single"/>
          </w:rPr>
          <w:t>R017</w:t>
        </w:r>
      </w:hyperlink>
      <w:r>
        <w:t>–</w:t>
      </w:r>
      <w:hyperlink r:id="rId64">
        <w:r>
          <w:rPr>
            <w:color w:val="16727B"/>
            <w:u w:val="single"/>
          </w:rPr>
          <w:t>R018</w:t>
        </w:r>
      </w:hyperlink>
      <w:r>
        <w:t>]</w:t>
      </w:r>
    </w:p>
    <w:p>
      <w:r>
        <w:t>Shekel ha-Qodesh доступен как ивритский текст Wikisource и как защищённый французский перевод Charles Mopsik у Verdier. Mishkan ha-Edut представлен официальным изданием Simon Bouskila у Hermann и карточкой диссертации, связанной с Berlin Qu. 833; наличие карточки диссертации не выдано за открытый полный текст. [</w:t>
      </w:r>
      <w:hyperlink r:id="rId65">
        <w:r>
          <w:rPr>
            <w:color w:val="16727B"/>
            <w:u w:val="single"/>
          </w:rPr>
          <w:t>R019</w:t>
        </w:r>
      </w:hyperlink>
      <w:r>
        <w:t xml:space="preserve">, </w:t>
      </w:r>
      <w:hyperlink r:id="rId66">
        <w:r>
          <w:rPr>
            <w:color w:val="16727B"/>
            <w:u w:val="single"/>
          </w:rPr>
          <w:t>R044</w:t>
        </w:r>
      </w:hyperlink>
      <w:r>
        <w:t xml:space="preserve">, </w:t>
      </w:r>
      <w:hyperlink r:id="rId67">
        <w:r>
          <w:rPr>
            <w:color w:val="16727B"/>
            <w:u w:val="single"/>
          </w:rPr>
          <w:t>R049</w:t>
        </w:r>
      </w:hyperlink>
      <w:r>
        <w:t>–</w:t>
      </w:r>
      <w:hyperlink r:id="rId16">
        <w:r>
          <w:rPr>
            <w:color w:val="16727B"/>
            <w:u w:val="single"/>
          </w:rPr>
          <w:t>R050</w:t>
        </w:r>
      </w:hyperlink>
      <w:r>
        <w:t>]</w:t>
      </w:r>
    </w:p>
    <w:p>
      <w:r>
        <w:t>Light is Sown (Bar-Asher и Brown, 2025) сохранён только как необходимый исследовательский указатель к Nameless Composition и новым рукописным материалам. Книга не засчитана полным доступом к самостоятельному первичному сочинению. Для Nefesh ha-Hakhamah и Shoshan Edut остаются отдельные пробелы. [</w:t>
      </w:r>
      <w:hyperlink r:id="rId14">
        <w:r>
          <w:rPr>
            <w:color w:val="16727B"/>
            <w:u w:val="single"/>
          </w:rPr>
          <w:t>R020</w:t>
        </w:r>
      </w:hyperlink>
      <w:r>
        <w:t>; G007–G008]</w:t>
      </w:r>
    </w:p>
    <w:p>
      <w:r>
        <w:t>У Иосифа из Хамадана подтверждён изданный Mopsik фрагмент комментария на Бытие: доступ к фрагменту не равен полноте авторского корпуса. The Book of Mirrors Давида бен Иуды ха-Хасида найден в защищённом издании Daniel Matt: карточка Internet Archive подтверждает предмет и библиографию, но действующая выдача не проверена. Английское введение не названо переводом всего ивритского текста. [</w:t>
      </w:r>
      <w:hyperlink r:id="rId68">
        <w:r>
          <w:rPr>
            <w:color w:val="16727B"/>
            <w:u w:val="single"/>
          </w:rPr>
          <w:t>R038</w:t>
        </w:r>
      </w:hyperlink>
      <w:r>
        <w:t xml:space="preserve">, </w:t>
      </w:r>
      <w:hyperlink r:id="rId69">
        <w:r>
          <w:rPr>
            <w:color w:val="16727B"/>
            <w:u w:val="single"/>
          </w:rPr>
          <w:t>R040</w:t>
        </w:r>
      </w:hyperlink>
      <w:r>
        <w:t>; G009–G010]</w:t>
      </w:r>
    </w:p>
    <w:p>
      <w:pPr>
        <w:pStyle w:val="Heading2"/>
      </w:pPr>
      <w:r>
        <w:t>Зогар, внутренние слои и переводы</w:t>
      </w:r>
    </w:p>
    <w:p>
      <w:r>
        <w:t>Для бесплатного арамейского чтения практичен Wikisource: проверен крупный участок Bamidbar/Naso, включая Idra Rabba и Raʿaya Meheimna. Представление трёх томов не означает проведённой полистной проверки всего корпуса; поэтому coverage консервативно substantial_part. Tikkunei Zohar сохранён отдельно. У Zohar Chadash различены открытая разметка и потенциально защищённые современные обработка и комментарий. [</w:t>
      </w:r>
      <w:hyperlink r:id="rId70">
        <w:r>
          <w:rPr>
            <w:color w:val="16727B"/>
            <w:u w:val="single"/>
          </w:rPr>
          <w:t>R010</w:t>
        </w:r>
      </w:hyperlink>
      <w:r>
        <w:t>–</w:t>
      </w:r>
      <w:hyperlink r:id="rId29">
        <w:r>
          <w:rPr>
            <w:color w:val="16727B"/>
            <w:u w:val="single"/>
          </w:rPr>
          <w:t>R015</w:t>
        </w:r>
      </w:hyperlink>
      <w:r>
        <w:t>]</w:t>
      </w:r>
    </w:p>
    <w:p>
      <w:r>
        <w:t>Pritzker Edition остаётся важным современным научным ориентиром: в реестре есть официальный издательский вход, страница арамейской основы и ресурсы Daniel C. Matt. Stanford вернул 403; файлы реконструированного арамейского текста и полнота комплекта не объявлены проверенными. Эта основа не считается публичнодоменной только потому, что исходный Зогар средневековый. [</w:t>
      </w:r>
      <w:hyperlink r:id="rId71">
        <w:r>
          <w:rPr>
            <w:color w:val="16727B"/>
            <w:u w:val="single"/>
          </w:rPr>
          <w:t>R051</w:t>
        </w:r>
      </w:hyperlink>
      <w:r>
        <w:t>–</w:t>
      </w:r>
      <w:hyperlink r:id="rId72">
        <w:r>
          <w:rPr>
            <w:color w:val="16727B"/>
            <w:u w:val="single"/>
          </w:rPr>
          <w:t>R053</w:t>
        </w:r>
      </w:hyperlink>
      <w:r>
        <w:t>; G014]</w:t>
      </w:r>
    </w:p>
    <w:p>
      <w:r>
        <w:t>Защищённые французские издания Mopsik сохранены по фактическим частям: четыре тома Бытия и отдельные тома Песни песней, Плача и Руфи. Платные электронные форматы отмечены там, где их предлагает Verdier. Они не составляют доказанного полного французского перевода всего зогарического корпуса. The Wisdom of the Zohar Тишби в переводе David Goldstein добавлена как тематическая антология первичных выдержек с preview, а не сплошной перевод. [</w:t>
      </w:r>
      <w:hyperlink r:id="rId73">
        <w:r>
          <w:rPr>
            <w:color w:val="16727B"/>
            <w:u w:val="single"/>
          </w:rPr>
          <w:t>R054</w:t>
        </w:r>
      </w:hyperlink>
      <w:r>
        <w:t>–</w:t>
      </w:r>
      <w:hyperlink r:id="rId74">
        <w:r>
          <w:rPr>
            <w:color w:val="16727B"/>
            <w:u w:val="single"/>
          </w:rPr>
          <w:t>R060</w:t>
        </w:r>
      </w:hyperlink>
      <w:r>
        <w:t xml:space="preserve">, </w:t>
      </w:r>
      <w:hyperlink r:id="rId12">
        <w:r>
          <w:rPr>
            <w:color w:val="16727B"/>
            <w:u w:val="single"/>
          </w:rPr>
          <w:t>R094</w:t>
        </w:r>
      </w:hyperlink>
      <w:r>
        <w:t>]</w:t>
      </w:r>
    </w:p>
    <w:p>
      <w:r>
        <w:t>Старый английский Mathers доступен двумя существенно разными путями. Kabbalah Unveiled содержит три избранных зогарических трактата через латинское посредничество; Gutenberg-антология Hebrew Literature — лишь Lesser Holy Assembly / Idra Zuta. Ни один маршрут не обозначает полный английский Зогар. Русский Kabbalah Media сохранён как официальный вход с защищённым современным слоем, но reader не отдал текст и имя переводчика не установлено. [</w:t>
      </w:r>
      <w:hyperlink r:id="rId75">
        <w:r>
          <w:rPr>
            <w:color w:val="16727B"/>
            <w:u w:val="single"/>
          </w:rPr>
          <w:t>R022</w:t>
        </w:r>
      </w:hyperlink>
      <w:r>
        <w:t>–</w:t>
      </w:r>
      <w:hyperlink r:id="rId76">
        <w:r>
          <w:rPr>
            <w:color w:val="16727B"/>
            <w:u w:val="single"/>
          </w:rPr>
          <w:t>R023</w:t>
        </w:r>
      </w:hyperlink>
      <w:r>
        <w:t xml:space="preserve">, </w:t>
      </w:r>
      <w:hyperlink r:id="rId77">
        <w:r>
          <w:rPr>
            <w:color w:val="16727B"/>
            <w:u w:val="single"/>
          </w:rPr>
          <w:t>R092</w:t>
        </w:r>
      </w:hyperlink>
      <w:r>
        <w:t>]</w:t>
      </w:r>
    </w:p>
    <w:p>
      <w:pPr>
        <w:pStyle w:val="Heading2"/>
      </w:pPr>
      <w:r>
        <w:t>Факсимиле, комментарии и машиночитаемые слои</w:t>
      </w:r>
    </w:p>
    <w:p>
      <w:r>
        <w:t>Наиболее свободные проверенные факсимильные маршруты — e-rara: Kabbala denudata 1677–1684 и содержащий De arte cabalistica Рейхлина том 1557 года. На карточках стоит Public Domain Mark. Предлагаются PDF и интерфейсы IIIF; для Knorr также указаны текстовые производные. Крупные PDF не получены загрузчиком этого исследования. Переводить эти материалы допустимо как историческую латинскую рецепцию, не выдавая её за восстановленный арамейский оригинал. [</w:t>
      </w:r>
      <w:hyperlink r:id="rId78">
        <w:r>
          <w:rPr>
            <w:color w:val="16727B"/>
            <w:u w:val="single"/>
          </w:rPr>
          <w:t>R025</w:t>
        </w:r>
      </w:hyperlink>
      <w:r>
        <w:t xml:space="preserve">, </w:t>
      </w:r>
      <w:hyperlink r:id="rId41">
        <w:r>
          <w:rPr>
            <w:color w:val="16727B"/>
            <w:u w:val="single"/>
          </w:rPr>
          <w:t>R088</w:t>
        </w:r>
      </w:hyperlink>
      <w:r>
        <w:t>]</w:t>
      </w:r>
    </w:p>
    <w:p>
      <w:r>
        <w:t>Рукописный и визуальный контур не ограничен общим Ktiv: включены Vat. ebr. 191 Митридата, пять индивидуализированных ilanot, мантуанская печать Зогара в выставке Library of Congress и Idra Rabba MS 17. Для MS 17 открыто изображение одного разворота, не всего кодекса. Большинство остальных путей — каталожные записи и ограниченные изображения, требующие проверки прав владельцев. [</w:t>
      </w:r>
      <w:hyperlink r:id="rId38">
        <w:r>
          <w:rPr>
            <w:color w:val="16727B"/>
            <w:u w:val="single"/>
          </w:rPr>
          <w:t>R027</w:t>
        </w:r>
      </w:hyperlink>
      <w:r>
        <w:t xml:space="preserve">, </w:t>
      </w:r>
      <w:hyperlink r:id="rId42">
        <w:r>
          <w:rPr>
            <w:color w:val="16727B"/>
            <w:u w:val="single"/>
          </w:rPr>
          <w:t>R063</w:t>
        </w:r>
      </w:hyperlink>
      <w:r>
        <w:t>–</w:t>
      </w:r>
      <w:hyperlink r:id="rId43">
        <w:r>
          <w:rPr>
            <w:color w:val="16727B"/>
            <w:u w:val="single"/>
          </w:rPr>
          <w:t>R067</w:t>
        </w:r>
      </w:hyperlink>
      <w:r>
        <w:t xml:space="preserve">, </w:t>
      </w:r>
      <w:hyperlink r:id="rId79">
        <w:r>
          <w:rPr>
            <w:color w:val="16727B"/>
            <w:u w:val="single"/>
          </w:rPr>
          <w:t>R090</w:t>
        </w:r>
      </w:hyperlink>
      <w:r>
        <w:t>–</w:t>
      </w:r>
      <w:hyperlink r:id="rId44">
        <w:r>
          <w:rPr>
            <w:color w:val="16727B"/>
            <w:u w:val="single"/>
          </w:rPr>
          <w:t>R091</w:t>
        </w:r>
      </w:hyperlink>
      <w:r>
        <w:t xml:space="preserve">, </w:t>
      </w:r>
      <w:hyperlink r:id="rId80">
        <w:r>
          <w:rPr>
            <w:color w:val="16727B"/>
            <w:u w:val="single"/>
          </w:rPr>
          <w:t>R093</w:t>
        </w:r>
      </w:hyperlink>
      <w:r>
        <w:t>]</w:t>
      </w:r>
    </w:p>
    <w:p>
      <w:r>
        <w:t>Pardes Rimmonim имеет открытый ивритский текст с указанием печати Корец, תק״מ; Or Neʿerav — читаемый текстовый маршрут в дополнение к французскому изданию, отсутствующему в продаже. Поздние комментарии Зогара внесены отдельно, но не получили недоказанных разрешений. [</w:t>
      </w:r>
      <w:hyperlink r:id="rId31">
        <w:r>
          <w:rPr>
            <w:color w:val="16727B"/>
            <w:u w:val="single"/>
          </w:rPr>
          <w:t>R041</w:t>
        </w:r>
      </w:hyperlink>
      <w:r>
        <w:t xml:space="preserve">, </w:t>
      </w:r>
      <w:hyperlink r:id="rId33">
        <w:r>
          <w:rPr>
            <w:color w:val="16727B"/>
            <w:u w:val="single"/>
          </w:rPr>
          <w:t>R069</w:t>
        </w:r>
      </w:hyperlink>
      <w:r>
        <w:t>–</w:t>
      </w:r>
      <w:hyperlink r:id="rId36">
        <w:r>
          <w:rPr>
            <w:color w:val="16727B"/>
            <w:u w:val="single"/>
          </w:rPr>
          <w:t>R081</w:t>
        </w:r>
      </w:hyperlink>
      <w:r>
        <w:t>]</w:t>
      </w:r>
    </w:p>
    <w:p>
      <w:r>
        <w:t>Машиночитаемый путь Sefaria-Export сохранён одной записью: лицензии зависят от версии, а свободный код не лицензирует всё содержимое. Ни набор глав, ни архив не раздуты в отдельные «корпуса». Предпочтение для будущего импорта — конкретным открытым транскрипциям, выделенной версии Chavel и явно маркированным факсимиле/производным e-rara. [</w:t>
      </w:r>
      <w:hyperlink r:id="rId81">
        <w:r>
          <w:rPr>
            <w:color w:val="16727B"/>
            <w:u w:val="single"/>
          </w:rPr>
          <w:t>R024</w:t>
        </w:r>
      </w:hyperlink>
      <w:r>
        <w:t>–</w:t>
      </w:r>
      <w:hyperlink r:id="rId78">
        <w:r>
          <w:rPr>
            <w:color w:val="16727B"/>
            <w:u w:val="single"/>
          </w:rPr>
          <w:t>R025</w:t>
        </w:r>
      </w:hyperlink>
      <w:r>
        <w:t xml:space="preserve">, </w:t>
      </w:r>
      <w:hyperlink r:id="rId57">
        <w:r>
          <w:rPr>
            <w:color w:val="16727B"/>
            <w:u w:val="single"/>
          </w:rPr>
          <w:t>R086</w:t>
        </w:r>
      </w:hyperlink>
      <w:r>
        <w:t>–</w:t>
      </w:r>
      <w:hyperlink r:id="rId41">
        <w:r>
          <w:rPr>
            <w:color w:val="16727B"/>
            <w:u w:val="single"/>
          </w:rPr>
          <w:t>R088</w:t>
        </w:r>
      </w:hyperlink>
      <w:r>
        <w:t>]</w:t>
      </w:r>
    </w:p>
    <w:p>
      <w:pPr>
        <w:pStyle w:val="Heading1"/>
      </w:pPr>
      <w:r>
        <w:t>4. Карта прав и практического использования</w:t>
      </w:r>
    </w:p>
    <w:p>
      <w:pPr>
        <w:pStyle w:val="Heading2"/>
      </w:pPr>
      <w:r>
        <w:t>Свободные слои — только в пределах конкретного объекта</w:t>
      </w:r>
    </w:p>
    <w:p>
      <w:r>
        <w:t xml:space="preserve">Для e-rara </w:t>
      </w:r>
      <w:hyperlink r:id="rId78">
        <w:r>
          <w:rPr>
            <w:color w:val="16727B"/>
            <w:u w:val="single"/>
          </w:rPr>
          <w:t>R025</w:t>
        </w:r>
      </w:hyperlink>
      <w:r>
        <w:t xml:space="preserve"> и </w:t>
      </w:r>
      <w:hyperlink r:id="rId41">
        <w:r>
          <w:rPr>
            <w:color w:val="16727B"/>
            <w:u w:val="single"/>
          </w:rPr>
          <w:t>R088</w:t>
        </w:r>
      </w:hyperlink>
      <w:r>
        <w:t xml:space="preserve"> item-level Public Domain Mark поддерживает использование конкретных оцифровок и их открытых производных: зеркало, OCR, поиск и индексацию указанного материала. PDM — маркировка статуса общественного достояния, не лицензия. Сохранять название учреждения, идентификатор и ссылку на оригинальную карточку полезно даже там, где это не условие авторского разрешения.</w:t>
      </w:r>
    </w:p>
    <w:p>
      <w:r>
        <w:t>У транскрипций Wikisource применяются указанные на страницах CC BY-SA 4.0 и правила атрибуции. Для повторного размещения текстового слоя нужны источник и история авторства, уведомление о лицензии и обозначение изменений; ShareAlike относится к лицензируемой переработке. Это не разрешение на внешние фотографии, PDF или чужие современные переводы. У Chadash смешанные права не позволили распространить положительный вывод на всю страницу. [</w:t>
      </w:r>
      <w:hyperlink r:id="rId11">
        <w:r>
          <w:rPr>
            <w:color w:val="16727B"/>
            <w:u w:val="single"/>
          </w:rPr>
          <w:t>R001</w:t>
        </w:r>
      </w:hyperlink>
      <w:r>
        <w:t xml:space="preserve">, </w:t>
      </w:r>
      <w:hyperlink r:id="rId49">
        <w:r>
          <w:rPr>
            <w:color w:val="16727B"/>
            <w:u w:val="single"/>
          </w:rPr>
          <w:t>R005</w:t>
        </w:r>
      </w:hyperlink>
      <w:r>
        <w:t xml:space="preserve">, </w:t>
      </w:r>
      <w:hyperlink r:id="rId60">
        <w:r>
          <w:rPr>
            <w:color w:val="16727B"/>
            <w:u w:val="single"/>
          </w:rPr>
          <w:t>R008</w:t>
        </w:r>
      </w:hyperlink>
      <w:r>
        <w:t xml:space="preserve">, </w:t>
      </w:r>
      <w:hyperlink r:id="rId82">
        <w:r>
          <w:rPr>
            <w:color w:val="16727B"/>
            <w:u w:val="single"/>
          </w:rPr>
          <w:t>R013</w:t>
        </w:r>
      </w:hyperlink>
      <w:r>
        <w:t>–</w:t>
      </w:r>
      <w:hyperlink r:id="rId29">
        <w:r>
          <w:rPr>
            <w:color w:val="16727B"/>
            <w:u w:val="single"/>
          </w:rPr>
          <w:t>R015</w:t>
        </w:r>
      </w:hyperlink>
      <w:r>
        <w:t xml:space="preserve">, </w:t>
      </w:r>
      <w:hyperlink r:id="rId65">
        <w:r>
          <w:rPr>
            <w:color w:val="16727B"/>
            <w:u w:val="single"/>
          </w:rPr>
          <w:t>R019</w:t>
        </w:r>
      </w:hyperlink>
      <w:r>
        <w:t xml:space="preserve">, </w:t>
      </w:r>
      <w:hyperlink r:id="rId19">
        <w:r>
          <w:rPr>
            <w:color w:val="16727B"/>
            <w:u w:val="single"/>
          </w:rPr>
          <w:t>R079</w:t>
        </w:r>
      </w:hyperlink>
      <w:r>
        <w:t>–</w:t>
      </w:r>
      <w:hyperlink r:id="rId55">
        <w:r>
          <w:rPr>
            <w:color w:val="16727B"/>
            <w:u w:val="single"/>
          </w:rPr>
          <w:t>R082</w:t>
        </w:r>
      </w:hyperlink>
      <w:r>
        <w:t>]</w:t>
      </w:r>
    </w:p>
    <w:p>
      <w:r>
        <w:t>Современный перевод Chavel образует отдельную группу CC BY 4.0: атрибуция и указание изменений без условия ShareAlike. Положительные теги относятся к лицензированному английскому тексту, не к оформлению сайта, обложкам и сторонним изображениям. Сочетание MIRROR_WITH_ATTRIBUTION и RIGHTS_REVIEW_REQUIRED у Sefaria-пути означает необходимость сначала выделить именно эту версию из смешанной выдачи, а не сомнение в найденном разрешении Shilo. [</w:t>
      </w:r>
      <w:hyperlink r:id="rId57">
        <w:r>
          <w:rPr>
            <w:color w:val="16727B"/>
            <w:u w:val="single"/>
          </w:rPr>
          <w:t>R086</w:t>
        </w:r>
      </w:hyperlink>
      <w:r>
        <w:t>–</w:t>
      </w:r>
      <w:hyperlink r:id="rId58">
        <w:r>
          <w:rPr>
            <w:color w:val="16727B"/>
            <w:u w:val="single"/>
          </w:rPr>
          <w:t>R087</w:t>
        </w:r>
      </w:hyperlink>
      <w:r>
        <w:t>]</w:t>
      </w:r>
    </w:p>
    <w:p>
      <w:pPr>
        <w:pStyle w:val="Heading2"/>
      </w:pPr>
      <w:r>
        <w:t>Некоммерческое распространение без изменений</w:t>
      </w:r>
    </w:p>
    <w:p>
      <w:r>
        <w:t>Brown официально описывает выбранные OA-тома программы как CC BY-NC-ND. Для Sefer ha-Rimmon сохранены MIRROR_NONCOMMERCIAL и UNCHANGED_ONLY: размещать именно официальный открытый выпуск, с атрибуцией и уведомлениями, не произвольный скан старого издания. Номер версии лицензии и возможные исключения требуется сверить в полученном файле. Это не автоматическая лицензия всей серии Brown Judaic Studies. [</w:t>
      </w:r>
      <w:hyperlink r:id="rId13">
        <w:r>
          <w:rPr>
            <w:color w:val="16727B"/>
            <w:u w:val="single"/>
          </w:rPr>
          <w:t>R017</w:t>
        </w:r>
      </w:hyperlink>
      <w:r>
        <w:t>–</w:t>
      </w:r>
      <w:hyperlink r:id="rId64">
        <w:r>
          <w:rPr>
            <w:color w:val="16727B"/>
            <w:u w:val="single"/>
          </w:rPr>
          <w:t>R018</w:t>
        </w:r>
      </w:hyperlink>
      <w:r>
        <w:t>]</w:t>
      </w:r>
    </w:p>
    <w:p>
      <w:r>
        <w:t>Из этих двух тегов нельзя выводить разрешение публиковать исправленную критическую транскрипцию, полный поисковый индекс или отдельный набор embeddings. Такие действия в реестре не объединены с зеркалированием и требуют проверки своего основания. Некоммерческая направленность ToS делает NC-маршрут полезным, но не отменяет условия ND и ограничения сторонних компонентов.</w:t>
      </w:r>
    </w:p>
    <w:p>
      <w:pPr>
        <w:pStyle w:val="Heading2"/>
      </w:pPr>
      <w:r>
        <w:t>Чтение и скачивание без доказанного права зеркала</w:t>
      </w:r>
    </w:p>
    <w:p>
      <w:r>
        <w:t>Daat, университетская страница Brody и ряд институциональных сканов полезны даже при неизвестной лицензии повторного использования. FREE_READ и FREE_DOWNLOAD описывают доступ, а LOCAL_RESEARCH_COPY — исследовательскую копию в пределах предложенного режима, не право раздавать материал посетителям ToS. Для защищённых объектов эти действия не расширяются автоматически до OCR, публичного индекса или обработки всего корпуса. [</w:t>
      </w:r>
      <w:hyperlink r:id="rId30">
        <w:r>
          <w:rPr>
            <w:color w:val="16727B"/>
            <w:u w:val="single"/>
          </w:rPr>
          <w:t>R016</w:t>
        </w:r>
      </w:hyperlink>
      <w:r>
        <w:t xml:space="preserve">, </w:t>
      </w:r>
      <w:hyperlink r:id="rId75">
        <w:r>
          <w:rPr>
            <w:color w:val="16727B"/>
            <w:u w:val="single"/>
          </w:rPr>
          <w:t>R022</w:t>
        </w:r>
      </w:hyperlink>
      <w:r>
        <w:t xml:space="preserve">, </w:t>
      </w:r>
      <w:hyperlink r:id="rId56">
        <w:r>
          <w:rPr>
            <w:color w:val="16727B"/>
            <w:u w:val="single"/>
          </w:rPr>
          <w:t>R083</w:t>
        </w:r>
      </w:hyperlink>
      <w:r>
        <w:t>–</w:t>
      </w:r>
      <w:hyperlink r:id="rId24">
        <w:r>
          <w:rPr>
            <w:color w:val="16727B"/>
            <w:u w:val="single"/>
          </w:rPr>
          <w:t>R085</w:t>
        </w:r>
      </w:hyperlink>
      <w:r>
        <w:t>]</w:t>
      </w:r>
    </w:p>
    <w:p>
      <w:r>
        <w:t>Иначе устроены покупные издания Hayman, Kaplan, Weinstein, Mopsik и Bouskila: ссылка, карточка, разрешённый preview и покупка остаются законными маршрутами, хотя прав на размещение текста не найдено. Недоступная продаже Or Neʿerav у Verdier сохранена как библиографический вход, а не как действующее предложение покупки. [</w:t>
      </w:r>
      <w:hyperlink r:id="rId45">
        <w:r>
          <w:rPr>
            <w:color w:val="16727B"/>
            <w:u w:val="single"/>
          </w:rPr>
          <w:t>R003</w:t>
        </w:r>
      </w:hyperlink>
      <w:r>
        <w:t xml:space="preserve">, </w:t>
      </w:r>
      <w:hyperlink r:id="rId50">
        <w:r>
          <w:rPr>
            <w:color w:val="16727B"/>
            <w:u w:val="single"/>
          </w:rPr>
          <w:t>R007</w:t>
        </w:r>
      </w:hyperlink>
      <w:r>
        <w:t xml:space="preserve">, </w:t>
      </w:r>
      <w:hyperlink r:id="rId23">
        <w:r>
          <w:rPr>
            <w:color w:val="16727B"/>
            <w:u w:val="single"/>
          </w:rPr>
          <w:t>R039</w:t>
        </w:r>
      </w:hyperlink>
      <w:r>
        <w:t>–</w:t>
      </w:r>
      <w:hyperlink r:id="rId83">
        <w:r>
          <w:rPr>
            <w:color w:val="16727B"/>
            <w:u w:val="single"/>
          </w:rPr>
          <w:t>R045</w:t>
        </w:r>
      </w:hyperlink>
      <w:r>
        <w:t xml:space="preserve">, </w:t>
      </w:r>
      <w:hyperlink r:id="rId62">
        <w:r>
          <w:rPr>
            <w:color w:val="16727B"/>
            <w:u w:val="single"/>
          </w:rPr>
          <w:t>R048</w:t>
        </w:r>
      </w:hyperlink>
      <w:r>
        <w:t>–</w:t>
      </w:r>
      <w:hyperlink r:id="rId67">
        <w:r>
          <w:rPr>
            <w:color w:val="16727B"/>
            <w:u w:val="single"/>
          </w:rPr>
          <w:t>R049</w:t>
        </w:r>
      </w:hyperlink>
      <w:r>
        <w:t xml:space="preserve">, </w:t>
      </w:r>
      <w:hyperlink r:id="rId73">
        <w:r>
          <w:rPr>
            <w:color w:val="16727B"/>
            <w:u w:val="single"/>
          </w:rPr>
          <w:t>R054</w:t>
        </w:r>
      </w:hyperlink>
      <w:r>
        <w:t>–</w:t>
      </w:r>
      <w:hyperlink r:id="rId26">
        <w:r>
          <w:rPr>
            <w:color w:val="16727B"/>
            <w:u w:val="single"/>
          </w:rPr>
          <w:t>R062</w:t>
        </w:r>
      </w:hyperlink>
      <w:r>
        <w:t>]</w:t>
      </w:r>
    </w:p>
    <w:p>
      <w:pPr>
        <w:pStyle w:val="Heading2"/>
      </w:pPr>
      <w:r>
        <w:t>Изображения и каталоги со смешанными правами</w:t>
      </w:r>
    </w:p>
    <w:p>
      <w:r>
        <w:t xml:space="preserve">CJA/Gross прямо обозначает собственника изображений; разрешение на чтение записи и просмотр нескольких фотографий не заменяет разрешения на публикацию фотокопий. Ilanot индивидуализирует свидетелей, но его научная принадлежность сама по себе не предоставляет лицензию на фотографии из сторонних собраний. Изображение Library of Congress в </w:t>
      </w:r>
      <w:hyperlink r:id="rId44">
        <w:r>
          <w:rPr>
            <w:color w:val="16727B"/>
            <w:u w:val="single"/>
          </w:rPr>
          <w:t>R091</w:t>
        </w:r>
      </w:hyperlink>
      <w:r>
        <w:t xml:space="preserve"> проверено, однако отдельное разрешение на повторное использование не установлено. [</w:t>
      </w:r>
      <w:hyperlink r:id="rId37">
        <w:r>
          <w:rPr>
            <w:color w:val="16727B"/>
            <w:u w:val="single"/>
          </w:rPr>
          <w:t>R021</w:t>
        </w:r>
      </w:hyperlink>
      <w:r>
        <w:t xml:space="preserve">, </w:t>
      </w:r>
      <w:hyperlink r:id="rId84">
        <w:r>
          <w:rPr>
            <w:color w:val="16727B"/>
            <w:u w:val="single"/>
          </w:rPr>
          <w:t>R026</w:t>
        </w:r>
      </w:hyperlink>
      <w:r>
        <w:t>–</w:t>
      </w:r>
      <w:hyperlink r:id="rId38">
        <w:r>
          <w:rPr>
            <w:color w:val="16727B"/>
            <w:u w:val="single"/>
          </w:rPr>
          <w:t>R027</w:t>
        </w:r>
      </w:hyperlink>
      <w:r>
        <w:t xml:space="preserve">, </w:t>
      </w:r>
      <w:hyperlink r:id="rId42">
        <w:r>
          <w:rPr>
            <w:color w:val="16727B"/>
            <w:u w:val="single"/>
          </w:rPr>
          <w:t>R063</w:t>
        </w:r>
      </w:hyperlink>
      <w:r>
        <w:t>–</w:t>
      </w:r>
      <w:hyperlink r:id="rId43">
        <w:r>
          <w:rPr>
            <w:color w:val="16727B"/>
            <w:u w:val="single"/>
          </w:rPr>
          <w:t>R067</w:t>
        </w:r>
      </w:hyperlink>
      <w:r>
        <w:t xml:space="preserve">, </w:t>
      </w:r>
      <w:hyperlink r:id="rId63">
        <w:r>
          <w:rPr>
            <w:color w:val="16727B"/>
            <w:u w:val="single"/>
          </w:rPr>
          <w:t>R089</w:t>
        </w:r>
      </w:hyperlink>
      <w:r>
        <w:t>–</w:t>
      </w:r>
      <w:hyperlink r:id="rId44">
        <w:r>
          <w:rPr>
            <w:color w:val="16727B"/>
            <w:u w:val="single"/>
          </w:rPr>
          <w:t>R091</w:t>
        </w:r>
      </w:hyperlink>
      <w:r>
        <w:t>]</w:t>
      </w:r>
    </w:p>
    <w:p>
      <w:r>
        <w:t>Метаданные можно использовать для собственных библиографических карточек, опираясь на проверенные факты и давая ссылку. Полное копирование чужого каталожного описания или массовый сбор базы — другое действие; без применимых условий в таблице не присвоен безусловный MIRROR_OK для каталога. Поиск API или IIIF не означает, что открыты права на всё, что технически выдаёт сервер.</w:t>
      </w:r>
    </w:p>
    <w:p>
      <w:pPr>
        <w:pStyle w:val="Heading2"/>
      </w:pPr>
      <w:r>
        <w:t>Основа собственного перевода ToS</w:t>
      </w:r>
    </w:p>
    <w:p>
      <w:r>
        <w:t>Положительный OWN_TRANSLATION_POSSIBLE выставлен только для конкретного слоя: ивритской версии Sefer Yetzirah, старопечатной основы Bahir, открытого текста Shaʿarei Orah, доступных арамейских разделов Зогара, текста Pardes Rimmonim, стихотворного вступления Нахманида и двух латинских исторических изданий. Для неполного корпуса тег охватывает только доступные разделы; для латинского текста — только перевод этой рецепции. [</w:t>
      </w:r>
      <w:hyperlink r:id="rId11">
        <w:r>
          <w:rPr>
            <w:color w:val="16727B"/>
            <w:u w:val="single"/>
          </w:rPr>
          <w:t>R001</w:t>
        </w:r>
      </w:hyperlink>
      <w:r>
        <w:t xml:space="preserve">, </w:t>
      </w:r>
      <w:hyperlink r:id="rId49">
        <w:r>
          <w:rPr>
            <w:color w:val="16727B"/>
            <w:u w:val="single"/>
          </w:rPr>
          <w:t>R005</w:t>
        </w:r>
      </w:hyperlink>
      <w:r>
        <w:t xml:space="preserve">, </w:t>
      </w:r>
      <w:hyperlink r:id="rId60">
        <w:r>
          <w:rPr>
            <w:color w:val="16727B"/>
            <w:u w:val="single"/>
          </w:rPr>
          <w:t>R008</w:t>
        </w:r>
      </w:hyperlink>
      <w:r>
        <w:t xml:space="preserve">, </w:t>
      </w:r>
      <w:hyperlink r:id="rId82">
        <w:r>
          <w:rPr>
            <w:color w:val="16727B"/>
            <w:u w:val="single"/>
          </w:rPr>
          <w:t>R013</w:t>
        </w:r>
      </w:hyperlink>
      <w:r>
        <w:t xml:space="preserve">, </w:t>
      </w:r>
      <w:hyperlink r:id="rId78">
        <w:r>
          <w:rPr>
            <w:color w:val="16727B"/>
            <w:u w:val="single"/>
          </w:rPr>
          <w:t>R025</w:t>
        </w:r>
      </w:hyperlink>
      <w:r>
        <w:t xml:space="preserve">, </w:t>
      </w:r>
      <w:hyperlink r:id="rId35">
        <w:r>
          <w:rPr>
            <w:color w:val="16727B"/>
            <w:u w:val="single"/>
          </w:rPr>
          <w:t>R080</w:t>
        </w:r>
      </w:hyperlink>
      <w:r>
        <w:t xml:space="preserve">, </w:t>
      </w:r>
      <w:hyperlink r:id="rId55">
        <w:r>
          <w:rPr>
            <w:color w:val="16727B"/>
            <w:u w:val="single"/>
          </w:rPr>
          <w:t>R082</w:t>
        </w:r>
      </w:hyperlink>
      <w:r>
        <w:t xml:space="preserve">, </w:t>
      </w:r>
      <w:hyperlink r:id="rId41">
        <w:r>
          <w:rPr>
            <w:color w:val="16727B"/>
            <w:u w:val="single"/>
          </w:rPr>
          <w:t>R088</w:t>
        </w:r>
      </w:hyperlink>
      <w:r>
        <w:t>]</w:t>
      </w:r>
    </w:p>
    <w:p>
      <w:r>
        <w:t>Тег не поставлен для защищённых критических реконструкций Hayman и Pritzker, современных переводов-посредников и английских введений к ивритским изданиям. Лицензия Chavel допускает предусмотренные ею переработки английской версии, но в этом реестре она не обозначает самостоятельный перевод с иврита. Текстологическая надёжность и юридическая чистота остаются двумя отдельными вопросами.</w:t>
      </w:r>
    </w:p>
    <w:p>
      <w:pPr>
        <w:pStyle w:val="Heading1"/>
      </w:pPr>
      <w:r>
        <w:t>5. Характерные правовые и библиографические тонкости</w:t>
      </w:r>
    </w:p>
    <w:p>
      <w:pPr>
        <w:pStyle w:val="Heading2"/>
      </w:pPr>
      <w:r>
        <w:t>Возраст произведения, возраст версии и дата носителя</w:t>
      </w:r>
    </w:p>
    <w:p>
      <w:r>
        <w:t>Узлу особенно вредна формула «средневековый текст — значит свободный файл». Открытость транскрипции не распространяется на современный критический аппарат; старый перевод может быть дополнен новым введением; старопечатная книга может попасть в каталог через факсимильную перепечатку XX века. Именно поэтому Ginnat Egoz на Internet Archive не получил автоматического глобального статуса PD, а современная редакция перевода Munk у Verdier не приравнена к старому французскому переводу. [</w:t>
      </w:r>
      <w:hyperlink r:id="rId45">
        <w:r>
          <w:rPr>
            <w:color w:val="16727B"/>
            <w:u w:val="single"/>
          </w:rPr>
          <w:t>R003</w:t>
        </w:r>
      </w:hyperlink>
      <w:r>
        <w:t xml:space="preserve">, </w:t>
      </w:r>
      <w:hyperlink r:id="rId26">
        <w:r>
          <w:rPr>
            <w:color w:val="16727B"/>
            <w:u w:val="single"/>
          </w:rPr>
          <w:t>R062</w:t>
        </w:r>
      </w:hyperlink>
      <w:r>
        <w:t xml:space="preserve">, </w:t>
      </w:r>
      <w:hyperlink r:id="rId20">
        <w:r>
          <w:rPr>
            <w:color w:val="16727B"/>
            <w:u w:val="single"/>
          </w:rPr>
          <w:t>R084</w:t>
        </w:r>
      </w:hyperlink>
      <w:r>
        <w:t>]</w:t>
      </w:r>
    </w:p>
    <w:p>
      <w:r>
        <w:t>Американская отметка общественного достояния сохранена как американская. В частности, MIRROR_OK у Gutenberg-выдержки Idra Zuta ограничен США и условиями Project Gutenberg; RIGHTS_REVIEW_REQUIRED блокирует автоматическое глобальное распространение. Юрисдикция будущего размещения ToS не предполагается по месту нахождения пользователя. [</w:t>
      </w:r>
      <w:hyperlink r:id="rId76">
        <w:r>
          <w:rPr>
            <w:color w:val="16727B"/>
            <w:u w:val="single"/>
          </w:rPr>
          <w:t>R023</w:t>
        </w:r>
      </w:hyperlink>
      <w:r>
        <w:t xml:space="preserve">, </w:t>
      </w:r>
      <w:hyperlink r:id="rId24">
        <w:r>
          <w:rPr>
            <w:color w:val="16727B"/>
            <w:u w:val="single"/>
          </w:rPr>
          <w:t>R085</w:t>
        </w:r>
      </w:hyperlink>
      <w:r>
        <w:t>]</w:t>
      </w:r>
    </w:p>
    <w:p>
      <w:pPr>
        <w:pStyle w:val="Heading2"/>
      </w:pPr>
      <w:r>
        <w:t>Один корпус — множество неполных входов</w:t>
      </w:r>
    </w:p>
    <w:p>
      <w:r>
        <w:t>Семь французских томов, три трактата Mathers, один разворот рукописи и двенадцатитомный издательский проект — не взаимозаменяемые меры покрытия. Зогарический материал внутри латинской компиляции также не превращает её в полный оригинальный Зогар. coverage описывает соответствующий слой, тогда как форматы перечисляют лишь способы его представления. [</w:t>
      </w:r>
      <w:hyperlink r:id="rId75">
        <w:r>
          <w:rPr>
            <w:color w:val="16727B"/>
            <w:u w:val="single"/>
          </w:rPr>
          <w:t>R022</w:t>
        </w:r>
      </w:hyperlink>
      <w:r>
        <w:t>–</w:t>
      </w:r>
      <w:hyperlink r:id="rId78">
        <w:r>
          <w:rPr>
            <w:color w:val="16727B"/>
            <w:u w:val="single"/>
          </w:rPr>
          <w:t>R025</w:t>
        </w:r>
      </w:hyperlink>
      <w:r>
        <w:t xml:space="preserve">, </w:t>
      </w:r>
      <w:hyperlink r:id="rId71">
        <w:r>
          <w:rPr>
            <w:color w:val="16727B"/>
            <w:u w:val="single"/>
          </w:rPr>
          <w:t>R051</w:t>
        </w:r>
      </w:hyperlink>
      <w:r>
        <w:t>–</w:t>
      </w:r>
      <w:hyperlink r:id="rId74">
        <w:r>
          <w:rPr>
            <w:color w:val="16727B"/>
            <w:u w:val="single"/>
          </w:rPr>
          <w:t>R060</w:t>
        </w:r>
      </w:hyperlink>
      <w:r>
        <w:t xml:space="preserve">, </w:t>
      </w:r>
      <w:hyperlink r:id="rId41">
        <w:r>
          <w:rPr>
            <w:color w:val="16727B"/>
            <w:u w:val="single"/>
          </w:rPr>
          <w:t>R088</w:t>
        </w:r>
      </w:hyperlink>
      <w:r>
        <w:t xml:space="preserve">, </w:t>
      </w:r>
      <w:hyperlink r:id="rId44">
        <w:r>
          <w:rPr>
            <w:color w:val="16727B"/>
            <w:u w:val="single"/>
          </w:rPr>
          <w:t>R091</w:t>
        </w:r>
      </w:hyperlink>
      <w:r>
        <w:t>]</w:t>
      </w:r>
    </w:p>
    <w:p>
      <w:r>
        <w:t>Отдельно контролировались ложные совпадения: Ezra и Azriel; традиционный Raʾavad и фактическая атрибуция комментария; Rasag и псевдо-Саадия; одноимённые Shaʿarei Orah; Giovanni Pico и Giovanni Francesco Pico. Если каталог использует старую атрибуцию, она сохранена как традиционная или каталожная, а не превращена в установленное современное авторство. [</w:t>
      </w:r>
      <w:hyperlink r:id="rId60">
        <w:r>
          <w:rPr>
            <w:color w:val="16727B"/>
            <w:u w:val="single"/>
          </w:rPr>
          <w:t>R008</w:t>
        </w:r>
      </w:hyperlink>
      <w:r>
        <w:t xml:space="preserve">, </w:t>
      </w:r>
      <w:hyperlink r:id="rId30">
        <w:r>
          <w:rPr>
            <w:color w:val="16727B"/>
            <w:u w:val="single"/>
          </w:rPr>
          <w:t>R016</w:t>
        </w:r>
      </w:hyperlink>
      <w:r>
        <w:t xml:space="preserve">, </w:t>
      </w:r>
      <w:hyperlink r:id="rId47">
        <w:r>
          <w:rPr>
            <w:color w:val="16727B"/>
            <w:u w:val="single"/>
          </w:rPr>
          <w:t>R028</w:t>
        </w:r>
      </w:hyperlink>
      <w:r>
        <w:t>–</w:t>
      </w:r>
      <w:hyperlink r:id="rId54">
        <w:r>
          <w:rPr>
            <w:color w:val="16727B"/>
            <w:u w:val="single"/>
          </w:rPr>
          <w:t>R031</w:t>
        </w:r>
      </w:hyperlink>
      <w:r>
        <w:t xml:space="preserve">, </w:t>
      </w:r>
      <w:hyperlink r:id="rId41">
        <w:r>
          <w:rPr>
            <w:color w:val="16727B"/>
            <w:u w:val="single"/>
          </w:rPr>
          <w:t>R088</w:t>
        </w:r>
      </w:hyperlink>
      <w:r>
        <w:t>]</w:t>
      </w:r>
    </w:p>
    <w:p>
      <w:pPr>
        <w:pStyle w:val="Heading2"/>
      </w:pPr>
      <w:r>
        <w:t>Цифровой интерфейс не является доказательством полноты</w:t>
      </w:r>
    </w:p>
    <w:p>
      <w:r>
        <w:t>У ряда Sefaria-записей и у русского reader загрузилась только оболочка сайта. Они включены как найденные официальные входы с явным ограничением, а не как подтверждённые полные выгрузки. У e-rara большой объём файла стал техническим пределом получения; это отличается от запрета доступа. У Stanford, Vatican и NLI ошибки fetch/403 не доказывают, что соответствующий ресурс недоступен обычному посетителю. [</w:t>
      </w:r>
      <w:hyperlink r:id="rId46">
        <w:r>
          <w:rPr>
            <w:color w:val="16727B"/>
            <w:u w:val="single"/>
          </w:rPr>
          <w:t>R002</w:t>
        </w:r>
      </w:hyperlink>
      <w:r>
        <w:t xml:space="preserve">, </w:t>
      </w:r>
      <w:hyperlink r:id="rId81">
        <w:r>
          <w:rPr>
            <w:color w:val="16727B"/>
            <w:u w:val="single"/>
          </w:rPr>
          <w:t>R024</w:t>
        </w:r>
      </w:hyperlink>
      <w:r>
        <w:t xml:space="preserve">, </w:t>
      </w:r>
      <w:hyperlink r:id="rId38">
        <w:r>
          <w:rPr>
            <w:color w:val="16727B"/>
            <w:u w:val="single"/>
          </w:rPr>
          <w:t>R027</w:t>
        </w:r>
      </w:hyperlink>
      <w:r>
        <w:t>–</w:t>
      </w:r>
      <w:hyperlink r:id="rId85">
        <w:r>
          <w:rPr>
            <w:color w:val="16727B"/>
            <w:u w:val="single"/>
          </w:rPr>
          <w:t>R037</w:t>
        </w:r>
      </w:hyperlink>
      <w:r>
        <w:t xml:space="preserve">, </w:t>
      </w:r>
      <w:hyperlink r:id="rId71">
        <w:r>
          <w:rPr>
            <w:color w:val="16727B"/>
            <w:u w:val="single"/>
          </w:rPr>
          <w:t>R051</w:t>
        </w:r>
      </w:hyperlink>
      <w:r>
        <w:t>–</w:t>
      </w:r>
      <w:hyperlink r:id="rId86">
        <w:r>
          <w:rPr>
            <w:color w:val="16727B"/>
            <w:u w:val="single"/>
          </w:rPr>
          <w:t>R052</w:t>
        </w:r>
      </w:hyperlink>
      <w:r>
        <w:t xml:space="preserve">, </w:t>
      </w:r>
      <w:hyperlink r:id="rId27">
        <w:r>
          <w:rPr>
            <w:color w:val="16727B"/>
            <w:u w:val="single"/>
          </w:rPr>
          <w:t>R068</w:t>
        </w:r>
      </w:hyperlink>
      <w:r>
        <w:t>–</w:t>
      </w:r>
      <w:hyperlink r:id="rId40">
        <w:r>
          <w:rPr>
            <w:color w:val="16727B"/>
            <w:u w:val="single"/>
          </w:rPr>
          <w:t>R078</w:t>
        </w:r>
      </w:hyperlink>
      <w:r>
        <w:t xml:space="preserve">, </w:t>
      </w:r>
      <w:hyperlink r:id="rId77">
        <w:r>
          <w:rPr>
            <w:color w:val="16727B"/>
            <w:u w:val="single"/>
          </w:rPr>
          <w:t>R092</w:t>
        </w:r>
      </w:hyperlink>
      <w:r>
        <w:t>–</w:t>
      </w:r>
      <w:hyperlink r:id="rId80">
        <w:r>
          <w:rPr>
            <w:color w:val="16727B"/>
            <w:u w:val="single"/>
          </w:rPr>
          <w:t>R093</w:t>
        </w:r>
      </w:hyperlink>
      <w:r>
        <w:t>]</w:t>
      </w:r>
    </w:p>
    <w:p>
      <w:r>
        <w:t>Где опубликована явная лицензия конкретной версии, её можно проверить независимо от получения всего файла. Обратное неверно: доступный файл не доказывает открытые права. Эта асимметрия объясняет одновременно высокую уверенность в лицензии Chavel и незавершённость его технической выгрузки. [</w:t>
      </w:r>
      <w:hyperlink r:id="rId57">
        <w:r>
          <w:rPr>
            <w:color w:val="16727B"/>
            <w:u w:val="single"/>
          </w:rPr>
          <w:t>R086</w:t>
        </w:r>
      </w:hyperlink>
      <w:r>
        <w:t>–</w:t>
      </w:r>
      <w:hyperlink r:id="rId58">
        <w:r>
          <w:rPr>
            <w:color w:val="16727B"/>
            <w:u w:val="single"/>
          </w:rPr>
          <w:t>R087</w:t>
        </w:r>
      </w:hyperlink>
      <w:r>
        <w:t>]</w:t>
      </w:r>
    </w:p>
    <w:p>
      <w:pPr>
        <w:pStyle w:val="Heading1"/>
      </w:pPr>
      <w:r>
        <w:t>6. Пробелы и дальнейший поиск</w:t>
      </w:r>
    </w:p>
    <w:p>
      <w:r>
        <w:t>Лист gaps фиксирует конкретный остаток исследования, включая релевантные внепериодные объекты. Его строки не означают отсутствия произведений. Центральные семейства охвачены, но Абулафия, ранние комментарии и часть кастильских авторских трактатов пока не имеют полного набора проверенных item-level маршрутов. Далее перечислены восемь направлений с наибольшей практической отдачей.</w:t>
      </w:r>
    </w:p>
    <w:p>
      <w:pPr>
        <w:pStyle w:val="Heading2"/>
      </w:pPr>
      <w:r>
        <w:t>6.1. Выделить проверенные версии Sefaria</w:t>
      </w:r>
    </w:p>
    <w:p>
      <w:r>
        <w:t xml:space="preserve">Получить оригинальные Version-метаданные и тела перечисленных книг, начиная с конкретного английского Chavel; сопоставить versionTitle, источник, лицензию и полноту пяти книг. Не импортировать merged-текст как единую лицензию. Для Sefaria-Export проверить фактическое местоположение текущей выгрузки и права каждого компонента. Открытый выпуск Chavel подтверждён, его полный локальный текст — нет. [G001, G025; </w:t>
      </w:r>
      <w:hyperlink r:id="rId81">
        <w:r>
          <w:rPr>
            <w:color w:val="16727B"/>
            <w:u w:val="single"/>
          </w:rPr>
          <w:t>R024</w:t>
        </w:r>
      </w:hyperlink>
      <w:r>
        <w:t xml:space="preserve">, </w:t>
      </w:r>
      <w:hyperlink r:id="rId58">
        <w:r>
          <w:rPr>
            <w:color w:val="16727B"/>
            <w:u w:val="single"/>
          </w:rPr>
          <w:t>R087</w:t>
        </w:r>
      </w:hyperlink>
      <w:r>
        <w:t>]</w:t>
      </w:r>
    </w:p>
    <w:p>
      <w:pPr>
        <w:pStyle w:val="Heading2"/>
      </w:pPr>
      <w:r>
        <w:t>6.2. Закрыть ранние тексты и их атрибуции</w:t>
      </w:r>
    </w:p>
    <w:p>
      <w:r>
        <w:t>Приоритет — подлинный комментарий Саадии, ранние редакции Sefer Yetzirah, полный комментарий Исаака Слепого, Perush ha-Aggadot и другие сочинения Азриэля/Эзры, тексты Iyyun и «Левой эманации». Проверить состав Sefer ha-Temunah и её приложений. Bahir, BSB Cod. hebr. 209 остаётся unverified_candidate до официальной идентификации и проверки цифровых изображений. [G002–G005, G011, G022]</w:t>
      </w:r>
    </w:p>
    <w:p>
      <w:pPr>
        <w:pStyle w:val="Heading2"/>
      </w:pPr>
      <w:r>
        <w:t>6.3. Дополнить авторский корпус Абулафии</w:t>
      </w:r>
    </w:p>
    <w:p>
      <w:r>
        <w:t xml:space="preserve">Найти пригодные издания и рукописные входы к Chayei ha-Olam ha-Ba, Otzar Eden Ganuz, Sefer ha-Ot, Imrei Shefer и Sitrei Torah; затем уточнить редакции пяти уже найденных Sefaria-заглавий. Цель — отличить доступ к книге от оглавления, а авторизованный современный перевод от случайного PDF неизвестного происхождения. [G006; </w:t>
      </w:r>
      <w:hyperlink r:id="rId15">
        <w:r>
          <w:rPr>
            <w:color w:val="16727B"/>
            <w:u w:val="single"/>
          </w:rPr>
          <w:t>R032</w:t>
        </w:r>
      </w:hyperlink>
      <w:r>
        <w:t>–</w:t>
      </w:r>
      <w:hyperlink r:id="rId59">
        <w:r>
          <w:rPr>
            <w:color w:val="16727B"/>
            <w:u w:val="single"/>
          </w:rPr>
          <w:t>R036</w:t>
        </w:r>
      </w:hyperlink>
      <w:r>
        <w:t>]</w:t>
      </w:r>
    </w:p>
    <w:p>
      <w:pPr>
        <w:pStyle w:val="Heading2"/>
      </w:pPr>
      <w:r>
        <w:t>6.4. Дополнить кастильские трактаты</w:t>
      </w:r>
    </w:p>
    <w:p>
      <w:r>
        <w:t>Для де Леона разыскать Nefesh ha-Hakhamah, Shoshan Edut и самостоятельный полный текст Nameless Composition; у Иосифа из Хамадана — Taʿamei ha-Mitzvot и Tashaq; для Book of Mirrors — официальный полный доступ или реальную библиотечную выдачу. Отдельно нужны свидетельства Meʾirat Einayim Исаака из Акко и комментарийная передача Нахманида. [G007–G010, G012]</w:t>
      </w:r>
    </w:p>
    <w:p>
      <w:pPr>
        <w:pStyle w:val="Heading2"/>
      </w:pPr>
      <w:r>
        <w:t>6.5. Проверить зогарический состав и научные комплекты</w:t>
      </w:r>
    </w:p>
    <w:p>
      <w:r>
        <w:t xml:space="preserve">Повторно открыть Pritzker/Stanford вне текущего ограничения, установить доступ к арамейской основе, дополнениям и каждому тому. Для Raʿaya Meheimna, Sifra de-Tzniuta и обеих Idrot найти полные оригинальные слои, а не полагаться на отдельные проверенные участки. У антологии Тишби уже есть preview </w:t>
      </w:r>
      <w:hyperlink r:id="rId12">
        <w:r>
          <w:rPr>
            <w:color w:val="16727B"/>
            <w:u w:val="single"/>
          </w:rPr>
          <w:t>R094</w:t>
        </w:r>
      </w:hyperlink>
      <w:r>
        <w:t>; остаётся подтвердить покупной или библиотечный доступ к полному комплекту. [G014–G016]</w:t>
      </w:r>
    </w:p>
    <w:p>
      <w:pPr>
        <w:pStyle w:val="Heading2"/>
      </w:pPr>
      <w:r>
        <w:t>6.6. Перейти от каталогов к факсимиле</w:t>
      </w:r>
    </w:p>
    <w:p>
      <w:r>
        <w:t>Для ранних мантуанской и кремонской печатей Зогара нужны полные оцифровки, а не выставочная фотография. Для Vat. ebr. 191 и других переводов Митридата — работающий viewer, состав кодекса и условия библиотеки; для пяти ilanot — изображения и права владельцев. 900 Conclusions Пико остаются самостоятельным кандидатом прямой рецепции, не скрытым содержанием любого тома с фамилией Pico. [G013, G018–G019]</w:t>
      </w:r>
    </w:p>
    <w:p>
      <w:pPr>
        <w:pStyle w:val="Heading2"/>
      </w:pPr>
      <w:r>
        <w:t>6.7. Проверить файлы OA и режимы получения</w:t>
      </w:r>
    </w:p>
    <w:p>
      <w:r>
        <w:t>У Brown сверить точный лицензионный текст внутри Sefer ha-Rimmon и содержимое доступных TXT-пакетов, не распространяя разрешение на всю серию. Для современных изданий проверить реальную институциональную подписку, выдачу и условия локальной копии. Ни один режим Controlled Digital Lending или library_borrow не признан действующим лишь по наличию карточки Internet Archive; регистрация и заимствование от имени пользователя не выполнялись. [G020–G021]</w:t>
      </w:r>
    </w:p>
    <w:p>
      <w:pPr>
        <w:pStyle w:val="Heading2"/>
      </w:pPr>
      <w:r>
        <w:t>6.8. Русские переводы и недоказанные входящие связи</w:t>
      </w:r>
    </w:p>
    <w:p>
      <w:r>
        <w:t xml:space="preserve">Уточнить издателя, переводчика и разрешение русских Sefer Yetzirah, Bahir и Зогара; открытый reader Kabbalah Media пока не даёт проверенной полноты или права зеркалирования. Содержательно перспективен Kuzari как прямой раннекаббалистический источник — найден исследовательский ориентир, но отдельный поиск первичного доступа не завершён. Ашкеназские и исламские буквенные параллели оставлены unverified_relation: без конкретного доказательства передачи они не оправдывают добавление огромных смежных корпусов. [G017, G023–G024; </w:t>
      </w:r>
      <w:hyperlink r:id="rId77">
        <w:r>
          <w:rPr>
            <w:color w:val="16727B"/>
            <w:u w:val="single"/>
          </w:rPr>
          <w:t>R092</w:t>
        </w:r>
      </w:hyperlink>
      <w:r>
        <w:t>]</w:t>
      </w:r>
    </w:p>
    <w:p>
      <w:pPr>
        <w:pStyle w:val="Heading1"/>
      </w:pPr>
      <w:r>
        <w:t>7. Итоговая оценка</w:t>
      </w:r>
    </w:p>
    <w:p>
      <w:r>
        <w:t>Покрытие широкое на уровне основных текстовых семейств и существенно неравномерное на уровне отдельных изданий и рукописей. Сильнее всего обеспечены Sefer Yetzirah, Bahir, Shaʿarei Orah, Нахманид, авторские тексты де Леона, главные зогарические группы и их поздняя передача. Слабее — полные сочинения Абулафии, ранние комментарии и персональные рукописные цепочки.</w:t>
      </w:r>
    </w:p>
    <w:p>
      <w:r>
        <w:t>Оригиналы доступны преимущественно на иврите и арамейском, но часто как нормализованные электронные тексты, а не критические издания. Английские и французские переводы представлены старым публичнодоменным, современным открытым и защищённым научным слоями. Русский маршрут пока значительно хуже проверен. Для визуальных источников большинство ограничений связано с изображениями и владельцами конкретных экземпляров.</w:t>
      </w:r>
    </w:p>
    <w:p>
      <w:r>
        <w:t>Наиболее свободный слой — проверенные открытые транскрипции, английский Chavel по CC BY 4.0 и факсимиле e-rara с PDM. NC-ND-выпуск Sefer ha-Rimmon полезен как отдельная некоммерческая возможность, не как универсальная основа переработанного корпуса. Основной риск — технически удобный, но лицензионно смешанный или неполностью полученный цифровой текст.</w:t>
      </w:r>
    </w:p>
    <w:p>
      <w:r>
        <w:t>Пакет пригоден для передачи Codex как исследовательский реестр: есть устойчивые record_id, версии, границы покрытия, отдельные правовые слои, доказательства и адресные пробелы. Он не является списком файлов, автоматически разрешённых к массовой загрузке и публикации. Для следующего шага следует выбирать записи по действию и rights_scope, а не по одному признаку бесплатности.</w:t>
      </w:r>
    </w:p>
    <w:p>
      <w:pPr>
        <w:pStyle w:val="Heading2"/>
      </w:pPr>
      <w:r>
        <w:t>Ключевые доказательства прав и условий</w:t>
      </w:r>
    </w:p>
    <w:p>
      <w:pPr>
        <w:pStyle w:val="Caption"/>
      </w:pPr>
      <w:r>
        <w:t>Полные страницы доступа и библиографические свидетельства сохранены в каждой строке XLSX. Ниже — дополнительные прямые входы к документам, на которых держатся групповые выводы отчёта.</w:t>
      </w:r>
    </w:p>
    <w:p>
      <w:pPr>
        <w:spacing w:after="80"/>
      </w:pPr>
      <w:hyperlink r:id="rId57">
        <w:r>
          <w:rPr>
            <w:color w:val="16727B"/>
            <w:u w:val="single"/>
            <w:sz w:val="19"/>
          </w:rPr>
          <w:t>S1. Shilo: item-level CC BY 4.0 для перевода Chavel (R086–R087)</w:t>
        </w:r>
      </w:hyperlink>
    </w:p>
    <w:p>
      <w:pPr>
        <w:spacing w:after="80"/>
      </w:pPr>
      <w:hyperlink r:id="rId87">
        <w:r>
          <w:rPr>
            <w:color w:val="16727B"/>
            <w:u w:val="single"/>
            <w:sz w:val="19"/>
          </w:rPr>
          <w:t>S2. Creative Commons: полный текст CC BY 4.0</w:t>
        </w:r>
      </w:hyperlink>
    </w:p>
    <w:p>
      <w:pPr>
        <w:spacing w:after="80"/>
      </w:pPr>
      <w:hyperlink r:id="rId88">
        <w:r>
          <w:rPr>
            <w:color w:val="16727B"/>
            <w:u w:val="single"/>
            <w:sz w:val="19"/>
          </w:rPr>
          <w:t>S3. Sefaria: официальный выпуск перевода Ramban</w:t>
        </w:r>
      </w:hyperlink>
    </w:p>
    <w:p>
      <w:pPr>
        <w:spacing w:after="80"/>
      </w:pPr>
      <w:hyperlink r:id="rId89">
        <w:r>
          <w:rPr>
            <w:color w:val="16727B"/>
            <w:u w:val="single"/>
            <w:sz w:val="19"/>
          </w:rPr>
          <w:t>S4. Brown: условия и состав программы Open Humanities Books (R017–R018)</w:t>
        </w:r>
      </w:hyperlink>
    </w:p>
    <w:p>
      <w:pPr>
        <w:spacing w:after="80"/>
      </w:pPr>
      <w:hyperlink r:id="rId78">
        <w:r>
          <w:rPr>
            <w:color w:val="16727B"/>
            <w:u w:val="single"/>
            <w:sz w:val="19"/>
          </w:rPr>
          <w:t>S5. e-rara: Kabbala denudata, PDM и форматы (R025)</w:t>
        </w:r>
      </w:hyperlink>
    </w:p>
    <w:p>
      <w:pPr>
        <w:spacing w:after="80"/>
      </w:pPr>
      <w:hyperlink r:id="rId41">
        <w:r>
          <w:rPr>
            <w:color w:val="16727B"/>
            <w:u w:val="single"/>
            <w:sz w:val="19"/>
          </w:rPr>
          <w:t>S6. e-rara: том с De arte cabalistica, PDM (R088)</w:t>
        </w:r>
      </w:hyperlink>
    </w:p>
    <w:p>
      <w:pPr>
        <w:spacing w:after="80"/>
      </w:pPr>
      <w:hyperlink r:id="rId90">
        <w:r>
          <w:rPr>
            <w:color w:val="16727B"/>
            <w:u w:val="single"/>
            <w:sz w:val="19"/>
          </w:rPr>
          <w:t>S7. Sefaria-Export: раздельные лицензии версий (R024)</w:t>
        </w:r>
      </w:hyperlink>
    </w:p>
    <w:p>
      <w:pPr>
        <w:spacing w:after="80"/>
      </w:pPr>
      <w:hyperlink r:id="rId49">
        <w:r>
          <w:rPr>
            <w:color w:val="16727B"/>
            <w:u w:val="single"/>
            <w:sz w:val="19"/>
          </w:rPr>
          <w:t>S8. Wikisource: Bahir, конкретный текст и уведомление (R005)</w:t>
        </w:r>
      </w:hyperlink>
    </w:p>
    <w:p>
      <w:pPr>
        <w:spacing w:after="80"/>
      </w:pPr>
      <w:hyperlink r:id="rId35">
        <w:r>
          <w:rPr>
            <w:color w:val="16727B"/>
            <w:u w:val="single"/>
            <w:sz w:val="19"/>
          </w:rPr>
          <w:t>S9. Wikisource: Pardes Rimmonim, текстовый слой (R080)</w:t>
        </w:r>
      </w:hyperlink>
    </w:p>
    <w:p>
      <w:pPr>
        <w:spacing w:after="80"/>
      </w:pPr>
      <w:hyperlink r:id="rId91">
        <w:r>
          <w:rPr>
            <w:color w:val="16727B"/>
            <w:u w:val="single"/>
            <w:sz w:val="19"/>
          </w:rPr>
          <w:t>S10. CJA: условия прав на материалы каталога</w:t>
        </w:r>
      </w:hyperlink>
    </w:p>
    <w:p>
      <w:pPr>
        <w:spacing w:after="80"/>
      </w:pPr>
      <w:hyperlink r:id="rId92">
        <w:r>
          <w:rPr>
            <w:color w:val="16727B"/>
            <w:u w:val="single"/>
            <w:sz w:val="19"/>
          </w:rPr>
          <w:t>S11. Project Gutenberg: Idra Zuta внутри Hebrew Literature (R023)</w:t>
        </w:r>
      </w:hyperlink>
    </w:p>
    <w:p>
      <w:pPr>
        <w:pStyle w:val="Caption"/>
      </w:pPr>
      <w:r>
        <w:t>Дата проверки всех маршрутов: 04.09.2026. Наличие URL означает зафиксированный путь, а не обещание неизменности внешнего сервиса. Все неустранённые ограничения отражены в verification_status, notes и gaps.</w:t>
      </w:r>
    </w:p>
    <w:sectPr w:rsidR="00FC693F" w:rsidRPr="0006063C" w:rsidSect="00034616">
      <w:headerReference w:type="default" r:id="rId9"/>
      <w:footerReference w:type="default" r:id="rId10"/>
      <w:pgSz w:w="11906" w:h="16838"/>
      <w:pgMar w:top="1020" w:right="1077" w:bottom="1020" w:left="1191"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4636B"/>
        <w:sz w:val="18"/>
      </w:rPr>
      <w:t xml:space="preserve">Проверка: 04.09.2026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TREE OF SOPHIA  /  CORPUS &amp; RIGHTS                                       T2-20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Calibri" w:hAnsi="Calibri"/>
      <w:b/>
      <w:bCs/>
      <w:color w:val="173B4D"/>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libri" w:hAnsi="Calibri"/>
      <w:b/>
      <w:bCs/>
      <w:color w:val="173B4D"/>
      <w:sz w:val="25"/>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Calibri" w:hAnsi="Calibri"/>
      <w:b/>
      <w:bCs/>
      <w:color w:val="173B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contextualSpacing/>
    </w:pPr>
    <w:rPr>
      <w:rFonts w:asciiTheme="majorHAnsi" w:eastAsiaTheme="majorEastAsia" w:hAnsiTheme="majorHAnsi" w:cstheme="majorBidi" w:ascii="Calibri" w:hAnsi="Calibri"/>
      <w:color w:val="173B4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69" w:lineRule="auto"/>
    </w:pPr>
    <w:rPr>
      <w:rFonts w:ascii="Calibri" w:hAnsi="Calibri"/>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00"/>
    </w:pPr>
    <w:rPr>
      <w:b/>
      <w:bCs/>
      <w:color w:val="54636B"/>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he.wikisource.org/wiki/%D7%A1%D7%A4%D7%A8_%D7%99%D7%A6%D7%99%D7%A8%D7%94_(%D7%95%D7%95%D7%90%D7%A8%D7%A9%D7%90)" TargetMode="External"/><Relationship Id="rId12" Type="http://schemas.openxmlformats.org/officeDocument/2006/relationships/hyperlink" Target="https://books.google.com/books?id=VG1vEAAAQBAJ" TargetMode="External"/><Relationship Id="rId13" Type="http://schemas.openxmlformats.org/officeDocument/2006/relationships/hyperlink" Target="https://judaicstudies.brown.edu/monograph/book-pomegranate-moses-de-leons-sefer-ha-rimmon" TargetMode="External"/><Relationship Id="rId14" Type="http://schemas.openxmlformats.org/officeDocument/2006/relationships/hyperlink" Target="https://academic.oup.com/book/60780" TargetMode="External"/><Relationship Id="rId15" Type="http://schemas.openxmlformats.org/officeDocument/2006/relationships/hyperlink" Target="https://www.sefaria.org/Gan_Naul_(Abulafia)" TargetMode="External"/><Relationship Id="rId16" Type="http://schemas.openxmlformats.org/officeDocument/2006/relationships/hyperlink" Target="https://theses.fr/2015STRAC025" TargetMode="External"/><Relationship Id="rId17" Type="http://schemas.openxmlformats.org/officeDocument/2006/relationships/hyperlink" Target="https://www.sefaria.org/Ma'arekhet_HaElokut" TargetMode="External"/><Relationship Id="rId18" Type="http://schemas.openxmlformats.org/officeDocument/2006/relationships/hyperlink" Target="https://www.sefaria.org/Sha'arei_Tzedek" TargetMode="External"/><Relationship Id="rId19" Type="http://schemas.openxmlformats.org/officeDocument/2006/relationships/hyperlink" Target="https://he.wikisource.org/wiki/%D7%A1%D7%A4%D7%A8_%D7%94%D7%AA%D7%9E%D7%95%D7%A0%D7%94" TargetMode="External"/><Relationship Id="rId20" Type="http://schemas.openxmlformats.org/officeDocument/2006/relationships/hyperlink" Target="https://archive.org/details/ginategoz00gika" TargetMode="External"/><Relationship Id="rId21" Type="http://schemas.openxmlformats.org/officeDocument/2006/relationships/hyperlink" Target="https://en.wikisource.org/wiki/Sepher_Yetzirah" TargetMode="External"/><Relationship Id="rId22" Type="http://schemas.openxmlformats.org/officeDocument/2006/relationships/hyperlink" Target="https://www.sefaria.org/Rasag_on_Sefer_Yetzirah" TargetMode="External"/><Relationship Id="rId23" Type="http://schemas.openxmlformats.org/officeDocument/2006/relationships/hyperlink" Target="https://editions-verdier.fr/livre/commentaire-sur-le-sefer-yetzira/" TargetMode="External"/><Relationship Id="rId24" Type="http://schemas.openxmlformats.org/officeDocument/2006/relationships/hyperlink" Target="https://archive.org/details/sepheryetzirahb00rittgoog" TargetMode="External"/><Relationship Id="rId25" Type="http://schemas.openxmlformats.org/officeDocument/2006/relationships/hyperlink" Target="https://editions-verdier.fr/livre/livre-hebreu-dhenoch/" TargetMode="External"/><Relationship Id="rId26" Type="http://schemas.openxmlformats.org/officeDocument/2006/relationships/hyperlink" Target="https://editions-verdier.fr/livre/le-guide-des-egares/" TargetMode="External"/><Relationship Id="rId27" Type="http://schemas.openxmlformats.org/officeDocument/2006/relationships/hyperlink" Target="https://www.sefaria.org/Heikhalot_Rabbati" TargetMode="External"/><Relationship Id="rId28" Type="http://schemas.openxmlformats.org/officeDocument/2006/relationships/hyperlink" Target="https://www.sefaria.org/Zohar_Chadash" TargetMode="External"/><Relationship Id="rId29" Type="http://schemas.openxmlformats.org/officeDocument/2006/relationships/hyperlink" Target="https://he.wikisource.org/wiki/%D7%96%D7%94%D7%A8_%D7%97%D7%93%D7%A9" TargetMode="External"/><Relationship Id="rId30" Type="http://schemas.openxmlformats.org/officeDocument/2006/relationships/hyperlink" Target="https://scholarworks.wmich.edu/mip_teamscs/11/" TargetMode="External"/><Relationship Id="rId31" Type="http://schemas.openxmlformats.org/officeDocument/2006/relationships/hyperlink" Target="https://editions-verdier.fr/livre/la-douce-lumiere/" TargetMode="External"/><Relationship Id="rId32" Type="http://schemas.openxmlformats.org/officeDocument/2006/relationships/hyperlink" Target="https://editions-verdier.fr/livre/le-palmier-de-debora/" TargetMode="External"/><Relationship Id="rId33" Type="http://schemas.openxmlformats.org/officeDocument/2006/relationships/hyperlink" Target="https://www.sefaria.org/Sha'ar_Ma'amarei_Rashbi" TargetMode="External"/><Relationship Id="rId34" Type="http://schemas.openxmlformats.org/officeDocument/2006/relationships/hyperlink" Target="https://www.sefaria.org/Recanati_on_the_Torah" TargetMode="External"/><Relationship Id="rId35" Type="http://schemas.openxmlformats.org/officeDocument/2006/relationships/hyperlink" Target="https://he.wikisource.org/wiki/%D7%A4%D7%A8%D7%93%D7%A1_%D7%A8%D7%9E%D7%95%D7%A0%D7%99%D7%9D" TargetMode="External"/><Relationship Id="rId36" Type="http://schemas.openxmlformats.org/officeDocument/2006/relationships/hyperlink" Target="https://he.wikisource.org/wiki/%D7%90%D7%95%D7%A8_%D7%A0%D7%A2%D7%A8%D7%91" TargetMode="External"/><Relationship Id="rId37" Type="http://schemas.openxmlformats.org/officeDocument/2006/relationships/hyperlink" Target="https://cja.huji.ac.il/gross/browser.php?id=40577&amp;mode=set" TargetMode="External"/><Relationship Id="rId38" Type="http://schemas.openxmlformats.org/officeDocument/2006/relationships/hyperlink" Target="https://digi.vatlib.it/view/MSS_Vat.ebr.191" TargetMode="External"/><Relationship Id="rId39" Type="http://schemas.openxmlformats.org/officeDocument/2006/relationships/hyperlink" Target="https://www.sefaria.org/Beur_HaGra_on_Sifra_DeTzniuta" TargetMode="External"/><Relationship Id="rId40" Type="http://schemas.openxmlformats.org/officeDocument/2006/relationships/hyperlink" Target="https://www.sefaria.org/Mitpachat_Sefarim" TargetMode="External"/><Relationship Id="rId41" Type="http://schemas.openxmlformats.org/officeDocument/2006/relationships/hyperlink" Target="https://www.e-rara.ch/cgj/content/titleinfo/2094732" TargetMode="External"/><Relationship Id="rId42" Type="http://schemas.openxmlformats.org/officeDocument/2006/relationships/hyperlink" Target="https://ilanot.org/detail?id=https://ilanot.org/resource/item/manuscript3vxth" TargetMode="External"/><Relationship Id="rId43" Type="http://schemas.openxmlformats.org/officeDocument/2006/relationships/hyperlink" Target="https://ilanot.org/detail?id=https://ilanot.org/resource/item/manuscript40rgm" TargetMode="External"/><Relationship Id="rId44" Type="http://schemas.openxmlformats.org/officeDocument/2006/relationships/hyperlink" Target="https://www.loc.gov/exhibits/words-like-sapphires/cornerstones-of-jewish-religious-life.html#obj4" TargetMode="External"/><Relationship Id="rId45" Type="http://schemas.openxmlformats.org/officeDocument/2006/relationships/hyperlink" Target="https://www.mohrsiebeck.com/en/book/sefer-yesira-9783161587955/" TargetMode="External"/><Relationship Id="rId46" Type="http://schemas.openxmlformats.org/officeDocument/2006/relationships/hyperlink" Target="https://www.sefaria.org/Sefer_Yetzirah" TargetMode="External"/><Relationship Id="rId47" Type="http://schemas.openxmlformats.org/officeDocument/2006/relationships/hyperlink" Target="https://www.sefaria.org/Ra'avad_on_Sefer_Yetzirah" TargetMode="External"/><Relationship Id="rId48" Type="http://schemas.openxmlformats.org/officeDocument/2006/relationships/hyperlink" Target="https://www.sefaria.org/Ramban_on_Sefer_Yetzirah" TargetMode="External"/><Relationship Id="rId49" Type="http://schemas.openxmlformats.org/officeDocument/2006/relationships/hyperlink" Target="https://he.wikisource.org/wiki/%D7%A1%D7%A4%D7%A8_%D7%94%D7%91%D7%94%D7%99%D7%A8/%D7%AA%D7%95%D7%9B%D7%9F_%D7%94%D7%A1%D7%A4%D7%A8" TargetMode="External"/><Relationship Id="rId50" Type="http://schemas.openxmlformats.org/officeDocument/2006/relationships/hyperlink" Target="https://www.simonandschuster.co.uk/books/The-Bahir/Aryeh-Kaplan/9780877286189" TargetMode="External"/><Relationship Id="rId51" Type="http://schemas.openxmlformats.org/officeDocument/2006/relationships/hyperlink" Target="https://editions-verdier.fr/livre/7544/" TargetMode="External"/><Relationship Id="rId52" Type="http://schemas.openxmlformats.org/officeDocument/2006/relationships/hyperlink" Target="https://www.paulistpress.com/Products/2769-5/the-early-kabbalah.aspx" TargetMode="External"/><Relationship Id="rId53" Type="http://schemas.openxmlformats.org/officeDocument/2006/relationships/hyperlink" Target="https://biblia.com/api/plugins/embeddedpreview?historybuttons=false&amp;layout=minimal&amp;navigationbox=false&amp;resourceName=LLS%3AEARLYKABBALAH&amp;sharebutton=false" TargetMode="External"/><Relationship Id="rId54" Type="http://schemas.openxmlformats.org/officeDocument/2006/relationships/hyperlink" Target="https://www.sefaria.org/Beur_Eser_Sefirot" TargetMode="External"/><Relationship Id="rId55" Type="http://schemas.openxmlformats.org/officeDocument/2006/relationships/hyperlink" Target="https://he.wikisource.org/wiki/%D7%A8%D7%9E%D7%91%22%D7%9F_-_%D7%94%D7%A7%D7%93%D7%9E%D7%94_%D7%9C%D7%A4%D7%99%D7%A8%D7%95%D7%A9_%D7%94%D7%AA%D7%95%D7%A8%D7%94" TargetMode="External"/><Relationship Id="rId56" Type="http://schemas.openxmlformats.org/officeDocument/2006/relationships/hyperlink" Target="https://www.daat.ac.il/daat/tanach/parshanut/ramban.htm" TargetMode="External"/><Relationship Id="rId57" Type="http://schemas.openxmlformats.org/officeDocument/2006/relationships/hyperlink" Target="https://shilopublishing.com/products/ramban-nachmanides-commentary-on-the-torah-5-vol-set" TargetMode="External"/><Relationship Id="rId58" Type="http://schemas.openxmlformats.org/officeDocument/2006/relationships/hyperlink" Target="https://www.sefaria.org/Ramban_on_Genesis.1.1" TargetMode="External"/><Relationship Id="rId59" Type="http://schemas.openxmlformats.org/officeDocument/2006/relationships/hyperlink" Target="https://www.sefaria.org/VeZot_LiYehuda" TargetMode="External"/><Relationship Id="rId60" Type="http://schemas.openxmlformats.org/officeDocument/2006/relationships/hyperlink" Target="https://he.wikisource.org/wiki/%D7%A9%D7%A2%D7%A8%D7%99_%D7%90%D7%95%D7%A8%D7%94_(%D7%92'%D7%99%D7%A7%D7%90%D7%98%D7%99%D7%9C%D7%99%D7%94)" TargetMode="External"/><Relationship Id="rId61" Type="http://schemas.openxmlformats.org/officeDocument/2006/relationships/hyperlink" Target="https://www.sefaria.org/Sha'arei_Orah" TargetMode="External"/><Relationship Id="rId62" Type="http://schemas.openxmlformats.org/officeDocument/2006/relationships/hyperlink" Target="https://books.google.com/books/about/Gates_of_Light.html?id=u6fXjw7ogtgC" TargetMode="External"/><Relationship Id="rId63" Type="http://schemas.openxmlformats.org/officeDocument/2006/relationships/hyperlink" Target="https://cja.huji.ac.il/gross/browser.php?id=35926&amp;mode=set" TargetMode="External"/><Relationship Id="rId64" Type="http://schemas.openxmlformats.org/officeDocument/2006/relationships/hyperlink" Target="https://www.jstor.org/stable/j.ctvzgb92b" TargetMode="External"/><Relationship Id="rId65" Type="http://schemas.openxmlformats.org/officeDocument/2006/relationships/hyperlink" Target="https://he.wikisource.org/wiki/%D7%A1%D7%A4%D7%A8_%D7%A9%D7%A7%D7%9C_%D7%94%D7%A7%D7%95%D7%93%D7%A9" TargetMode="External"/><Relationship Id="rId66" Type="http://schemas.openxmlformats.org/officeDocument/2006/relationships/hyperlink" Target="https://editions-verdier.fr/livre/le-sicle-du-sanctuaire/" TargetMode="External"/><Relationship Id="rId67" Type="http://schemas.openxmlformats.org/officeDocument/2006/relationships/hyperlink" Target="https://www.editions-hermann.fr/livre/la-residence-du-temoignage-moise-de-leon" TargetMode="External"/><Relationship Id="rId68" Type="http://schemas.openxmlformats.org/officeDocument/2006/relationships/hyperlink" Target="https://archive.org/details/bookofmirrorssef0000davi" TargetMode="External"/><Relationship Id="rId69" Type="http://schemas.openxmlformats.org/officeDocument/2006/relationships/hyperlink" Target="https://editions-verdier.fr/livre/fragment-dun-commentaire-sur-la-genese/" TargetMode="External"/><Relationship Id="rId70" Type="http://schemas.openxmlformats.org/officeDocument/2006/relationships/hyperlink" Target="https://www.sefaria.org/Zohar" TargetMode="External"/><Relationship Id="rId71" Type="http://schemas.openxmlformats.org/officeDocument/2006/relationships/hyperlink" Target="https://www.sup.org/books/series/zohar-pritzker-edition" TargetMode="External"/><Relationship Id="rId72" Type="http://schemas.openxmlformats.org/officeDocument/2006/relationships/hyperlink" Target="https://www.danielcmatt.com/zohar-resources.html" TargetMode="External"/><Relationship Id="rId73" Type="http://schemas.openxmlformats.org/officeDocument/2006/relationships/hyperlink" Target="https://editions-verdier.fr/livre/le-zohar-genese-tome-i/" TargetMode="External"/><Relationship Id="rId74" Type="http://schemas.openxmlformats.org/officeDocument/2006/relationships/hyperlink" Target="https://editions-verdier.fr/livre/le-zohar-livre-de-ruth/" TargetMode="External"/><Relationship Id="rId75" Type="http://schemas.openxmlformats.org/officeDocument/2006/relationships/hyperlink" Target="https://archive.org/details/in.ernet.dli.2015.36728" TargetMode="External"/><Relationship Id="rId76" Type="http://schemas.openxmlformats.org/officeDocument/2006/relationships/hyperlink" Target="https://www.gutenberg.org/ebooks/28369" TargetMode="External"/><Relationship Id="rId77" Type="http://schemas.openxmlformats.org/officeDocument/2006/relationships/hyperlink" Target="https://kabbalahmedia.info/ru/sources/AwGBQX2L" TargetMode="External"/><Relationship Id="rId78" Type="http://schemas.openxmlformats.org/officeDocument/2006/relationships/hyperlink" Target="https://www.e-rara.ch/cgj/content/titleinfo/1192219" TargetMode="External"/><Relationship Id="rId79" Type="http://schemas.openxmlformats.org/officeDocument/2006/relationships/hyperlink" Target="https://www.loc.gov/exhibits/words-like-sapphires/cornerstones-of-jewish-religious-life.html#obj2" TargetMode="External"/><Relationship Id="rId80" Type="http://schemas.openxmlformats.org/officeDocument/2006/relationships/hyperlink" Target="https://www.nli.org.il/en/discover/manuscripts/hebrew-manuscripts/about" TargetMode="External"/><Relationship Id="rId81" Type="http://schemas.openxmlformats.org/officeDocument/2006/relationships/hyperlink" Target="https://github.com/Sefaria/Sefaria-Export" TargetMode="External"/><Relationship Id="rId82" Type="http://schemas.openxmlformats.org/officeDocument/2006/relationships/hyperlink" Target="https://he.wikisource.org/wiki/%D7%A1%D7%A4%D7%A8_%D7%94%D7%96%D7%94%D7%A8" TargetMode="External"/><Relationship Id="rId83" Type="http://schemas.openxmlformats.org/officeDocument/2006/relationships/hyperlink" Target="https://editions-verdier.fr/livre/lettre-sur-la-saintete/" TargetMode="External"/><Relationship Id="rId84" Type="http://schemas.openxmlformats.org/officeDocument/2006/relationships/hyperlink" Target="https://commons.wikimedia.org/wiki/File:Portae_Lucis_1516.jpg" TargetMode="External"/><Relationship Id="rId85" Type="http://schemas.openxmlformats.org/officeDocument/2006/relationships/hyperlink" Target="https://www.sefaria.org/Ramban_on_Genesis" TargetMode="External"/><Relationship Id="rId86" Type="http://schemas.openxmlformats.org/officeDocument/2006/relationships/hyperlink" Target="https://www.sup.org/zohar/aramaic" TargetMode="External"/><Relationship Id="rId87" Type="http://schemas.openxmlformats.org/officeDocument/2006/relationships/hyperlink" Target="https://creativecommons.org/licenses/by/4.0/legalcode" TargetMode="External"/><Relationship Id="rId88" Type="http://schemas.openxmlformats.org/officeDocument/2006/relationships/hyperlink" Target="https://www.sefaria.org/ramban-sponsorships" TargetMode="External"/><Relationship Id="rId89" Type="http://schemas.openxmlformats.org/officeDocument/2006/relationships/hyperlink" Target="https://judaicstudies.brown.edu/bjs-monograph-series/open-access/white-paper" TargetMode="External"/><Relationship Id="rId90" Type="http://schemas.openxmlformats.org/officeDocument/2006/relationships/hyperlink" Target="https://raw.githubusercontent.com/Sefaria/Sefaria-Export/master/LICENSE.md" TargetMode="External"/><Relationship Id="rId91" Type="http://schemas.openxmlformats.org/officeDocument/2006/relationships/hyperlink" Target="https://cja.huji.ac.il/browser.php?mode=copyrights" TargetMode="External"/><Relationship Id="rId92" Type="http://schemas.openxmlformats.org/officeDocument/2006/relationships/hyperlink" Target="https://www.gutenberg.org/cache/epub/28369/pg28369-image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ToS Corpus &amp; Rights Registry — T2-20</dc:title>
  <dc:subject>Каббала: корпус, доступ, издания и права использования</dc:subject>
  <dc:creator>ToS / Древо Софии</dc:creator>
  <cp:keywords>T2-20; corpus; rights; Kabbalah; Zohar</cp:keywords>
  <dc:description>generated by python-docx</dc:description>
  <cp:lastModifiedBy/>
  <cp:revision>1</cp:revision>
  <dcterms:created xsi:type="dcterms:W3CDTF">2013-12-23T23:15:00Z</dcterms:created>
  <dcterms:modified xsi:type="dcterms:W3CDTF">2013-12-23T23:15:00Z</dcterms:modified>
  <cp:category/>
</cp:coreProperties>
</file>