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ToS Corpus &amp; Rights Registry</w:t>
      </w:r>
    </w:p>
    <w:p>
      <w:pPr>
        <w:pStyle w:val="Subtitle"/>
      </w:pPr>
      <w:r>
        <w:t>T2-07  /  Геэзская средневековая книжность,</w:t>
        <w:br/>
        <w:t>царская идеология и философско-этические тексты</w:t>
      </w:r>
    </w:p>
    <w:p>
      <w:pPr>
        <w:shd w:fill="EAF2F4"/>
        <w:spacing w:before="100" w:after="180"/>
      </w:pPr>
      <w:r>
        <w:rPr>
          <w:b/>
        </w:rPr>
        <w:t>53 записи доступа • 30 записей о пробелах • исходный статус B сохранён</w:t>
      </w:r>
    </w:p>
    <w:p>
      <w:pPr>
        <w:pStyle w:val="Heading1"/>
      </w:pPr>
      <w:r>
        <w:t>1. Паспорт</w:t>
      </w:r>
    </w:p>
    <w:p>
      <w:r>
        <w:t>Исторический фокус: IV–XV века. Формирование — IV–VII вв.; фиксация и перевод — V–XIII вв.; канонизация и комментарий — X–XV вв. Это границы мастер-строки, а не ограничения для поиска её источников и поздней передачи.</w:t>
      </w:r>
    </w:p>
    <w:p>
      <w:r>
        <w:t>Основание: приложенный документ «ToS Deep Research: T2-07 — Геэзская средневековая книжность, царская идеология и философско-этические тексты» (файл с окончанием «…этически(1).docx»). Использованы прежде всего разделы 1, 6–7, 12–13 и источниковые разделы. Исходный DR и мастер-таблицы не изменялись. Описанные в DR графы, YAML и будущие подисследования не выполнялись.</w:t>
      </w:r>
    </w:p>
    <w:p>
      <w:r>
        <w:rPr>
          <w:b/>
        </w:rPr>
        <w:t>Ядро исследования:</w:t>
      </w:r>
      <w:r>
        <w:t xml:space="preserve"> аксумский переводной слой и эпиграфика; геэзская Библия и церковно-канонические сборники; монастырская агиография и литургика; Kǝbrä Nägäśt и царские хроники; сочинения Гийоргиса и Зэра Яыкоба. Датировка произведения, перевода, рукописи и современного издания в реестре разделяется.</w:t>
      </w:r>
    </w:p>
    <w:p>
      <w:r>
        <w:t>Проверка: 4 сентября 2026 года. Поиск вёлся на английском, французском, немецком, итальянском и русском, по вариантам латинской транслитерации Geʿez, отдельным названиям эфиопским письмом и арабским названиям источников. Использованы CAe, CSCO, ISBN, OCLC, DOI, URN, музейные номера и shelfmark.</w:t>
      </w:r>
    </w:p>
    <w:p>
      <w:r>
        <w:t>Искались произведения, корпуса, рукописи, изображения, старые и современные издания, переводы, научные транскрипции, XML/TEI и наборы данных. Для доступа использованы библиотеки, музеи, официальные проекты, издательские страницы и институционально происходящие сканы. Для идентификации — CAe/Beta maṣāḥǝft, библиотечные каталоги и специализированные исследования; для прав — item-level statements, проектные лицензии и применимые Terms.</w:t>
      </w:r>
    </w:p>
    <w:p>
      <w:pPr>
        <w:pStyle w:val="Heading2"/>
      </w:pPr>
      <w:r>
        <w:t>Как читать пакет</w:t>
      </w:r>
    </w:p>
    <w:p>
      <w:r>
        <w:t>XLSX содержит 32 требуемых поля на листе registry и отдельный лист gaps. Одна запись — один отличимый путь к версии или объекту, не обязательно полный текст. Номера R001–R053 в этом отчёте сокращают идентификаторы T2-07-R001–T2-07-R053. Бесплатное чтение рецензии, одного фрагмента или одного свидетеля не означает доступ ко всему произведению.</w:t>
      </w:r>
    </w:p>
    <w:p>
      <w:r>
        <w:t>Часть страниц возвращала 403/429, защитную страницу или JavaScript-оболочку. Это отмечено в verification_status; наличие каталожной записи не превращено в подтверждённую выдачу. Покупки, регистрация, обращения к правообладателям и публикация материалов не выполнялись.</w:t>
      </w:r>
    </w:p>
    <w:p>
      <w:r>
        <w:t>Слабые навигационные подсказки не использованы как доказательство прав. Не подтверждённые русские переводы и отдельные линии рецепции оставлены в gaps. В итоговых файлах нет ссылок на Wikipedia.</w:t>
      </w:r>
    </w:p>
    <w:p>
      <w:r>
        <w:br w:type="page"/>
      </w:r>
    </w:p>
    <w:p>
      <w:pPr>
        <w:pStyle w:val="Heading1"/>
      </w:pPr>
      <w:r>
        <w:t>2. Охват корпуса</w:t>
      </w:r>
    </w:p>
    <w:p>
      <w:r>
        <w:t>Ниже сведены ветви исходного DR и результат их проверки. Полнота здесь означает охват исследовательской карты: часть центральных произведений представлена пока только идентифицированными изданиями, исследованием или явным пробелом, а не свободным полным текстом.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5159"/>
        <w:gridCol w:w="2268"/>
      </w:tblGrid>
      <w:tr>
        <w:trPr>
          <w:cantSplit/>
          <w:tblHeader/>
        </w:trPr>
        <w:tc>
          <w:tcPr>
            <w:tcW w:type="dxa" w:w="2211"/>
            <w:vAlign w:val="top"/>
            <w:shd w:fill="17364A"/>
          </w:tcPr>
          <w:p>
            <w:pPr>
              <w:spacing w:after="60" w:before="60" w:line="252" w:lineRule="auto"/>
            </w:pPr>
            <w:r>
              <w:rPr>
                <w:b/>
                <w:color w:val="FFFFFF"/>
                <w:sz w:val="18"/>
              </w:rPr>
              <w:t>Ветвь DR</w:t>
            </w:r>
          </w:p>
        </w:tc>
        <w:tc>
          <w:tcPr>
            <w:tcW w:type="dxa" w:w="5159"/>
            <w:vAlign w:val="top"/>
            <w:shd w:fill="17364A"/>
          </w:tcPr>
          <w:p>
            <w:pPr>
              <w:spacing w:after="60" w:before="60" w:line="252" w:lineRule="auto"/>
            </w:pPr>
            <w:r>
              <w:rPr>
                <w:b/>
                <w:color w:val="FFFFFF"/>
                <w:sz w:val="18"/>
              </w:rPr>
              <w:t>Что получено</w:t>
            </w:r>
          </w:p>
        </w:tc>
        <w:tc>
          <w:tcPr>
            <w:tcW w:type="dxa" w:w="2268"/>
            <w:vAlign w:val="top"/>
            <w:shd w:fill="17364A"/>
          </w:tcPr>
          <w:p>
            <w:pPr>
              <w:spacing w:after="60" w:before="60" w:line="252" w:lineRule="auto"/>
            </w:pPr>
            <w:r>
              <w:rPr>
                <w:b/>
                <w:color w:val="FFFFFF"/>
                <w:sz w:val="18"/>
              </w:rPr>
              <w:t>Записи</w:t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Аксумский слой</w:t>
            </w:r>
          </w:p>
        </w:tc>
        <w:tc>
          <w:tcPr>
            <w:tcW w:type="dxa" w:w="5159"/>
            <w:vAlign w:val="top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CAe 1047; старый эпиграфический свод; современные переводы отдельных церковных установлений.</w:t>
            </w:r>
          </w:p>
        </w:tc>
        <w:tc>
          <w:tcPr>
            <w:tcW w:type="dxa" w:w="2268"/>
            <w:vAlign w:val="top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R002, R022–023, R039</w:t>
            </w:r>
          </w:p>
        </w:tc>
      </w:tr>
      <w:tr>
        <w:trPr>
          <w:cantSplit/>
        </w:trPr>
        <w:tc>
          <w:tcPr>
            <w:tcW w:type="dxa" w:w="2211"/>
            <w:vAlign w:val="top"/>
            <w:shd w:fill="F0F4F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Геэзская Библия и Гарима</w:t>
            </w:r>
          </w:p>
        </w:tc>
        <w:tc>
          <w:tcPr>
            <w:tcW w:type="dxa" w:w="5159"/>
            <w:vAlign w:val="top"/>
            <w:shd w:fill="F0F4F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Два входа HMML; открытые свидетели Walters/Met; Octateuch, Енох, Юбилеи, Вознесение Исайи.</w:t>
            </w:r>
          </w:p>
        </w:tc>
        <w:tc>
          <w:tcPr>
            <w:tcW w:type="dxa" w:w="2268"/>
            <w:vAlign w:val="top"/>
            <w:shd w:fill="F0F4F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R005–006, R018–021, R027–032, R053</w:t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Монастырь и житие</w:t>
            </w:r>
          </w:p>
        </w:tc>
        <w:tc>
          <w:tcPr>
            <w:tcW w:type="dxa" w:w="5159"/>
            <w:vAlign w:val="top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Коллекция Ḥayq и EMML 1763; рукопись и старое издание жития Лалибэлы.</w:t>
            </w:r>
          </w:p>
        </w:tc>
        <w:tc>
          <w:tcPr>
            <w:tcW w:type="dxa" w:w="2268"/>
            <w:vAlign w:val="top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R004, R007–008, R036</w:t>
            </w:r>
          </w:p>
        </w:tc>
      </w:tr>
      <w:tr>
        <w:trPr>
          <w:cantSplit/>
        </w:trPr>
        <w:tc>
          <w:tcPr>
            <w:tcW w:type="dxa" w:w="2211"/>
            <w:vAlign w:val="top"/>
            <w:shd w:fill="F0F4F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Царская идеология</w:t>
            </w:r>
          </w:p>
        </w:tc>
        <w:tc>
          <w:tcPr>
            <w:tcW w:type="dxa" w:w="5159"/>
            <w:vAlign w:val="top"/>
            <w:shd w:fill="F0F4F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Kǝbrä Nägäśt; хроники Зэра Яыкоба / Бэыда Марьяма; каталожный вход к хронике Амда Сыйона.</w:t>
            </w:r>
          </w:p>
        </w:tc>
        <w:tc>
          <w:tcPr>
            <w:tcW w:type="dxa" w:w="2268"/>
            <w:vAlign w:val="top"/>
            <w:shd w:fill="F0F4F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R001, R024, R037–038</w:t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Гийоргис</w:t>
            </w:r>
          </w:p>
        </w:tc>
        <w:tc>
          <w:tcPr>
            <w:tcW w:type="dxa" w:w="5159"/>
            <w:vAlign w:val="top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Издания «Книги тайны»; исследование Säʿatat; поздний открытый Arganonä Maryam.</w:t>
            </w:r>
          </w:p>
        </w:tc>
        <w:tc>
          <w:tcPr>
            <w:tcW w:type="dxa" w:w="2268"/>
            <w:vAlign w:val="top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R009–015, R025, R049</w:t>
            </w:r>
          </w:p>
        </w:tc>
      </w:tr>
      <w:tr>
        <w:trPr>
          <w:cantSplit/>
        </w:trPr>
        <w:tc>
          <w:tcPr>
            <w:tcW w:type="dxa" w:w="2211"/>
            <w:vAlign w:val="top"/>
            <w:shd w:fill="F0F4F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Зэра Яыкоб</w:t>
            </w:r>
          </w:p>
        </w:tc>
        <w:tc>
          <w:tcPr>
            <w:tcW w:type="dxa" w:w="5159"/>
            <w:vAlign w:val="top"/>
            <w:shd w:fill="F0F4F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Части издания «Книги света»; рецензия на гомилию; исследование спорного Ṭomarä Təsbəʾt.</w:t>
            </w:r>
          </w:p>
        </w:tc>
        <w:tc>
          <w:tcPr>
            <w:tcW w:type="dxa" w:w="2268"/>
            <w:vAlign w:val="top"/>
            <w:shd w:fill="F0F4F6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R043–048</w:t>
            </w:r>
          </w:p>
        </w:tc>
      </w:tr>
      <w:tr>
        <w:trPr>
          <w:cantSplit/>
        </w:trPr>
        <w:tc>
          <w:tcPr>
            <w:tcW w:type="dxa" w:w="2211"/>
            <w:vAlign w:val="top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Каноническая книжность</w:t>
            </w:r>
          </w:p>
        </w:tc>
        <w:tc>
          <w:tcPr>
            <w:tcW w:type="dxa" w:w="5159"/>
            <w:vAlign w:val="top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Sinodos, Didascalia, Fǝtḥa Nägäśt; отдельные современные и старые переводные входы.</w:t>
            </w:r>
          </w:p>
        </w:tc>
        <w:tc>
          <w:tcPr>
            <w:tcW w:type="dxa" w:w="2268"/>
            <w:vAlign w:val="top"/>
          </w:tcPr>
          <w:p>
            <w:pPr>
              <w:spacing w:after="60" w:before="60" w:line="252" w:lineRule="auto"/>
            </w:pPr>
            <w:r>
              <w:rPr>
                <w:sz w:val="18"/>
              </w:rPr>
              <w:t>R022–023, R033–035, R042</w:t>
            </w:r>
          </w:p>
        </w:tc>
      </w:tr>
    </w:tbl>
    <w:p>
      <w:pPr>
        <w:pStyle w:val="Heading2"/>
      </w:pPr>
      <w:r>
        <w:t>Что добавлено веб-поиском</w:t>
      </w:r>
    </w:p>
    <w:p>
      <w:r>
        <w:t>Наиболее полезное расширение — не дополнительные общие порталы, а конкретные слои: франкфуртская рукопись «Книги мудрых философов», открытые евангельские свидетели Walters, молитвенник Arganonä Maryam в Met, геэзский Енох в старом издании и Unicode-версии, неполный оригинальный слой Sinodos, а также корпус чудес Богородицы и CSV-пакет PEMM.</w:t>
      </w:r>
    </w:p>
    <w:p>
      <w:r>
        <w:t>Релевантность не сводится к дате. Core объединяет центральные объекты DR; same_corpus_or_tradition — прямых членов канонического, авторского или жанрового ряда. Antecedent отмечает ранние текстовые слои; continuation и transmission_or_preservation — поздние продолжения, редакции и свидетели. Научные рецензии служат secondary_navigation, а репозитории — infrastructure. Supporting и boundary применяются к соответствующим кандидатам в gaps; наличие всех меток в основном реестре не является самоцелью.</w:t>
      </w:r>
    </w:p>
    <w:p>
      <w:pPr>
        <w:pStyle w:val="Heading2"/>
      </w:pPr>
      <w:r>
        <w:t>Количественный итог</w:t>
      </w:r>
    </w:p>
    <w:p>
      <w:r>
        <w:t>53 записи — это способы доступа и идентификационные входы к примерно двум десяткам произведений и корпусных семейств, а не 53 независимых сочинения. Группы вложены друг в друга: Евангелия входят в библейскую традицию, а отдельные церковные установления — в составные сборники. Поэтому точное число «произведений» без нормализации границ корпуса было бы ложной точностью.</w:t>
      </w:r>
    </w:p>
    <w:p>
      <w:r>
        <w:t>В registry: 26 записей core, 8 transmission_or_preservation, 5 same_corpus_or_tradition, 3 antecedent, 2 continuation, 4 infrastructure и 5 secondary_navigation. Типы объектов отдельно включают 10 физических свидетелей и 3 набора данных. Один том с несколькими форматами и один dataset не раздроблены на строки по страницам или файлам.</w:t>
      </w:r>
    </w:p>
    <w:p>
      <w:pPr>
        <w:pStyle w:val="Caption"/>
        <w:spacing w:line="247" w:lineRule="auto" w:after="60"/>
      </w:pPr>
      <w:r/>
      <w:r>
        <w:t xml:space="preserve">Источники: </w:t>
      </w:r>
      <w:hyperlink r:id="rId11">
        <w:r>
          <w:rPr>
            <w:color w:val="156082"/>
            <w:sz w:val="18"/>
            <w:u w:val="single"/>
          </w:rPr>
          <w:t>R002 · CAe</w:t>
        </w:r>
      </w:hyperlink>
      <w:r>
        <w:t xml:space="preserve">  •  </w:t>
      </w:r>
      <w:hyperlink r:id="rId12">
        <w:r>
          <w:rPr>
            <w:color w:val="156082"/>
            <w:sz w:val="18"/>
            <w:u w:val="single"/>
          </w:rPr>
          <w:t>R016 · Frankfurt</w:t>
        </w:r>
      </w:hyperlink>
      <w:r>
        <w:t xml:space="preserve">  •  </w:t>
      </w:r>
      <w:hyperlink r:id="rId13">
        <w:r>
          <w:rPr>
            <w:color w:val="156082"/>
            <w:sz w:val="18"/>
            <w:u w:val="single"/>
          </w:rPr>
          <w:t>R049 · Met</w:t>
        </w:r>
      </w:hyperlink>
    </w:p>
    <w:p>
      <w:r>
        <w:br w:type="page"/>
      </w:r>
    </w:p>
    <w:p>
      <w:pPr>
        <w:pStyle w:val="Heading1"/>
      </w:pPr>
      <w:r>
        <w:t>2. Охват корпуса: хронологическое расширение</w:t>
      </w:r>
    </w:p>
    <w:p>
      <w:pPr>
        <w:pStyle w:val="Heading2"/>
      </w:pPr>
      <w:r>
        <w:t>Поиск назад: входящие тексты и канонические основания</w:t>
      </w:r>
    </w:p>
    <w:p>
      <w:r>
        <w:t>Енох, Юбилеи и Вознесение Исайи рассматриваются не как случайные тематические параллели, а как ранние произведения, сохранённые и передававшиеся геэзской книжностью. В реестр вошли конкретные старые и современные редакционные слои. Древность оригинала не перенесена на права издателей: свободное факсимиле Dillmann и защищённый текст VanderKam получили разные рекомендации.</w:t>
      </w:r>
    </w:p>
    <w:p>
      <w:r>
        <w:t>Для церковных установлений найдены современные переводы Apostolic Tradition и Canons of Hippolytus. Их ценность — возможность читать конкретные версии раннего канонического материала, в том числе связанные с Aksumite Collection, а не только общую историю церковного права. Полный оригинал всей коллекции этим не обеспечен.</w:t>
      </w:r>
    </w:p>
    <w:p>
      <w:r>
        <w:t>Дальнейший ранний переводной ряд — Qerellos, Пастырь Гермы, Physiologus и правила Пахомия — зафиксирован в gaps: принадлежность к аксумскому переводному кругу не означает, что все эти тексты являются частями одного и того же сборника. Для каждого требуется отдельная проверка версии и доступа.</w:t>
      </w:r>
    </w:p>
    <w:p>
      <w:r>
        <w:t>Kitāb al-Bustān внесён в пробелы как конкретный арабский источник поздней «Книги мудрых философов». Это пример хронологической связи, проходящей через перевод: более ранний арабский слой важен для понимания геэзского продолжения, но не даёт основания приписать его содержание всему средневековому ядру.</w:t>
      </w:r>
    </w:p>
    <w:p>
      <w:pPr>
        <w:pStyle w:val="Caption"/>
        <w:spacing w:line="247" w:lineRule="auto" w:after="60"/>
      </w:pPr>
      <w:r/>
      <w:r>
        <w:t xml:space="preserve">Источники: </w:t>
      </w:r>
      <w:hyperlink r:id="rId14">
        <w:r>
          <w:rPr>
            <w:color w:val="156082"/>
            <w:sz w:val="18"/>
            <w:u w:val="single"/>
          </w:rPr>
          <w:t>R022 · Liturgical Press</w:t>
        </w:r>
      </w:hyperlink>
      <w:r>
        <w:t xml:space="preserve">  •  </w:t>
      </w:r>
      <w:hyperlink r:id="rId15">
        <w:r>
          <w:rPr>
            <w:color w:val="156082"/>
            <w:sz w:val="18"/>
            <w:u w:val="single"/>
          </w:rPr>
          <w:t>R023 · Liturgical Press</w:t>
        </w:r>
      </w:hyperlink>
      <w:r>
        <w:t xml:space="preserve">  •  </w:t>
      </w:r>
      <w:hyperlink r:id="rId16">
        <w:r>
          <w:rPr>
            <w:color w:val="156082"/>
            <w:sz w:val="18"/>
            <w:u w:val="single"/>
          </w:rPr>
          <w:t>R026 · Aethiopica</w:t>
        </w:r>
      </w:hyperlink>
      <w:r>
        <w:t xml:space="preserve">  •  </w:t>
      </w:r>
      <w:hyperlink r:id="rId17">
        <w:r>
          <w:rPr>
            <w:color w:val="156082"/>
            <w:sz w:val="18"/>
            <w:u w:val="single"/>
          </w:rPr>
          <w:t>R027 · Bonn</w:t>
        </w:r>
      </w:hyperlink>
      <w:r>
        <w:t xml:space="preserve">  •  </w:t>
      </w:r>
      <w:hyperlink r:id="rId18">
        <w:r>
          <w:rPr>
            <w:color w:val="156082"/>
            <w:sz w:val="18"/>
            <w:u w:val="single"/>
          </w:rPr>
          <w:t>R031 · TAU</w:t>
        </w:r>
      </w:hyperlink>
    </w:p>
    <w:p>
      <w:pPr>
        <w:pStyle w:val="Heading2"/>
      </w:pPr>
      <w:r>
        <w:t>Поиск вперёд: не только поздние копии</w:t>
      </w:r>
    </w:p>
    <w:p>
      <w:r>
        <w:t>Mäṣḥafä fälasfa ṭäbiban — обязательное расширение за XV век. Геэзский перевод XVI века продолжает арабо-христианскую переводную и гномологическую книжность. Найдены каталог редакций, поздний рукописный свидетель с Public Domain Mark и научное издание Sumner с ограниченным preview. Этот результат не меняет B-статус мастер-строки и не делает гномологию средневековой по дате.</w:t>
      </w:r>
    </w:p>
    <w:p>
      <w:r>
        <w:t>Arganonä Maryam непосредственно расширяет корпус Гийоргиса, уже центрального для DR. Найденный кодекс XVII века передаёт более раннее произведение. Его неполнота существенна: он не даёт основания обещать перевод всех редакций или всего молитвенного цикла. Свидетели Walters W.850 и Lalibela Or.718 также включены как поздняя передача конкретных текстов, а не как новые самостоятельные «древние произведения».</w:t>
      </w:r>
    </w:p>
    <w:p>
      <w:r>
        <w:t>Хроника Бэыда Марьяма продолжает царский ряд, а упомянутые в издании Huntingford материалы Pero Páez показывают отдельное направление позднего сохранения рассказа об Амда Сыйоне. Первое представлено в старом издании хроник; для второго отдельный доступ остаётся задачей gaps.</w:t>
      </w:r>
    </w:p>
    <w:p>
      <w:r>
        <w:t>Täʾammərä Maryam расширяет монастырскую и придворную марианскую книжность от позднего Средневековья к позднейшим рукописям. PEMM даёт маршрут по сюжетам, свидетелям и переводам; весь его многовековой массив не объявлен единым произведением T2-07.</w:t>
      </w:r>
    </w:p>
    <w:p>
      <w:pPr>
        <w:pStyle w:val="Caption"/>
        <w:spacing w:line="247" w:lineRule="auto" w:after="60"/>
      </w:pPr>
      <w:r/>
      <w:r>
        <w:t xml:space="preserve">Источники: </w:t>
      </w:r>
      <w:hyperlink r:id="rId12">
        <w:r>
          <w:rPr>
            <w:color w:val="156082"/>
            <w:sz w:val="18"/>
            <w:u w:val="single"/>
          </w:rPr>
          <w:t>R016 · Frankfurt</w:t>
        </w:r>
      </w:hyperlink>
      <w:r>
        <w:t xml:space="preserve">  •  </w:t>
      </w:r>
      <w:hyperlink r:id="rId19">
        <w:r>
          <w:rPr>
            <w:color w:val="156082"/>
            <w:sz w:val="18"/>
            <w:u w:val="single"/>
          </w:rPr>
          <w:t>R017 · CAe</w:t>
        </w:r>
      </w:hyperlink>
      <w:r>
        <w:t xml:space="preserve">  •  </w:t>
      </w:r>
      <w:hyperlink r:id="rId20">
        <w:r>
          <w:rPr>
            <w:color w:val="156082"/>
            <w:sz w:val="18"/>
            <w:u w:val="single"/>
          </w:rPr>
          <w:t>R037 · Google Play</w:t>
        </w:r>
      </w:hyperlink>
      <w:r>
        <w:t xml:space="preserve">  •  </w:t>
      </w:r>
      <w:hyperlink r:id="rId21">
        <w:r>
          <w:rPr>
            <w:color w:val="156082"/>
            <w:sz w:val="18"/>
            <w:u w:val="single"/>
          </w:rPr>
          <w:t>R038 · Open Library</w:t>
        </w:r>
      </w:hyperlink>
      <w:r>
        <w:t xml:space="preserve">  •  </w:t>
      </w:r>
      <w:hyperlink r:id="rId13">
        <w:r>
          <w:rPr>
            <w:color w:val="156082"/>
            <w:sz w:val="18"/>
            <w:u w:val="single"/>
          </w:rPr>
          <w:t>R049 · Met</w:t>
        </w:r>
      </w:hyperlink>
      <w:r>
        <w:t xml:space="preserve">  •  </w:t>
      </w:r>
      <w:hyperlink r:id="rId22">
        <w:r>
          <w:rPr>
            <w:color w:val="156082"/>
            <w:sz w:val="18"/>
            <w:u w:val="single"/>
          </w:rPr>
          <w:t>R051 · PEMM</w:t>
        </w:r>
      </w:hyperlink>
    </w:p>
    <w:p>
      <w:pPr>
        <w:pStyle w:val="Heading2"/>
      </w:pPr>
      <w:r>
        <w:t>Граница обоснованного включения</w:t>
      </w:r>
    </w:p>
    <w:p>
      <w:r>
        <w:t>Ḥatäta не исключена потому, что относится к XVII веку: в gaps зафиксировано другое ограничение — конкретная текстовая зависимость от исследуемого ядра здесь не установлена. То же относится к предполагаемым связям с Ḥunayn. Общий язык, религия или близость мудростной темы не заменяют доказательства передачи, цитирования или принадлежности к конкретной текстовой семье.</w:t>
      </w:r>
    </w:p>
    <w:p>
      <w:r>
        <w:br w:type="page"/>
      </w:r>
    </w:p>
    <w:p>
      <w:pPr>
        <w:pStyle w:val="Heading1"/>
      </w:pPr>
      <w:r>
        <w:t>3. Лучшие пути доступа</w:t>
      </w:r>
    </w:p>
    <w:p>
      <w:pPr>
        <w:pStyle w:val="Heading2"/>
      </w:pPr>
      <w:r>
        <w:t>Kǝbrä Nägäśt</w:t>
      </w:r>
    </w:p>
    <w:p>
      <w:r>
        <w:t>Лучший проверенный вход к старому оригинальному изданию и свободному цифровому слою — Bonn, Bezold 1905: геэзский текст, немецкий перевод и факсимиле с Public Domain Mark. Это наиболее ясная основа для собственного перевода ToS с геэзского в этой группе. PDF-ссылка предлагается учреждением, но двоичный файл полностью не проверен.</w:t>
      </w:r>
    </w:p>
    <w:p>
      <w:r>
        <w:t>Для немедленного английского чтения удобен полный HTML перевода Budge 1922 на Sacred Texts. Он не заменяет критическую работу с геэзским текстом. Правовой вывод здесь ограничен: старое англоязычное издание и условия платформы не равнозначны всемирной лицензии на любые копии. Проверенный современный русский научный перевод с Geʿez не найден; обнаруженные русские варианты оставлены кандидатами.</w:t>
      </w:r>
    </w:p>
    <w:p>
      <w:pPr>
        <w:pStyle w:val="Caption"/>
        <w:spacing w:line="247" w:lineRule="auto" w:after="60"/>
      </w:pPr>
      <w:r/>
      <w:r>
        <w:t xml:space="preserve">Источники: </w:t>
      </w:r>
      <w:hyperlink r:id="rId23">
        <w:r>
          <w:rPr>
            <w:color w:val="156082"/>
            <w:sz w:val="18"/>
            <w:u w:val="single"/>
          </w:rPr>
          <w:t>R001 · Bonn</w:t>
        </w:r>
      </w:hyperlink>
      <w:r>
        <w:t xml:space="preserve">  •  </w:t>
      </w:r>
      <w:hyperlink r:id="rId24">
        <w:r>
          <w:rPr>
            <w:color w:val="156082"/>
            <w:sz w:val="18"/>
            <w:u w:val="single"/>
          </w:rPr>
          <w:t>R024 · Sacred Texts</w:t>
        </w:r>
      </w:hyperlink>
    </w:p>
    <w:p>
      <w:pPr>
        <w:pStyle w:val="Heading2"/>
      </w:pPr>
      <w:r>
        <w:t>Mäṣḥafä Mǝśṭir — «Книга тайны»</w:t>
      </w:r>
    </w:p>
    <w:p>
      <w:r>
        <w:t>Для современного чтения важен аннотированный английский перевод Hiruie Ermias, Negarit, 2024, надёжно идентифицированный через рецензию Ralph Lee. Для работы с оригиналом остаётся ориентиром критическое издание Yaqob Beyene, CSCO 515/516 и 532/533. Эти входы сохранены даже при неоткрывшихся WorldCat/LIBRIS: их нельзя выдавать за проверенное бесплатное чтение или гарантированную библиотечную выдачу.</w:t>
      </w:r>
    </w:p>
    <w:p>
      <w:r>
        <w:t>Открытая рецензия Lee полезна для состава и библиографии, но её CC BY-SA не покрывает рецензируемый перевод. Издательская страница Haymanot Sankofa предлагает предварительный заказ с условием набора заказов; она не подтверждает немедленную доступность готовой книги. Полного свободного современного перевода или чистого открытого полного оригинала в этом запуске не установлено.</w:t>
      </w:r>
    </w:p>
    <w:p>
      <w:pPr>
        <w:pStyle w:val="Caption"/>
        <w:spacing w:line="247" w:lineRule="auto" w:after="60"/>
      </w:pPr>
      <w:r/>
      <w:r>
        <w:t xml:space="preserve">Источники: </w:t>
      </w:r>
      <w:hyperlink r:id="rId25">
        <w:r>
          <w:rPr>
            <w:color w:val="156082"/>
            <w:sz w:val="18"/>
            <w:u w:val="single"/>
          </w:rPr>
          <w:t>R009 · WorldCat</w:t>
        </w:r>
      </w:hyperlink>
      <w:r>
        <w:t xml:space="preserve">  •  </w:t>
      </w:r>
      <w:hyperlink r:id="rId26">
        <w:r>
          <w:rPr>
            <w:color w:val="156082"/>
            <w:sz w:val="18"/>
            <w:u w:val="single"/>
          </w:rPr>
          <w:t>R010 · Aethiopica</w:t>
        </w:r>
      </w:hyperlink>
      <w:r>
        <w:t xml:space="preserve">  •  </w:t>
      </w:r>
      <w:hyperlink r:id="rId27">
        <w:r>
          <w:rPr>
            <w:color w:val="156082"/>
            <w:sz w:val="18"/>
            <w:u w:val="single"/>
          </w:rPr>
          <w:t>R011 · Haymanot Sankofa Publishing</w:t>
        </w:r>
      </w:hyperlink>
      <w:r>
        <w:t xml:space="preserve">  •  </w:t>
      </w:r>
      <w:hyperlink r:id="rId28">
        <w:r>
          <w:rPr>
            <w:color w:val="156082"/>
            <w:sz w:val="18"/>
            <w:u w:val="single"/>
          </w:rPr>
          <w:t>R012 · LIBRIS</w:t>
        </w:r>
      </w:hyperlink>
    </w:p>
    <w:p>
      <w:pPr>
        <w:pStyle w:val="Heading2"/>
      </w:pPr>
      <w:r>
        <w:t>Mäṣḥafä Bərhan и Ṭomarä Təsbəʾt</w:t>
      </w:r>
    </w:p>
    <w:p>
      <w:r>
        <w:t>По «Книге света» сохранены четыре отдельные части издания Conti Rossini/Ricci: геэзские Textus и итальянские Versio. Издательские страницы не открылись; академическая и институциональная библиография подтверждает сам издательский комплекс. Это предметный библиотечный ориентир, а не доказательство наличия e-book.</w:t>
      </w:r>
    </w:p>
    <w:p>
      <w:r>
        <w:t>Рецензия Weninger ведёт к отдельной гомилии о крещении, изданной Getatchew Haile. Для Ṭomarä Təsbəʾt сохранён DOI предварительного исследования Haile. Ни рецензия, ни спорная идентификация не подменяют полный установленный царский текст; чистая основа для собственного перевода всей этой группы пока не определена.</w:t>
      </w:r>
    </w:p>
    <w:p>
      <w:pPr>
        <w:pStyle w:val="Caption"/>
        <w:spacing w:line="247" w:lineRule="auto" w:after="60"/>
      </w:pPr>
      <w:r/>
      <w:r>
        <w:t xml:space="preserve">Источники: </w:t>
      </w:r>
      <w:hyperlink r:id="rId29">
        <w:r>
          <w:rPr>
            <w:color w:val="156082"/>
            <w:sz w:val="18"/>
            <w:u w:val="single"/>
          </w:rPr>
          <w:t>R043 · Aethiopica</w:t>
        </w:r>
      </w:hyperlink>
      <w:r>
        <w:t xml:space="preserve">  •  </w:t>
      </w:r>
      <w:hyperlink r:id="rId30">
        <w:r>
          <w:rPr>
            <w:color w:val="156082"/>
            <w:sz w:val="18"/>
            <w:u w:val="single"/>
          </w:rPr>
          <w:t>R044 · Издатель</w:t>
        </w:r>
      </w:hyperlink>
      <w:r>
        <w:t xml:space="preserve">  •  </w:t>
      </w:r>
      <w:hyperlink r:id="rId31">
        <w:r>
          <w:rPr>
            <w:color w:val="156082"/>
            <w:sz w:val="18"/>
            <w:u w:val="single"/>
          </w:rPr>
          <w:t>R048 · Cambridge</w:t>
        </w:r>
      </w:hyperlink>
    </w:p>
    <w:p>
      <w:pPr>
        <w:pStyle w:val="Heading2"/>
      </w:pPr>
      <w:r>
        <w:t>Säʿatat и Arganonä Maryam</w:t>
      </w:r>
    </w:p>
    <w:p>
      <w:r>
        <w:t>Для Säʿatat найдено открытое исследование ветхозаветных чтений с текстовыми выдержками, но не весь часослов Гийоргиса. У Arganonä Maryam положение иное: изображения Met 2006.99 доступны по открытой политике музея. Это практически полезный оригинальный слой для локальной транскрипции и перевода конкретного свидетеля, с сохранением его лакун и без подмены современной критической реконструкцией.</w:t>
      </w:r>
    </w:p>
    <w:p>
      <w:pPr>
        <w:pStyle w:val="Caption"/>
        <w:spacing w:line="247" w:lineRule="auto" w:after="60"/>
      </w:pPr>
      <w:r/>
      <w:r>
        <w:t xml:space="preserve">Источники: </w:t>
      </w:r>
      <w:hyperlink r:id="rId32">
        <w:r>
          <w:rPr>
            <w:color w:val="156082"/>
            <w:sz w:val="18"/>
            <w:u w:val="single"/>
          </w:rPr>
          <w:t>R025 · Aethiopica</w:t>
        </w:r>
      </w:hyperlink>
      <w:r>
        <w:t xml:space="preserve">  •  </w:t>
      </w:r>
      <w:hyperlink r:id="rId13">
        <w:r>
          <w:rPr>
            <w:color w:val="156082"/>
            <w:sz w:val="18"/>
            <w:u w:val="single"/>
          </w:rPr>
          <w:t>R049 · Met</w:t>
        </w:r>
      </w:hyperlink>
    </w:p>
    <w:p>
      <w:r>
        <w:br w:type="page"/>
      </w:r>
    </w:p>
    <w:p>
      <w:pPr>
        <w:pStyle w:val="Heading1"/>
      </w:pPr>
      <w:r>
        <w:t>3. Лучшие пути доступа: свидетели, канон и данные</w:t>
      </w:r>
    </w:p>
    <w:p>
      <w:pPr>
        <w:pStyle w:val="Heading2"/>
      </w:pPr>
      <w:r>
        <w:t>Евангелия и ранняя материальная книжность</w:t>
      </w:r>
    </w:p>
    <w:p>
      <w:r>
        <w:t>Для свободной работы с изображениями наиболее удобны Walters W.836 и W.850; W.838 представляет фрагмент Евсевиевых канонов. Факсимиле снабжены явной CC BY 3.0. Наличие TEI в такой выдаче не означает готовую полнотекстовую транскрипцию. Met 1998.66 даёт открытые изображения выбранных страниц, не полный кодекс.</w:t>
      </w:r>
    </w:p>
    <w:p>
      <w:r>
        <w:t>Для ранних Гаримских Евангелий главные пути — HMML AG 00001 и AG 00002, с входом для просмотра изображений. Научное описание McKenzie/Watson и рецензия Bausi необходимы для идентификации трёх кодексов; две проверенные цифровые записи нельзя механически отождествить с двумя исчерпывающими объектами всей группы.</w:t>
      </w:r>
    </w:p>
    <w:p>
      <w:pPr>
        <w:pStyle w:val="Caption"/>
        <w:spacing w:line="247" w:lineRule="auto" w:after="60"/>
      </w:pPr>
      <w:r/>
      <w:r>
        <w:t xml:space="preserve">Источники: </w:t>
      </w:r>
      <w:hyperlink r:id="rId33">
        <w:r>
          <w:rPr>
            <w:color w:val="156082"/>
            <w:sz w:val="18"/>
            <w:u w:val="single"/>
          </w:rPr>
          <w:t>R005 · HMML</w:t>
        </w:r>
      </w:hyperlink>
      <w:r>
        <w:t xml:space="preserve">  •  </w:t>
      </w:r>
      <w:hyperlink r:id="rId34">
        <w:r>
          <w:rPr>
            <w:color w:val="156082"/>
            <w:sz w:val="18"/>
            <w:u w:val="single"/>
          </w:rPr>
          <w:t>R006 · HMML</w:t>
        </w:r>
      </w:hyperlink>
      <w:r>
        <w:t xml:space="preserve">  •  </w:t>
      </w:r>
      <w:hyperlink r:id="rId35">
        <w:r>
          <w:rPr>
            <w:color w:val="156082"/>
            <w:sz w:val="18"/>
            <w:u w:val="single"/>
          </w:rPr>
          <w:t>R018 · Walters</w:t>
        </w:r>
      </w:hyperlink>
      <w:r>
        <w:t xml:space="preserve">  •  </w:t>
      </w:r>
      <w:hyperlink r:id="rId36">
        <w:r>
          <w:rPr>
            <w:color w:val="156082"/>
            <w:sz w:val="18"/>
            <w:u w:val="single"/>
          </w:rPr>
          <w:t>R019 · Walters</w:t>
        </w:r>
      </w:hyperlink>
      <w:r>
        <w:t xml:space="preserve">  •  </w:t>
      </w:r>
      <w:hyperlink r:id="rId37">
        <w:r>
          <w:rPr>
            <w:color w:val="156082"/>
            <w:sz w:val="18"/>
            <w:u w:val="single"/>
          </w:rPr>
          <w:t>R020 · Walters</w:t>
        </w:r>
      </w:hyperlink>
      <w:r>
        <w:t xml:space="preserve">  •  </w:t>
      </w:r>
      <w:hyperlink r:id="rId38">
        <w:r>
          <w:rPr>
            <w:color w:val="156082"/>
            <w:sz w:val="18"/>
            <w:u w:val="single"/>
          </w:rPr>
          <w:t>R021 · Met</w:t>
        </w:r>
      </w:hyperlink>
      <w:r>
        <w:t xml:space="preserve">  •  </w:t>
      </w:r>
      <w:hyperlink r:id="rId39">
        <w:r>
          <w:rPr>
            <w:color w:val="156082"/>
            <w:sz w:val="18"/>
            <w:u w:val="single"/>
          </w:rPr>
          <w:t>R053 · Aethiopica</w:t>
        </w:r>
      </w:hyperlink>
    </w:p>
    <w:p>
      <w:pPr>
        <w:pStyle w:val="Heading2"/>
      </w:pPr>
      <w:r>
        <w:t>Енох, Юбилеи, Вознесение Исайи, Octateuch</w:t>
      </w:r>
    </w:p>
    <w:p>
      <w:r>
        <w:t>Наиболее свободный геэзский Енох — факсимиле Dillmann 1851 в Bonn, с PDM. Наиболее удобный для машинной работы найденный вариант — Unicode Jerabek/HaCohen: он допускает некоммерческое копирование и распространение с сохранением уведомлений, но не является универсальным разрешением на все производные действия.</w:t>
      </w:r>
    </w:p>
    <w:p>
      <w:r>
        <w:t>Для Юбилеев есть старый английский Charles 1902 и современный VanderKam 1989 на университетской странице. У последнего авторизованное веб-чтение не означает открытую лицензию на зеркалирование. Octateuch HaCohen основан на Dillmann, но представляет самостоятельный цифровой слой без аппарата. Вознесение Исайи на том же сайте покрывает определённые геэзские страницы Charles, а не всю многоязычную публикацию.</w:t>
      </w:r>
    </w:p>
    <w:p>
      <w:pPr>
        <w:pStyle w:val="Caption"/>
        <w:spacing w:line="247" w:lineRule="auto" w:after="60"/>
      </w:pPr>
      <w:r/>
      <w:r>
        <w:t xml:space="preserve">Источники: </w:t>
      </w:r>
      <w:hyperlink r:id="rId17">
        <w:r>
          <w:rPr>
            <w:color w:val="156082"/>
            <w:sz w:val="18"/>
            <w:u w:val="single"/>
          </w:rPr>
          <w:t>R027 · Bonn</w:t>
        </w:r>
      </w:hyperlink>
      <w:r>
        <w:t xml:space="preserve">  •  </w:t>
      </w:r>
      <w:hyperlink r:id="rId40">
        <w:r>
          <w:rPr>
            <w:color w:val="156082"/>
            <w:sz w:val="18"/>
            <w:u w:val="single"/>
          </w:rPr>
          <w:t>R028 · TAU</w:t>
        </w:r>
      </w:hyperlink>
      <w:r>
        <w:t xml:space="preserve">  •  </w:t>
      </w:r>
      <w:hyperlink r:id="rId41">
        <w:r>
          <w:rPr>
            <w:color w:val="156082"/>
            <w:sz w:val="18"/>
            <w:u w:val="single"/>
          </w:rPr>
          <w:t>R029 · TAU</w:t>
        </w:r>
      </w:hyperlink>
      <w:r>
        <w:t xml:space="preserve">  •  </w:t>
      </w:r>
      <w:hyperlink r:id="rId42">
        <w:r>
          <w:rPr>
            <w:color w:val="156082"/>
            <w:sz w:val="18"/>
            <w:u w:val="single"/>
          </w:rPr>
          <w:t>R030 · TAU</w:t>
        </w:r>
      </w:hyperlink>
      <w:r>
        <w:t xml:space="preserve">  •  </w:t>
      </w:r>
      <w:hyperlink r:id="rId18">
        <w:r>
          <w:rPr>
            <w:color w:val="156082"/>
            <w:sz w:val="18"/>
            <w:u w:val="single"/>
          </w:rPr>
          <w:t>R031 · TAU</w:t>
        </w:r>
      </w:hyperlink>
      <w:r>
        <w:t xml:space="preserve">  •  </w:t>
      </w:r>
      <w:hyperlink r:id="rId43">
        <w:r>
          <w:rPr>
            <w:color w:val="156082"/>
            <w:sz w:val="18"/>
            <w:u w:val="single"/>
          </w:rPr>
          <w:t>R032 · Open Library</w:t>
        </w:r>
      </w:hyperlink>
    </w:p>
    <w:p>
      <w:pPr>
        <w:pStyle w:val="Heading2"/>
      </w:pPr>
      <w:r>
        <w:t>Канонические сборники, жития и хроники</w:t>
      </w:r>
    </w:p>
    <w:p>
      <w:r>
        <w:t>Для Didascalia найден институциональный скан Platt 1834 на Internet Archive. Для Sinodos необходимо использовать две разные записи: переводной том Horner и неполный геэзский раздел на сайте HaCohen. Скан Horner прямо исключает геэзский и арабский оригиналы; это не комплектный двуязычный доступ. Современные Chase/Johnson — защищённые научные переводы отдельных ранних церковных установлений, с официальными purchase/preview-входами.</w:t>
      </w:r>
    </w:p>
    <w:p>
      <w:r>
        <w:t>Google Play предлагает бесплатное получение старого издания жития Лалибэлы Perruchon 1892 и хроник Зэра Яыкоба / Бэыда Марьяма 1893. Получение через аккаунт здесь не выполнялось. Huntingford по Амда Сыйону и Tzadua по Fǝtḥa Nägäśt пока представлены каталожными входами; фактическая выдача не подтверждена.</w:t>
      </w:r>
    </w:p>
    <w:p>
      <w:pPr>
        <w:pStyle w:val="Caption"/>
        <w:spacing w:line="247" w:lineRule="auto" w:after="60"/>
      </w:pPr>
      <w:r/>
      <w:r>
        <w:t xml:space="preserve">Источники: </w:t>
      </w:r>
      <w:hyperlink r:id="rId44">
        <w:r>
          <w:rPr>
            <w:color w:val="156082"/>
            <w:sz w:val="18"/>
            <w:u w:val="single"/>
          </w:rPr>
          <w:t>R033 · Internet Archive</w:t>
        </w:r>
      </w:hyperlink>
      <w:r>
        <w:t xml:space="preserve">  •  </w:t>
      </w:r>
      <w:hyperlink r:id="rId45">
        <w:r>
          <w:rPr>
            <w:color w:val="156082"/>
            <w:sz w:val="18"/>
            <w:u w:val="single"/>
          </w:rPr>
          <w:t>R034 · TAU</w:t>
        </w:r>
      </w:hyperlink>
      <w:r>
        <w:t xml:space="preserve">  •  </w:t>
      </w:r>
      <w:hyperlink r:id="rId46">
        <w:r>
          <w:rPr>
            <w:color w:val="156082"/>
            <w:sz w:val="18"/>
            <w:u w:val="single"/>
          </w:rPr>
          <w:t>R035 · Internet Archive</w:t>
        </w:r>
      </w:hyperlink>
      <w:r>
        <w:t xml:space="preserve">  •  </w:t>
      </w:r>
      <w:hyperlink r:id="rId47">
        <w:r>
          <w:rPr>
            <w:color w:val="156082"/>
            <w:sz w:val="18"/>
            <w:u w:val="single"/>
          </w:rPr>
          <w:t>R036 · Google Play</w:t>
        </w:r>
      </w:hyperlink>
      <w:r>
        <w:t xml:space="preserve">  •  </w:t>
      </w:r>
      <w:hyperlink r:id="rId20">
        <w:r>
          <w:rPr>
            <w:color w:val="156082"/>
            <w:sz w:val="18"/>
            <w:u w:val="single"/>
          </w:rPr>
          <w:t>R037 · Google Play</w:t>
        </w:r>
      </w:hyperlink>
      <w:r>
        <w:t xml:space="preserve">  •  </w:t>
      </w:r>
      <w:hyperlink r:id="rId21">
        <w:r>
          <w:rPr>
            <w:color w:val="156082"/>
            <w:sz w:val="18"/>
            <w:u w:val="single"/>
          </w:rPr>
          <w:t>R038 · Open Library</w:t>
        </w:r>
      </w:hyperlink>
      <w:r>
        <w:t xml:space="preserve">  •  </w:t>
      </w:r>
      <w:hyperlink r:id="rId48">
        <w:r>
          <w:rPr>
            <w:color w:val="156082"/>
            <w:sz w:val="18"/>
            <w:u w:val="single"/>
          </w:rPr>
          <w:t>R042 · Google Books</w:t>
        </w:r>
      </w:hyperlink>
    </w:p>
    <w:p>
      <w:pPr>
        <w:pStyle w:val="Heading2"/>
      </w:pPr>
      <w:r>
        <w:t>Гномология и машиночитаемые ресурсы</w:t>
      </w:r>
    </w:p>
    <w:p>
      <w:r>
        <w:t>Для «Книги мудрых философов» лучший свободный оригинальный слой — Frankfurt Ms. or.16; научные ориентиры — CAe 1925, Pietruschka и Sumner I. Университетский preview Sumner — не весь том. Для метаданных первичен Beta maṣāḥǝft Works; для размеченного языка полезен TraCES; для чудес Богородицы — PEMM и его пакет CSV. Эти три источника имеют разные права и разную полноту: их нельзя объединить под одной меткой «открытый геэзский корпус».</w:t>
      </w:r>
    </w:p>
    <w:p>
      <w:pPr>
        <w:pStyle w:val="Caption"/>
        <w:spacing w:line="247" w:lineRule="auto" w:after="60"/>
      </w:pPr>
      <w:r/>
      <w:r>
        <w:t xml:space="preserve">Источники: </w:t>
      </w:r>
      <w:hyperlink r:id="rId49">
        <w:r>
          <w:rPr>
            <w:color w:val="156082"/>
            <w:sz w:val="18"/>
            <w:u w:val="single"/>
          </w:rPr>
          <w:t>R003 · TraCES</w:t>
        </w:r>
      </w:hyperlink>
      <w:r>
        <w:t xml:space="preserve">  •  </w:t>
      </w:r>
      <w:hyperlink r:id="rId12">
        <w:r>
          <w:rPr>
            <w:color w:val="156082"/>
            <w:sz w:val="18"/>
            <w:u w:val="single"/>
          </w:rPr>
          <w:t>R016 · Frankfurt</w:t>
        </w:r>
      </w:hyperlink>
      <w:r>
        <w:t xml:space="preserve">  •  </w:t>
      </w:r>
      <w:hyperlink r:id="rId19">
        <w:r>
          <w:rPr>
            <w:color w:val="156082"/>
            <w:sz w:val="18"/>
            <w:u w:val="single"/>
          </w:rPr>
          <w:t>R017 · CAe</w:t>
        </w:r>
      </w:hyperlink>
      <w:r>
        <w:t xml:space="preserve">  •  </w:t>
      </w:r>
      <w:hyperlink r:id="rId50">
        <w:r>
          <w:rPr>
            <w:color w:val="156082"/>
            <w:sz w:val="18"/>
            <w:u w:val="single"/>
          </w:rPr>
          <w:t>R040 · Open Library</w:t>
        </w:r>
      </w:hyperlink>
      <w:r>
        <w:t xml:space="preserve">  •  </w:t>
      </w:r>
      <w:hyperlink r:id="rId51">
        <w:r>
          <w:rPr>
            <w:color w:val="156082"/>
            <w:sz w:val="18"/>
            <w:u w:val="single"/>
          </w:rPr>
          <w:t>R041 · Hildesheim</w:t>
        </w:r>
      </w:hyperlink>
      <w:r>
        <w:t xml:space="preserve">  •  </w:t>
      </w:r>
      <w:hyperlink r:id="rId52">
        <w:r>
          <w:rPr>
            <w:color w:val="156082"/>
            <w:sz w:val="18"/>
            <w:u w:val="single"/>
          </w:rPr>
          <w:t>R050 · Beta maṣāḥǝft</w:t>
        </w:r>
      </w:hyperlink>
      <w:r>
        <w:t xml:space="preserve">  •  </w:t>
      </w:r>
      <w:hyperlink r:id="rId53">
        <w:r>
          <w:rPr>
            <w:color w:val="156082"/>
            <w:sz w:val="18"/>
            <w:u w:val="single"/>
          </w:rPr>
          <w:t>R052 · Zenodo</w:t>
        </w:r>
      </w:hyperlink>
    </w:p>
    <w:p>
      <w:r>
        <w:br w:type="page"/>
      </w:r>
    </w:p>
    <w:p>
      <w:pPr>
        <w:pStyle w:val="Heading1"/>
      </w:pPr>
      <w:r>
        <w:t>4. Карта прав и практического использования</w:t>
      </w:r>
    </w:p>
    <w:p>
      <w:pPr>
        <w:pStyle w:val="Heading2"/>
      </w:pPr>
      <w:r>
        <w:t>Свободные факсимиле и открыто лицензированные компоненты</w:t>
      </w:r>
    </w:p>
    <w:p>
      <w:r>
        <w:t>Наиболее ясные кандидаты для размещения в ToS — помеченные PDM факсимиле Bonn (Bezold и Dillmann), Frankfurt Ms. or.16, OA-изображения выбранных объектов Met и материалы Walters с CC BY 3.0. Разрешения относятся к конкретным цифровым объектам и опубликованному объёму. У Met современный кураторский текст не включён в CC0 на изображения и базовые данные.</w:t>
      </w:r>
    </w:p>
    <w:p>
      <w:r>
        <w:t>Для Walters требуется атрибуция и соблюдение лицензии; для CC0 нет лицензионной обязанности атрибуции, но сохранение музейного номера, источника и provenance полезно. PDM — маркировка статуса, не лицензия. Восемь записей с OWN_TRANSLATION_POSSIBLE означают восемь конкретных оснований, а не восемь полностью доступных произведений.</w:t>
      </w:r>
    </w:p>
    <w:p>
      <w:pPr>
        <w:pStyle w:val="Caption"/>
        <w:spacing w:line="247" w:lineRule="auto" w:after="60"/>
      </w:pPr>
      <w:r/>
      <w:r>
        <w:t xml:space="preserve">Источники: </w:t>
      </w:r>
      <w:hyperlink r:id="rId23">
        <w:r>
          <w:rPr>
            <w:color w:val="156082"/>
            <w:sz w:val="18"/>
            <w:u w:val="single"/>
          </w:rPr>
          <w:t>Bonn · Kebra / PDM</w:t>
        </w:r>
      </w:hyperlink>
      <w:r>
        <w:t xml:space="preserve">  •  </w:t>
      </w:r>
      <w:hyperlink r:id="rId35">
        <w:r>
          <w:rPr>
            <w:color w:val="156082"/>
            <w:sz w:val="18"/>
            <w:u w:val="single"/>
          </w:rPr>
          <w:t>Walters W.836 · CC BY</w:t>
        </w:r>
      </w:hyperlink>
      <w:r>
        <w:t xml:space="preserve">  •  </w:t>
      </w:r>
      <w:hyperlink r:id="rId54">
        <w:r>
          <w:rPr>
            <w:color w:val="156082"/>
            <w:sz w:val="18"/>
            <w:u w:val="single"/>
          </w:rPr>
          <w:t>Met · OA/CC0</w:t>
        </w:r>
      </w:hyperlink>
    </w:p>
    <w:p>
      <w:pPr>
        <w:pStyle w:val="Heading2"/>
      </w:pPr>
      <w:r>
        <w:t>Некоммерческое использование и запрет производных публикаций</w:t>
      </w:r>
    </w:p>
    <w:p>
      <w:r>
        <w:t>TraCES release 707 имеет CC BY-NC-ND 4.0: полезен для некоммерческого распространения неизменённого пакета при соблюдении атрибуции и уведомлений. Это не основание объявлять свободными переработанную разметку или любые производные публикации. Внутренний анализ и публичное распространение результата — разные действия; для индекса с воспроизведением текста и публикуемых embeddings оставлена ручная оценка.</w:t>
      </w:r>
    </w:p>
    <w:p>
      <w:r>
        <w:t>Unicode-Енох Jerabek/HaCohen использует собственное NC-разрешение на копирование и распространение с уведомлениями. Его не следует переименовывать в Creative Commons или дописывать неуказанные права на адаптации. Наличие полезного NC-слоя сохранено, а не отброшено из-за будущих коммерческих возможностей проекта.</w:t>
      </w:r>
    </w:p>
    <w:p>
      <w:pPr>
        <w:pStyle w:val="Caption"/>
        <w:spacing w:line="247" w:lineRule="auto" w:after="60"/>
      </w:pPr>
      <w:r/>
      <w:r>
        <w:t xml:space="preserve">Источники: </w:t>
      </w:r>
      <w:hyperlink r:id="rId49">
        <w:r>
          <w:rPr>
            <w:color w:val="156082"/>
            <w:sz w:val="18"/>
            <w:u w:val="single"/>
          </w:rPr>
          <w:t>R003 · TraCES</w:t>
        </w:r>
      </w:hyperlink>
      <w:r>
        <w:t xml:space="preserve">  •  </w:t>
      </w:r>
      <w:hyperlink r:id="rId40">
        <w:r>
          <w:rPr>
            <w:color w:val="156082"/>
            <w:sz w:val="18"/>
            <w:u w:val="single"/>
          </w:rPr>
          <w:t>R028 · TAU</w:t>
        </w:r>
      </w:hyperlink>
    </w:p>
    <w:p>
      <w:pPr>
        <w:pStyle w:val="Heading2"/>
      </w:pPr>
      <w:r>
        <w:t>Метаданные не равны изображениям и полным текстам</w:t>
      </w:r>
    </w:p>
    <w:p>
      <w:r>
        <w:t>HMML разрешает повторное использование каталожных метаданных по CC BY 4.0, но права на изображения зависят от владельцев рукописей. Вход в Reading Room не выдаёт разрешения на зеркало, OCR всей коллекции или публичную индексацию её страниц. Аналогично, Beta maṣāḥǝft применяет CC BY-SA 4.0 по умолчанию к данным, с приоритетом специальных лицензий в конкретных файлах.</w:t>
      </w:r>
    </w:p>
    <w:p>
      <w:r>
        <w:t>Для открытых XML-описаний и авторских текстов открытых статей FULLTEXT_INDEX_OK и EMBEDDINGS_OK — вывод из применимой лицензии в указанной области действия. Это не утверждение, что правообладатель отдельно одобрил конкретный алгоритм или что лицензированы все цитируемые им тексты и изображения.</w:t>
      </w:r>
    </w:p>
    <w:p>
      <w:pPr>
        <w:pStyle w:val="Caption"/>
        <w:spacing w:line="247" w:lineRule="auto" w:after="60"/>
      </w:pPr>
      <w:r/>
      <w:r>
        <w:t xml:space="preserve">Источники: </w:t>
      </w:r>
      <w:hyperlink r:id="rId55">
        <w:r>
          <w:rPr>
            <w:color w:val="156082"/>
            <w:sz w:val="18"/>
            <w:u w:val="single"/>
          </w:rPr>
          <w:t>HMML · Terms</w:t>
        </w:r>
      </w:hyperlink>
      <w:r>
        <w:t xml:space="preserve">  •  </w:t>
      </w:r>
      <w:hyperlink r:id="rId56">
        <w:r>
          <w:rPr>
            <w:color w:val="156082"/>
            <w:sz w:val="18"/>
            <w:u w:val="single"/>
          </w:rPr>
          <w:t>Beta maṣāḥǝft · Data Note</w:t>
        </w:r>
      </w:hyperlink>
    </w:p>
    <w:p>
      <w:pPr>
        <w:pStyle w:val="Heading2"/>
      </w:pPr>
      <w:r>
        <w:t>Бесплатно читать — не обязательно свободно распространять</w:t>
      </w:r>
    </w:p>
    <w:p>
      <w:r>
        <w:t>Современные тексты на страницах HaCohen, переводы PEMM и издательские preview сохраняются как законные полезные пути чтения, но не получают автоматических MIRROR_OK. Для PEMM отдельно оговорены чтение и преподавание; изображения требуют проверки у хранителя. Лицензия CSV-пакета не отобразилась, поэтому его публичное переиспользование оставлено на проверку. Apache-лицензия связанного программного кода на данные не переносится.</w:t>
      </w:r>
    </w:p>
    <w:p>
      <w:pPr>
        <w:pStyle w:val="Caption"/>
        <w:spacing w:line="247" w:lineRule="auto" w:after="60"/>
      </w:pPr>
      <w:r/>
      <w:r>
        <w:t xml:space="preserve">Источники: </w:t>
      </w:r>
      <w:hyperlink r:id="rId18">
        <w:r>
          <w:rPr>
            <w:color w:val="156082"/>
            <w:sz w:val="18"/>
            <w:u w:val="single"/>
          </w:rPr>
          <w:t>R031 · TAU</w:t>
        </w:r>
      </w:hyperlink>
      <w:r>
        <w:t xml:space="preserve">  •  </w:t>
      </w:r>
      <w:hyperlink r:id="rId22">
        <w:r>
          <w:rPr>
            <w:color w:val="156082"/>
            <w:sz w:val="18"/>
            <w:u w:val="single"/>
          </w:rPr>
          <w:t>R051 · PEMM</w:t>
        </w:r>
      </w:hyperlink>
      <w:r>
        <w:t xml:space="preserve">  •  </w:t>
      </w:r>
      <w:hyperlink r:id="rId53">
        <w:r>
          <w:rPr>
            <w:color w:val="156082"/>
            <w:sz w:val="18"/>
            <w:u w:val="single"/>
          </w:rPr>
          <w:t>R052 · Zenodo</w:t>
        </w:r>
      </w:hyperlink>
    </w:p>
    <w:p>
      <w:r>
        <w:br w:type="page"/>
      </w:r>
    </w:p>
    <w:p>
      <w:pPr>
        <w:pStyle w:val="Heading1"/>
      </w:pPr>
      <w:r>
        <w:t>5. Характерные правовые и текстологические тонкости</w:t>
      </w:r>
    </w:p>
    <w:p>
      <w:pPr>
        <w:pStyle w:val="Heading2"/>
      </w:pPr>
      <w:r>
        <w:t>Четыре слоя, которые нельзя смешивать</w:t>
      </w:r>
    </w:p>
    <w:p>
      <w:r>
        <w:t>Первый слой — историческое произведение. Второй — конкретный перевод, критическая редакция, реконструкция и аппарат. Третий — файл, скан, фотография, транскрипция или dataset. Четвёртый — условия предоставившей его платформы. Открытость одного слоя не делает открытыми остальные. Особенно опасно это для геэзской книжности, где древний текст может быть доступен только через современную реконструкцию.</w:t>
      </w:r>
    </w:p>
    <w:p>
      <w:r>
        <w:t>Для собственного перевода ToS надёжнее прямо назвать основание: например, геэзские страницы Bezold 1905 в Bonn либо сохранившиеся листы Met 2006.99. Перевод с современного защищённого английского издания — другая задача. Он не становится свободным оттого, что его далёкий оригинал средневековый.</w:t>
      </w:r>
    </w:p>
    <w:p>
      <w:pPr>
        <w:pStyle w:val="Heading2"/>
      </w:pPr>
      <w:r>
        <w:t>Поздняя рукопись — не позднее произведение</w:t>
      </w:r>
    </w:p>
    <w:p>
      <w:r>
        <w:t>Дата кодекса не заменяет дату сочинения, и число кадров не заменяет число страниц или полноту текста. В Frankfurt Ms. or.16 философский текст отделён от дополнительного материала в конце рукописи. Arganonä Maryam содержит лакуны; W.838 — фрагмент. Такие ограничения важны и для библиографического описания, и для объёма разрешённого перевода.</w:t>
      </w:r>
    </w:p>
    <w:p>
      <w:pPr>
        <w:pStyle w:val="Caption"/>
        <w:spacing w:line="247" w:lineRule="auto" w:after="60"/>
      </w:pPr>
      <w:r/>
      <w:r>
        <w:t xml:space="preserve">Источники: </w:t>
      </w:r>
      <w:hyperlink r:id="rId12">
        <w:r>
          <w:rPr>
            <w:color w:val="156082"/>
            <w:sz w:val="18"/>
            <w:u w:val="single"/>
          </w:rPr>
          <w:t>R016 · Frankfurt</w:t>
        </w:r>
      </w:hyperlink>
      <w:r>
        <w:t xml:space="preserve">  •  </w:t>
      </w:r>
      <w:hyperlink r:id="rId37">
        <w:r>
          <w:rPr>
            <w:color w:val="156082"/>
            <w:sz w:val="18"/>
            <w:u w:val="single"/>
          </w:rPr>
          <w:t>R020 · Walters</w:t>
        </w:r>
      </w:hyperlink>
      <w:r>
        <w:t xml:space="preserve">  •  </w:t>
      </w:r>
      <w:hyperlink r:id="rId13">
        <w:r>
          <w:rPr>
            <w:color w:val="156082"/>
            <w:sz w:val="18"/>
            <w:u w:val="single"/>
          </w:rPr>
          <w:t>R049 · Met</w:t>
        </w:r>
      </w:hyperlink>
    </w:p>
    <w:p>
      <w:pPr>
        <w:pStyle w:val="Heading2"/>
      </w:pPr>
      <w:r>
        <w:t>Старое издание и Public Domain требуют конкретизации</w:t>
      </w:r>
    </w:p>
    <w:p>
      <w:r>
        <w:t>Для сканов Internet Archive учитывались учреждение-источник и указанный rights statement, а не одно присутствие файла на платформе. NOT_IN_COPYRIGHT в американском контексте не трактуется как универсальное разрешение во всех странах. Для DAE IV 1913 старый год печати и PDM на загрузке не устраняют автоматически вопрос о правах на научный редакционный слой за пределами США.</w:t>
      </w:r>
    </w:p>
    <w:p>
      <w:r>
        <w:t>Результат не содержит юридического заключения для всех стран будущей публикации ToS. Для международного зеркала нужно сохранять item-level доказательства и проверять существенные территориальные ограничения. До такой проверки остаются полезными внешняя ссылка, каталог и разрешённое чтение; отсутствие MIRROR_OK не означает, что объект следует убрать из проекта.</w:t>
      </w:r>
    </w:p>
    <w:p>
      <w:pPr>
        <w:pStyle w:val="Caption"/>
        <w:spacing w:line="247" w:lineRule="auto" w:after="60"/>
      </w:pPr>
      <w:r/>
      <w:r>
        <w:t xml:space="preserve">Источники: </w:t>
      </w:r>
      <w:hyperlink r:id="rId44">
        <w:r>
          <w:rPr>
            <w:color w:val="156082"/>
            <w:sz w:val="18"/>
            <w:u w:val="single"/>
          </w:rPr>
          <w:t>R033 · Internet Archive</w:t>
        </w:r>
      </w:hyperlink>
      <w:r>
        <w:t xml:space="preserve">  •  </w:t>
      </w:r>
      <w:hyperlink r:id="rId46">
        <w:r>
          <w:rPr>
            <w:color w:val="156082"/>
            <w:sz w:val="18"/>
            <w:u w:val="single"/>
          </w:rPr>
          <w:t>R035 · Internet Archive</w:t>
        </w:r>
      </w:hyperlink>
      <w:r>
        <w:t xml:space="preserve">  •  </w:t>
      </w:r>
      <w:hyperlink r:id="rId57">
        <w:r>
          <w:rPr>
            <w:color w:val="156082"/>
            <w:sz w:val="18"/>
            <w:u w:val="single"/>
          </w:rPr>
          <w:t>R039 · Internet Archive</w:t>
        </w:r>
      </w:hyperlink>
    </w:p>
    <w:p>
      <w:pPr>
        <w:pStyle w:val="Heading2"/>
      </w:pPr>
      <w:r>
        <w:t>Полный объект платформы бывает неполным текстовым источником</w:t>
      </w:r>
    </w:p>
    <w:p>
      <w:r>
        <w:t>Характерный случай — Horner: доступный скан переводного тома не включает геэзский и арабский оригиналы. Другой случай — PDF с 12 страницами Sumner: он даёт ориентацию, не всю книгу. Открытая рецензия на «Книгу тайны» или «Книгу света» — ещё один отдельный объект, а не открытая версия рецензируемого издания.</w:t>
      </w:r>
    </w:p>
    <w:p>
      <w:r>
        <w:t>Поэтому coverage описывает доступный слой, а verification_status — глубину проверки. FREE_DOWNLOAD может означать, что библиотека предоставляет соответствующую кнопку или файл; когда двоичное скачивание не прошло, это прямо сказано. Все страницы рукописей поштучно не сверялись, а предложенная бесплатная регистрация не выполнялась.</w:t>
      </w:r>
    </w:p>
    <w:p>
      <w:pPr>
        <w:pStyle w:val="Heading2"/>
      </w:pPr>
      <w:r>
        <w:t>Ограничения автоматических рекомендаций</w:t>
      </w:r>
    </w:p>
    <w:p>
      <w:r>
        <w:t>Теги читаются вместе с rights_scope и coverage. Сочетание положительного тега с RIGHTS_REVIEW_REQUIRED не является противоречием, когда разрешены метаданные, но не проверены фотографии, либо разрешена статья, но не цитируемая книга. Такие записи не подходят для автоматического массового зеркалирования без разбора компонентов.</w:t>
      </w:r>
    </w:p>
    <w:p>
      <w:r>
        <w:t>В этой поставке не подтверждён ни один конкретный сеанс library_borrow/CDL. Каталожный поиск библиотеки сохранён, но не переименован в выдачу; название коллекции Internet Archive само по себе тоже не доказательство режима CDL.</w:t>
      </w:r>
    </w:p>
    <w:p>
      <w:r>
        <w:br w:type="page"/>
      </w:r>
    </w:p>
    <w:p>
      <w:pPr>
        <w:pStyle w:val="Heading1"/>
      </w:pPr>
      <w:r>
        <w:t>6. Пробелы и дальнейший поиск</w:t>
      </w:r>
    </w:p>
    <w:p>
      <w:r>
        <w:t>Лист gaps содержит 30 записей. Это перечень конкретных незавершённых проверок, а не утверждение, что соответствующие произведения не существуют или не оцифрованы. «Не найден полный текст», «не открылась ссылка» и «не установлены права» — разные состояния.</w:t>
      </w:r>
    </w:p>
    <w:p>
      <w:pPr>
        <w:pStyle w:val="Heading2"/>
      </w:pPr>
      <w:r>
        <w:t>Приоритетные пробелы в самом ядре</w:t>
      </w:r>
    </w:p>
    <w:p>
      <w:r>
        <w:t>Säʿatat: нет проверенного полного оригинала и перевода. Mäṣḥafä Mǝśṭir: современные издания идентифицированы, но полный свободный текст не найден и библиотечные маршруты не испытаны. Mäṣḥafä Bərhan: проверены библиографические ориентиры, но не полный цифровой комплект. Ṭomarä Təsbəʾt: остаются и доступ, и проблема идентификации. Aksumite Collection: нет проверенного полного свободного оригинала и факсимиле codex unicus.</w:t>
      </w:r>
    </w:p>
    <w:p>
      <w:r>
        <w:t>Для Garima не завершено сопоставление трёх кодексов с цифровыми записями; для Ḥayq не проинвентаризирована вся коллекция. Геэзский библейский корпус также не закрыт: выбранные книги и евангельские свидетели не заменяют Псалтирь, Пророков, Апостол и проверку канонических составов.</w:t>
      </w:r>
    </w:p>
    <w:p>
      <w:pPr>
        <w:pStyle w:val="Heading2"/>
      </w:pPr>
      <w:r>
        <w:t>Прямые родственники корпуса</w:t>
      </w:r>
    </w:p>
    <w:p>
      <w:r>
        <w:t>В gaps сохранены отдельные части Aksumite Collection, Qerellos, Пастырь Гермы, Physiologus, правила Пахомия, Gädlä Iyasus Moʾa, Gädlä Giyorgis и гимнографический фрагмент Mǝʾǝsar Gwǝḥila. Для Sinodos требуется комплектный оригинальный раздел; для Fǝtḥa Nägäśt — геэзский текст и проверенный арабский источник. Из царского авторского ряда перспективен Mäṣḥafä Milād и точные места использования Юбилеев.</w:t>
      </w:r>
    </w:p>
    <w:p>
      <w:pPr>
        <w:pStyle w:val="Heading2"/>
      </w:pPr>
      <w:r>
        <w:t>Внепериодные произведения и линии сохранения</w:t>
      </w:r>
    </w:p>
    <w:p>
      <w:r>
        <w:t>Не завершены арабский Kitāb al-Bustān, полные Cornill/Sumner по «Книге мудрых философов», параллельный Arganonä Maryam в Bodleian и перевод Budge 1933, Liber Axumae, отдельный путь к Pero Páez и передача Monumentum Adulitanum у Косьмы. Для Skendes, предполагаемой линии Ḥunayn и Ḥatäta дополнительно требуется доказать конкретную релевантность, а не просто найти любую доступную книгу.</w:t>
      </w:r>
    </w:p>
    <w:p>
      <w:pPr>
        <w:pStyle w:val="Heading2"/>
      </w:pPr>
      <w:r>
        <w:t>Технически неоткрытые и правовые пробелы</w:t>
      </w:r>
    </w:p>
    <w:p>
      <w:r>
        <w:t>Наиболее частые барьеры — LIBRIS/WorldCat, издательские карточки CSCO, Cambridge, отдельные библиотечные каталоги и PDF-загрузки. Некоторые item-level страницы показывали только JavaScript-оболочку. В реестре сохранены найденные ссылки и альтернативное evidence, когда идентичность издания подтверждается; доступность самого файла не угадывалась.</w:t>
      </w:r>
    </w:p>
    <w:p>
      <w:r>
        <w:t>Для TraCES проверены лицензия и страница release, но не внутренний список файлов. Для PEMM не подтверждена лицензия CSV-пакета и не просмотрены полные отдельные stories. Открытая политика учреждения не заменяет проверки каждой сторонней фотографии. Это ограничения исследования, а не технические задачи, тайно выполненные за пользователя.</w:t>
      </w:r>
    </w:p>
    <w:p>
      <w:pPr>
        <w:pStyle w:val="Heading2"/>
      </w:pPr>
      <w:r>
        <w:t>Слабые кандидаты</w:t>
      </w:r>
    </w:p>
    <w:p>
      <w:r>
        <w:t>Русская «Кебра Нагаст» в растафарианской редакции, русские хроники XVI–XVII вв. и анонимные онлайн-переводы не включены в registry как установленные свободные тексты. Каталожные подсказки и варианты названий сохранены в gaps с указанием требуемого подтверждения. Даже подтверждённый перевод с английского не следует представлять как прямой научный перевод с Geʿez.</w:t>
      </w:r>
    </w:p>
    <w:p>
      <w:r>
        <w:br w:type="page"/>
      </w:r>
    </w:p>
    <w:p>
      <w:pPr>
        <w:pStyle w:val="Heading1"/>
      </w:pPr>
      <w:r>
        <w:t>6. Пробелы: шесть целевых продолжений</w:t>
      </w:r>
    </w:p>
    <w:p>
      <w:r>
        <w:rPr>
          <w:b/>
        </w:rPr>
        <w:t>1. Закрыть авторское ядро.</w:t>
      </w:r>
      <w:r>
        <w:t xml:space="preserve"> В первую очередь сверить CSCO по «Книге тайны» и «Книге света», затем получить исследование Ṭomarä Təsbəʾt и найти полный Säʿatat. Начинать с точных серийных номеров и инципитов, не с общих запросов «Ethiopian philosophy».</w:t>
      </w:r>
    </w:p>
    <w:p>
      <w:r>
        <w:rPr>
          <w:b/>
        </w:rPr>
        <w:t>2. Раскрыть Aksumite Collection по составу.</w:t>
      </w:r>
      <w:r>
        <w:t xml:space="preserve"> По CAe 1047 и TEI-библиографии перечислить изданные части, привязать каждую к оригиналу, переводу и codex unicus. Современные переводы двух установлений не считать полным покрытием сборника.</w:t>
      </w:r>
    </w:p>
    <w:p>
      <w:r>
        <w:rPr>
          <w:b/>
        </w:rPr>
        <w:t>3. Проверить свидетелей, а не только порталы.</w:t>
      </w:r>
      <w:r>
        <w:t xml:space="preserve"> Сопоставить Garima I/II/III и AG-номера; продолжить Ḥayq по конкретным произведениям; проверить Bodleian Ms. Aeth. e.28 и эпиграфические номера RIÉ/DAE. Приоритет — содержимое, комплектность, права на фотографии.</w:t>
      </w:r>
    </w:p>
    <w:p>
      <w:r>
        <w:rPr>
          <w:b/>
        </w:rPr>
        <w:t>4. Закрыть переводную гномологию.</w:t>
      </w:r>
      <w:r>
        <w:t xml:space="preserve"> Установить издание арабского Kitāb al-Bustān, сверить короткую и пространную геэзские редакции, получить полный Sumner и определить объём Cornill. Только затем разбирать Skendes и предполагаемые связи с Ḥunayn.</w:t>
      </w:r>
    </w:p>
    <w:p>
      <w:r>
        <w:rPr>
          <w:b/>
        </w:rPr>
        <w:t>5. Разделить лицензии машиночитаемых слоёв.</w:t>
      </w:r>
      <w:r>
        <w:t xml:space="preserve"> Прочитать состав TraCES release 707, лицензии конкретных TEI Beta maṣāḥǝft и права CSV/переводов PEMM. Для каждого определить отдельно зеркало, OCR, публичный полнотекстовый индекс, embeddings и перевод.</w:t>
      </w:r>
    </w:p>
    <w:p>
      <w:r>
        <w:rPr>
          <w:b/>
        </w:rPr>
        <w:t>6. Проверить позднюю передачу и русские версии.</w:t>
      </w:r>
      <w:r>
        <w:t xml:space="preserve"> Проследить Pero Páez, Liber Axumae, Budge 1933 и национальные каталоги русских изданий. Принимать в основной реестр только установленную версию с конкретной связью со строкой и законным входом.</w:t>
      </w:r>
    </w:p>
    <w:p>
      <w:pPr>
        <w:pStyle w:val="Heading1"/>
      </w:pPr>
      <w:r>
        <w:t>7. Итоговая оценка</w:t>
      </w:r>
    </w:p>
    <w:p>
      <w:r>
        <w:t>Корпус покрыт неравномерно, но основные ветви DR получили предметные пути либо явные записи о пробелах. Сильнее всего представлены Kǝbrä Nägäśt, отдельные библейские тексты, открытые евангельские свидетели и поздняя гномология. Самые существенные незавершённые участки — полные оригиналы авторского богословия, комплект Aksumite Collection и точная инвентаризация монастырских собраний.</w:t>
      </w:r>
    </w:p>
    <w:p>
      <w:r>
        <w:t>Оригиналы доступны прежде всего как факсимиле и отдельные электронные тексты; готовой универсальной открытой транскрипции всего ядра не установлено. Переводы лучше представлены на английском, немецком, французском и итальянском. Современные научные версии необходимы, даже когда остаются защищёнными и доступными только через издателя или библиотечный поиск.</w:t>
      </w:r>
    </w:p>
    <w:p>
      <w:r>
        <w:t>Наиболее свободный слой — конкретные институциональные факсимиле с PDM/CC0 и лицензированные изображения Walters. Наиболее пригодный открытый метаданный слой — CAe/Beta maṣāḥǝft и каталожные данные HMML в пределах их лицензий. Главные ограничения сосредоточены в современных критических изданиях, защищённых переводах, сторонних фотографиях и неполных цифровых объектах.</w:t>
      </w:r>
    </w:p>
    <w:p>
      <w:pPr>
        <w:shd w:fill="EAF2F4"/>
        <w:spacing w:before="100" w:after="180"/>
      </w:pPr>
      <w:r>
        <w:rPr>
          <w:b/>
        </w:rPr>
        <w:t>Пакет пригоден для передачи Codex как исследовательская карта доступа и прав — не как готовое разрешение на массовое скачивание, обучение или публикацию корпуса.</w:t>
      </w:r>
    </w:p>
    <w:p>
      <w:r>
        <w:t>Для следующей обработки первичны record_id, версия, свидетель, coverage, rights_scope и verification_status. Дедупликация произведений, построение графа и инженерный конвейер не создавались. Записи с RIGHTS_REVIEW_REQUIRED, неоткрытыми файлами и непроверенной библиотечной выдачей должны сохранять эти ограничения, а не автоматически повышаться до свободного полного текста.</w:t>
      </w:r>
    </w:p>
    <w:p>
      <w:pPr>
        <w:pStyle w:val="Caption"/>
        <w:spacing w:line="247" w:lineRule="auto" w:after="60"/>
      </w:pPr>
      <w:r>
        <w:t>Файлы: ToS_Corpus_Rights_T2-07_registry.xlsx и ToS_Corpus_Rights_T2-07_report.docx.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1077" w:bottom="935" w:left="1077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37381"/>
        <w:sz w:val="16"/>
      </w:rPr>
      <w:t xml:space="preserve">T2-07  ·  04.09.2026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spacing w:after="40"/>
    </w:pPr>
    <w:r>
      <w:t>ДРЕВО СОФИИ   /   CORPUS &amp; RIGHTS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736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36A7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736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17364A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20"/>
    </w:pPr>
    <w:rPr>
      <w:rFonts w:asciiTheme="majorHAnsi" w:eastAsiaTheme="majorEastAsia" w:hAnsiTheme="majorHAnsi" w:cstheme="majorBidi" w:ascii="Calibri" w:hAnsi="Calibri"/>
      <w:b w:val="0"/>
      <w:i/>
      <w:iCs/>
      <w:color w:val="51647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widowControl/>
      <w:spacing w:after="130" w:line="266" w:lineRule="auto"/>
    </w:pPr>
    <w:rPr>
      <w:rFonts w:ascii="Calibri" w:hAnsi="Calibr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b/>
      <w:bCs/>
      <w:color w:val="51647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cae.ethiopicist.com/works/1047/" TargetMode="External"/><Relationship Id="rId12" Type="http://schemas.openxmlformats.org/officeDocument/2006/relationships/hyperlink" Target="https://sammlungen.ub.uni-frankfurt.de/msorient/content/titleinfo/5437295" TargetMode="External"/><Relationship Id="rId13" Type="http://schemas.openxmlformats.org/officeDocument/2006/relationships/hyperlink" Target="https://www.metmuseum.org/art/collection/search/733038" TargetMode="External"/><Relationship Id="rId14" Type="http://schemas.openxmlformats.org/officeDocument/2006/relationships/hyperlink" Target="https://litpress.org/Products/01839/The-Apostolic-Tradition" TargetMode="External"/><Relationship Id="rId15" Type="http://schemas.openxmlformats.org/officeDocument/2006/relationships/hyperlink" Target="https://litpress.org/Products/8915" TargetMode="External"/><Relationship Id="rId16" Type="http://schemas.openxmlformats.org/officeDocument/2006/relationships/hyperlink" Target="https://journals.sub.uni-hamburg.de/aethiopica/article/view/451" TargetMode="External"/><Relationship Id="rId17" Type="http://schemas.openxmlformats.org/officeDocument/2006/relationships/hyperlink" Target="https://digitale-sammlungen.ulb.uni-bonn.de/content/titleinfo/51640" TargetMode="External"/><Relationship Id="rId18" Type="http://schemas.openxmlformats.org/officeDocument/2006/relationships/hyperlink" Target="https://www.tau.ac.il/~hacohen/Jubil/InformationVdK.html" TargetMode="External"/><Relationship Id="rId19" Type="http://schemas.openxmlformats.org/officeDocument/2006/relationships/hyperlink" Target="https://cae.ethiopicist.com/works/1925/" TargetMode="External"/><Relationship Id="rId20" Type="http://schemas.openxmlformats.org/officeDocument/2006/relationships/hyperlink" Target="https://play.google.com/store/books/details/Jules_Perruchon_Les_chroniques_de_Zar_a_Y%C3%A2%CA%BBeq%C3%B4b_et?id=Efk7MC2af_cC" TargetMode="External"/><Relationship Id="rId21" Type="http://schemas.openxmlformats.org/officeDocument/2006/relationships/hyperlink" Target="https://openlibrary.org/books/OL5938831M/The_glorious_victories_of_%CA%BBA%CC%84mda_S%CC%A3eyon_King_of_Ethiopia." TargetMode="External"/><Relationship Id="rId22" Type="http://schemas.openxmlformats.org/officeDocument/2006/relationships/hyperlink" Target="https://pemm.princeton.edu/en-us" TargetMode="External"/><Relationship Id="rId23" Type="http://schemas.openxmlformats.org/officeDocument/2006/relationships/hyperlink" Target="https://digitale-sammlungen.ulb.uni-bonn.de/content/titleinfo/7639171" TargetMode="External"/><Relationship Id="rId24" Type="http://schemas.openxmlformats.org/officeDocument/2006/relationships/hyperlink" Target="https://sacred-texts.com/afr/kn/" TargetMode="External"/><Relationship Id="rId25" Type="http://schemas.openxmlformats.org/officeDocument/2006/relationships/hyperlink" Target="https://search.worldcat.org/title/The-book-of-mystery-%3A-Masafa-Mesir-of-Abba-Giyorgis-of-Gasecca-%281364-1425%29-%3A-Ethiopia%27s-most-iconic-theological-exegetical-historical-and-philosophical-treatise/oclc/1543142259" TargetMode="External"/><Relationship Id="rId26" Type="http://schemas.openxmlformats.org/officeDocument/2006/relationships/hyperlink" Target="https://journals.sub.uni-hamburg.de/aethiopica/article/view/2301" TargetMode="External"/><Relationship Id="rId27" Type="http://schemas.openxmlformats.org/officeDocument/2006/relationships/hyperlink" Target="https://bookofmystery.org/products/the-book-of-mystery-of-giyorgis-of-sagla" TargetMode="External"/><Relationship Id="rId28" Type="http://schemas.openxmlformats.org/officeDocument/2006/relationships/hyperlink" Target="https://libris.kb.se/bib/1209325" TargetMode="External"/><Relationship Id="rId29" Type="http://schemas.openxmlformats.org/officeDocument/2006/relationships/hyperlink" Target="https://journals.sub.uni-hamburg.de/aethiopica/article/view/877" TargetMode="External"/><Relationship Id="rId30" Type="http://schemas.openxmlformats.org/officeDocument/2006/relationships/hyperlink" Target="https://isdistribution.com/work/il-libro-della-luce-del-negus-zara-yaqob-mashafa-berhan-i/" TargetMode="External"/><Relationship Id="rId31" Type="http://schemas.openxmlformats.org/officeDocument/2006/relationships/hyperlink" Target="https://www.cambridge.org/core/journals/bulletin-of-the-school-of-oriental-and-african-studies/article/abs/preliminary-investigation-of-the-tomara-tsbt-of-emperor-zara-yaqob-of-ethiopia/8582652D7CAB8293A25EB2E93B00EC83" TargetMode="External"/><Relationship Id="rId32" Type="http://schemas.openxmlformats.org/officeDocument/2006/relationships/hyperlink" Target="https://journals.sub.uni-hamburg.de/aethiopica/article/view/1492" TargetMode="External"/><Relationship Id="rId33" Type="http://schemas.openxmlformats.org/officeDocument/2006/relationships/hyperlink" Target="https://www.vhmml.org/readingRoom/view/132896" TargetMode="External"/><Relationship Id="rId34" Type="http://schemas.openxmlformats.org/officeDocument/2006/relationships/hyperlink" Target="https://www.vhmml.org/readingRoom/view/132897" TargetMode="External"/><Relationship Id="rId35" Type="http://schemas.openxmlformats.org/officeDocument/2006/relationships/hyperlink" Target="https://www.thedigitalwalters.org/Data/WaltersManuscripts/html/W836/" TargetMode="External"/><Relationship Id="rId36" Type="http://schemas.openxmlformats.org/officeDocument/2006/relationships/hyperlink" Target="https://www.thedigitalwalters.org/Data/WaltersManuscripts/html/W850/" TargetMode="External"/><Relationship Id="rId37" Type="http://schemas.openxmlformats.org/officeDocument/2006/relationships/hyperlink" Target="https://www.thedigitalwalters.org/Data/WaltersManuscripts/html/W838/" TargetMode="External"/><Relationship Id="rId38" Type="http://schemas.openxmlformats.org/officeDocument/2006/relationships/hyperlink" Target="https://www.metmuseum.org/art/collection/search/317618" TargetMode="External"/><Relationship Id="rId39" Type="http://schemas.openxmlformats.org/officeDocument/2006/relationships/hyperlink" Target="https://journals.sub.uni-hamburg.de/aethiopica/article/view/1089" TargetMode="External"/><Relationship Id="rId40" Type="http://schemas.openxmlformats.org/officeDocument/2006/relationships/hyperlink" Target="https://www.tau.ac.il/~hacohen/Henoch/InformationDill.html" TargetMode="External"/><Relationship Id="rId41" Type="http://schemas.openxmlformats.org/officeDocument/2006/relationships/hyperlink" Target="https://www.tau.ac.il/~hacohen/Octateuch/Information.html" TargetMode="External"/><Relationship Id="rId42" Type="http://schemas.openxmlformats.org/officeDocument/2006/relationships/hyperlink" Target="https://www.tau.ac.il/~hacohen/AscJes/Information.html" TargetMode="External"/><Relationship Id="rId43" Type="http://schemas.openxmlformats.org/officeDocument/2006/relationships/hyperlink" Target="https://openlibrary.org/works/OL16734744W/The_book_of_Jubilees" TargetMode="External"/><Relationship Id="rId44" Type="http://schemas.openxmlformats.org/officeDocument/2006/relationships/hyperlink" Target="https://archive.org/details/statutesapostle00unkngoog" TargetMode="External"/><Relationship Id="rId45" Type="http://schemas.openxmlformats.org/officeDocument/2006/relationships/hyperlink" Target="https://www.tau.ac.il/~hacohen/Tezaz/Information.html" TargetMode="External"/><Relationship Id="rId46" Type="http://schemas.openxmlformats.org/officeDocument/2006/relationships/hyperlink" Target="https://archive.org/details/ethiopicdidascal00platrich" TargetMode="External"/><Relationship Id="rId47" Type="http://schemas.openxmlformats.org/officeDocument/2006/relationships/hyperlink" Target="https://play.google.com/store/books/details/Jules_Perruchon_Vie_de_Lalibala_roi_d_%C3%89thiopie?id=if25l5KQvrUC" TargetMode="External"/><Relationship Id="rId48" Type="http://schemas.openxmlformats.org/officeDocument/2006/relationships/hyperlink" Target="https://books.google.com/books/about/The_Fetha_Nagast.html?id=GivvzwEACAAJ" TargetMode="External"/><Relationship Id="rId49" Type="http://schemas.openxmlformats.org/officeDocument/2006/relationships/hyperlink" Target="https://www.fdr.uni-hamburg.de/record/707" TargetMode="External"/><Relationship Id="rId50" Type="http://schemas.openxmlformats.org/officeDocument/2006/relationships/hyperlink" Target="https://openlibrary.org/works/OL1015843W/The_Book_of_the_wise_philosophers" TargetMode="External"/><Relationship Id="rId51" Type="http://schemas.openxmlformats.org/officeDocument/2006/relationships/hyperlink" Target="https://www.uni-hildesheim.de/en/histories-of-philosophy/histories-of-philosophy/english/ab-dem-20-jahrhundert/ancient-ethiopian-philosophy/translate-to-english-1974-sumner/" TargetMode="External"/><Relationship Id="rId52" Type="http://schemas.openxmlformats.org/officeDocument/2006/relationships/hyperlink" Target="https://github.com/BetaMasaheft/Works" TargetMode="External"/><Relationship Id="rId53" Type="http://schemas.openxmlformats.org/officeDocument/2006/relationships/hyperlink" Target="https://zenodo.org/records/8247393" TargetMode="External"/><Relationship Id="rId54" Type="http://schemas.openxmlformats.org/officeDocument/2006/relationships/hyperlink" Target="https://www.metmuseum.org/hubs/open-access" TargetMode="External"/><Relationship Id="rId55" Type="http://schemas.openxmlformats.org/officeDocument/2006/relationships/hyperlink" Target="https://www.vhmml.org/terms" TargetMode="External"/><Relationship Id="rId56" Type="http://schemas.openxmlformats.org/officeDocument/2006/relationships/hyperlink" Target="https://www.fdm.uni-hamburg.de/en/uhh-data-notes/data-notes/issue-2020/dano-01-001.html" TargetMode="External"/><Relationship Id="rId57" Type="http://schemas.openxmlformats.org/officeDocument/2006/relationships/hyperlink" Target="https://archive.org/details/SabaischeGriechischeUndAltabessinischeInschrift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Registry — T2-07</dc:title>
  <dc:subject>Геэзская средневековая книжность: корпус, законный доступ и условия использования</dc:subject>
  <dc:creator>ToS / Древо Софии</dc:creator>
  <cp:keywords>T2-07; Geʿez; corpus; rights; manuscripts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