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14"/>
        <w:jc w:val="center"/>
      </w:pPr>
      <w:r>
        <w:rPr>
          <w:rFonts w:ascii="Noto Sans" w:hAnsi="Noto Sans"/>
          <w:b/>
          <w:color w:val="173F4F"/>
          <w:sz w:val="52"/>
        </w:rPr>
        <w:t>ToS Corpus &amp; Rights Registry</w:t>
      </w:r>
    </w:p>
    <w:p>
      <w:pPr>
        <w:spacing w:before="280"/>
        <w:jc w:val="center"/>
      </w:pPr>
      <w:r>
        <w:rPr>
          <w:rFonts w:ascii="Noto Sans" w:hAnsi="Noto Sans"/>
          <w:b/>
          <w:color w:val="236270"/>
          <w:sz w:val="68"/>
        </w:rPr>
        <w:t>A38</w:t>
      </w:r>
    </w:p>
    <w:p>
      <w:pPr>
        <w:spacing w:before="160"/>
        <w:jc w:val="center"/>
      </w:pPr>
      <w:r>
        <w:rPr>
          <w:rFonts w:ascii="Noto Sans" w:hAnsi="Noto Sans"/>
          <w:b/>
          <w:color w:val="20404E"/>
          <w:sz w:val="34"/>
        </w:rPr>
        <w:t>Армянская и грузинская раннехристианская</w:t>
        <w:br/>
        <w:t>переводная книжность</w:t>
      </w:r>
    </w:p>
    <w:p>
      <w:pPr>
        <w:spacing w:before="400"/>
        <w:jc w:val="center"/>
      </w:pPr>
      <w:r>
        <w:rPr>
          <w:rFonts w:ascii="Noto Sans" w:hAnsi="Noto Sans"/>
          <w:color w:val="465862"/>
          <w:sz w:val="24"/>
        </w:rPr>
        <w:t>Исследовательский пакет по корпусу, доступу и правам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556"/>
      </w:tblGrid>
      <w:tr>
        <w:tc>
          <w:tcPr>
            <w:tcW w:type="dxa" w:w="4819"/>
            <w:shd w:fill="DCEA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" w:hAnsi="Noto Sans"/>
                <w:b/>
                <w:sz w:val="19"/>
              </w:rPr>
              <w:t>Строка ToS</w:t>
            </w:r>
          </w:p>
        </w:tc>
        <w:tc>
          <w:tcPr>
            <w:tcW w:type="dxa" w:w="481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" w:hAnsi="Noto Sans"/>
                <w:sz w:val="19"/>
              </w:rPr>
              <w:t>A38</w:t>
            </w:r>
          </w:p>
        </w:tc>
      </w:tr>
      <w:tr>
        <w:tc>
          <w:tcPr>
            <w:tcW w:type="dxa" w:w="4819"/>
            <w:shd w:fill="DCEA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" w:hAnsi="Noto Sans"/>
                <w:b/>
                <w:sz w:val="19"/>
              </w:rPr>
              <w:t>Исходный статус</w:t>
            </w:r>
          </w:p>
        </w:tc>
        <w:tc>
          <w:tcPr>
            <w:tcW w:type="dxa" w:w="481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" w:hAnsi="Noto Sans"/>
                <w:sz w:val="19"/>
              </w:rPr>
              <w:t>B</w:t>
            </w:r>
          </w:p>
        </w:tc>
      </w:tr>
      <w:tr>
        <w:tc>
          <w:tcPr>
            <w:tcW w:type="dxa" w:w="4819"/>
            <w:shd w:fill="DCEA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" w:hAnsi="Noto Sans"/>
                <w:b/>
                <w:sz w:val="19"/>
              </w:rPr>
              <w:t>Проверка</w:t>
            </w:r>
          </w:p>
        </w:tc>
        <w:tc>
          <w:tcPr>
            <w:tcW w:type="dxa" w:w="481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" w:hAnsi="Noto Sans"/>
                <w:sz w:val="19"/>
              </w:rPr>
              <w:t>4 сентября 2026</w:t>
            </w:r>
          </w:p>
        </w:tc>
      </w:tr>
      <w:tr>
        <w:tc>
          <w:tcPr>
            <w:tcW w:type="dxa" w:w="4819"/>
            <w:shd w:fill="DCEA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" w:hAnsi="Noto Sans"/>
                <w:b/>
                <w:sz w:val="19"/>
              </w:rPr>
              <w:t>Реестр</w:t>
            </w:r>
          </w:p>
        </w:tc>
        <w:tc>
          <w:tcPr>
            <w:tcW w:type="dxa" w:w="481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" w:hAnsi="Noto Sans"/>
                <w:sz w:val="19"/>
              </w:rPr>
              <w:t>81 практически отличимый путь доступа</w:t>
            </w:r>
          </w:p>
        </w:tc>
      </w:tr>
      <w:tr>
        <w:tc>
          <w:tcPr>
            <w:tcW w:type="dxa" w:w="4819"/>
            <w:shd w:fill="DCEAF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" w:hAnsi="Noto Sans"/>
                <w:b/>
                <w:sz w:val="19"/>
              </w:rPr>
              <w:t>Пробелы</w:t>
            </w:r>
          </w:p>
        </w:tc>
        <w:tc>
          <w:tcPr>
            <w:tcW w:type="dxa" w:w="481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" w:hAnsi="Noto Sans"/>
                <w:sz w:val="19"/>
              </w:rPr>
              <w:t>21 целевых follow-up позиций</w:t>
            </w:r>
          </w:p>
        </w:tc>
      </w:tr>
    </w:tbl>
    <w:p/>
    <w:p>
      <w:pPr>
        <w:pStyle w:val="SmallNote"/>
        <w:jc w:val="center"/>
      </w:pPr>
      <w:r>
        <w:t>Исходный Deep Research не редактировался. ID, статус и исторические границы мастер-строки сохранены.</w:t>
      </w: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746"/>
      </w:tblGrid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7F0F3"/>
          </w:tcPr>
          <w:p>
            <w:r>
              <w:rPr>
                <w:rFonts w:ascii="Noto Sans" w:hAnsi="Noto Sans"/>
                <w:b/>
                <w:sz w:val="18"/>
              </w:rPr>
              <w:t>ID и название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" w:hAnsi="Noto Sans"/>
                <w:sz w:val="18"/>
              </w:rPr>
              <w:t>A38 — Армянская и грузинская раннехристианская переводная книжность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7F0F3"/>
          </w:tcPr>
          <w:p>
            <w:r>
              <w:rPr>
                <w:rFonts w:ascii="Noto Sans" w:hAnsi="Noto Sans"/>
                <w:b/>
                <w:sz w:val="18"/>
              </w:rPr>
              <w:t>Исходный статус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" w:hAnsi="Noto Sans"/>
                <w:sz w:val="18"/>
              </w:rPr>
              <w:t>B; исходная уверенность Deep Research — 4/5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7F0F3"/>
          </w:tcPr>
          <w:p>
            <w:r>
              <w:rPr>
                <w:rFonts w:ascii="Noto Sans" w:hAnsi="Noto Sans"/>
                <w:b/>
                <w:sz w:val="18"/>
              </w:rPr>
              <w:t>Исходный документ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" w:hAnsi="Noto Sans"/>
                <w:sz w:val="18"/>
              </w:rPr>
              <w:t>ToS Deep Research_ A38 — Армянская и грузинская раннехристианская переводная книжность(1).docx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7F0F3"/>
          </w:tcPr>
          <w:p>
            <w:r>
              <w:rPr>
                <w:rFonts w:ascii="Noto Sans" w:hAnsi="Noto Sans"/>
                <w:b/>
                <w:sz w:val="18"/>
              </w:rPr>
              <w:t>Дата проверки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" w:hAnsi="Noto Sans"/>
                <w:sz w:val="18"/>
              </w:rPr>
              <w:t>04.09.2026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7F0F3"/>
          </w:tcPr>
          <w:p>
            <w:r>
              <w:rPr>
                <w:rFonts w:ascii="Noto Sans" w:hAnsi="Noto Sans"/>
                <w:b/>
                <w:sz w:val="18"/>
              </w:rPr>
              <w:t>Языки поиска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" w:hAnsi="Noto Sans"/>
                <w:sz w:val="18"/>
              </w:rPr>
              <w:t>русский, английский, армянский и грабар, грузинский и древнегрузинский, французский, немецкий, латинский, древнегреческий и сирийский; использовались варианты транслитерации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7F0F3"/>
          </w:tcPr>
          <w:p>
            <w:r>
              <w:rPr>
                <w:rFonts w:ascii="Noto Sans" w:hAnsi="Noto Sans"/>
                <w:b/>
                <w:sz w:val="18"/>
              </w:rPr>
              <w:t>Ядро корпуса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" w:hAnsi="Noto Sans"/>
                <w:sz w:val="18"/>
              </w:rPr>
              <w:t>изобретение и закрепление армянской и грузинской письменности; ранние библейские и литургические переводы; первые исторические, полемические и агиографические произведения; ключевые надписи и рукописные свидетели; монастырские линии передачи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7F0F3"/>
          </w:tcPr>
          <w:p>
            <w:r>
              <w:rPr>
                <w:rFonts w:ascii="Noto Sans" w:hAnsi="Noto Sans"/>
                <w:b/>
                <w:sz w:val="18"/>
              </w:rPr>
              <w:t>Типы объектов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" w:hAnsi="Noto Sans"/>
                <w:sz w:val="18"/>
              </w:rPr>
              <w:t>work, corpus, physical_witness, translation_or_edition, digital_text_or_facsimile, dataset_or_api, digital_project_or_catalogue и secondary_navigation</w:t>
            </w:r>
          </w:p>
        </w:tc>
      </w:tr>
      <w:tr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7F0F3"/>
          </w:tcPr>
          <w:p>
            <w:r>
              <w:rPr>
                <w:rFonts w:ascii="Noto Sans" w:hAnsi="Noto Sans"/>
                <w:b/>
                <w:sz w:val="18"/>
              </w:rPr>
              <w:t>Классы источников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rFonts w:ascii="Noto Sans" w:hAnsi="Noto Sans"/>
                <w:sz w:val="18"/>
              </w:rPr>
              <w:t>item-level страницы библиотек и музеев; академические цифровые корпуса; национальные и университетские репозитории; контролируемая библиотечная выдача; официальные издатели; Public Domain и открытые Wikimedia-объекты</w:t>
            </w:r>
          </w:p>
        </w:tc>
      </w:tr>
    </w:tbl>
    <w:p>
      <w:pPr>
        <w:spacing w:after="100" w:line="269" w:lineRule="auto"/>
      </w:pPr>
      <w:r>
        <w:t>Исходный DR использовался как карта: из него извлечены центральные тексты, языки, рукописные центры и цифровые проекты, после чего список расширен назад к греческим и сирийским библейским основаниям и вперёд к армянским историческим циклам, афонским грузинским редакциям, поздним свидетелям и современным критическим изданиям.</w:t>
      </w:r>
    </w:p>
    <w:p>
      <w:pPr>
        <w:spacing w:after="100" w:line="269" w:lineRule="auto"/>
      </w:pPr>
      <w:r>
        <w:t>Доступ и доказательство прав проверялись раздельно. Страница могла попасть в реестр как законный путь чтения или покупки даже при неясном праве повторного размещения; сильные теги зеркалирования давались только при явной CC/CC0/Public Domain маркировке либо специальном уведомлении.</w:t>
      </w:r>
    </w:p>
    <w:p>
      <w:pPr>
        <w:spacing w:after="100" w:line="269" w:lineRule="auto"/>
      </w:pPr>
      <w:r>
        <w:t>Wikipedia не использована ни как итоговый источник, ни как источник прав. Wikisource и Wikimedia Commons включены только там, где конкретная страница показывает фактическую роль ресурса и item-level лицензию. Слабые коммерческие зеркала, пользовательские PDF современных изданий и поисковые сниппеты не стали основанием для реестровых записей.</w:t>
      </w:r>
    </w:p>
    <w:p>
      <w:pPr>
        <w:pStyle w:val="Callout"/>
      </w:pPr>
      <w:r>
        <w:rPr>
          <w:b/>
        </w:rPr>
        <w:t xml:space="preserve">Итог исследования: </w:t>
      </w:r>
      <w:r>
        <w:t>81 путей доступа к примерно четырём десяткам текстов, корпусов, редакций и свидетелей, плюс инфраструктурные и навигационные записи. В отдельном листе сохранён 21 пробел.</w:t>
      </w:r>
    </w:p>
    <w:p>
      <w:pPr>
        <w:pStyle w:val="Heading2"/>
      </w:pPr>
      <w:r>
        <w:t>Количественный срез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73F4F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213"/>
            <w:shd w:fill="173F4F"/>
          </w:tcPr>
          <w:p>
            <w:r>
              <w:rPr>
                <w:b/>
                <w:color w:val="FFFFFF"/>
                <w:sz w:val="18"/>
              </w:rPr>
              <w:t>Количество</w:t>
            </w:r>
          </w:p>
        </w:tc>
        <w:tc>
          <w:tcPr>
            <w:tcW w:type="dxa" w:w="3213"/>
            <w:shd w:fill="173F4F"/>
          </w:tcPr>
          <w:p>
            <w:r>
              <w:rPr>
                <w:b/>
                <w:color w:val="FFFFFF"/>
                <w:sz w:val="18"/>
              </w:rPr>
              <w:t>Как читать число</w:t>
            </w:r>
          </w:p>
        </w:tc>
      </w:tr>
      <w:tr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Практически отличимые пути доступа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sz w:val="17"/>
              </w:rPr>
              <w:t>81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одна строка — один отличимый способ доступа к версии, свидетелю или сервису</w:t>
            </w:r>
          </w:p>
        </w:tc>
      </w:tr>
      <w:tr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Бесплатное чтение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sz w:val="17"/>
              </w:rPr>
              <w:t>62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пересекается со скачиванием и регистрацией</w:t>
            </w:r>
          </w:p>
        </w:tc>
      </w:tr>
      <w:tr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Бесплатное скачивание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sz w:val="17"/>
              </w:rPr>
              <w:t>36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не означает право повторного распространения</w:t>
            </w:r>
          </w:p>
        </w:tc>
      </w:tr>
      <w:tr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Library borrow / free registration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sz w:val="17"/>
              </w:rPr>
              <w:t>5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контролируемая выдача или вход в сервис</w:t>
            </w:r>
          </w:p>
        </w:tc>
      </w:tr>
      <w:tr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Purchase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sz w:val="17"/>
              </w:rPr>
              <w:t>15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современные научные издания и переводы</w:t>
            </w:r>
          </w:p>
        </w:tc>
      </w:tr>
      <w:tr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Записи с каким-либо режимом mirroring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sz w:val="17"/>
              </w:rPr>
              <w:t>17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часто ограничены конкретным изображением, транскрипцией, NC или ShareAlike</w:t>
            </w:r>
          </w:p>
        </w:tc>
      </w:tr>
      <w:tr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Чистая или условно чистая основа для нового перевода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sz w:val="17"/>
              </w:rPr>
              <w:t>24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всегда ограничена coverage и указанным source layer</w:t>
            </w:r>
          </w:p>
        </w:tc>
      </w:tr>
      <w:tr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Требуют ручной проверки прав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b/>
                <w:sz w:val="17"/>
              </w:rPr>
              <w:t>41</w:t>
            </w:r>
          </w:p>
        </w:tc>
        <w:tc>
          <w:tcPr>
            <w:tcW w:type="dxa" w:w="3213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положительный тег не действует за пределами описанного scope</w:t>
            </w:r>
          </w:p>
        </w:tc>
      </w:tr>
    </w:tbl>
    <w:p>
      <w:pPr>
        <w:pStyle w:val="Heading1"/>
      </w:pPr>
      <w:r>
        <w:t>2. Охват корпуса</w:t>
      </w:r>
    </w:p>
    <w:p>
      <w:pPr>
        <w:pStyle w:val="Heading2"/>
      </w:pPr>
      <w:r>
        <w:t>Ядро, извлечённое из Deep Research</w:t>
      </w:r>
    </w:p>
    <w:p>
      <w:pPr>
        <w:spacing w:after="100" w:line="269" w:lineRule="auto"/>
      </w:pPr>
      <w:r>
        <w:t>Армянская часть ядра построена вокруг Кориуна и «Жития Маштоца», раннего армянского перевода Библии, «Истории Армении» Агафангела и «Опровержения ересей» Езника. Грузинская часть — вокруг древнегрузинского библейского текста, Адишского Четвероевангелия, надписей Болниси-Сиони, «Мученичества святой Шушаник», «Древнейшего Иадгари» и иерусалимско-синайского рукописного слоя.</w:t>
      </w:r>
    </w:p>
    <w:p>
      <w:pPr>
        <w:spacing w:after="100" w:line="269" w:lineRule="auto"/>
      </w:pPr>
      <w:r>
        <w:t>Для каждого центрального объекта сохранён хотя бы один путь: полный текст, скачиваемое старое издание, факсимиле, библиотечная выдача, современное научное издание или честная запись об отсутствии полного открытого входа.</w:t>
      </w:r>
    </w:p>
    <w:p>
      <w:pPr>
        <w:pStyle w:val="Heading2"/>
      </w:pPr>
      <w:r>
        <w:t>Армянский хронологический ореол</w:t>
      </w:r>
    </w:p>
    <w:p>
      <w:pPr>
        <w:spacing w:after="100" w:line="269" w:lineRule="auto"/>
      </w:pPr>
      <w:r>
        <w:t>Внутри той же ранней книжной экосистемы добавлены Пʿавстос Бузанд, Лазарь Парпеци, Егише, Мовсес Хоренаци, Себеос и «Книга писем». Это не произвольная история армянской литературы: произведения образуют прямую историко-церковную линию, используют общий переводной словарь и фиксируют институционализацию христианской памяти.</w:t>
      </w:r>
    </w:p>
    <w:p>
      <w:pPr>
        <w:spacing w:after="100" w:line="269" w:lineRule="auto"/>
      </w:pPr>
      <w:r>
        <w:t>Отдельно выделена функция сохранения: армянские версии «Хроники» и «Церковной истории» Евсевия и «Доказательства апостольской проповеди» Иринея демонстрируют, что переводная культура была не только рецепцией, но и архивом утраченных или неполно сохранившихся греческих текстов.</w:t>
      </w:r>
    </w:p>
    <w:p>
      <w:pPr>
        <w:spacing w:after="100" w:line="269" w:lineRule="auto"/>
      </w:pPr>
      <w:r>
        <w:t>Давид Непобедимый помещён как ограниченное продолжение: его логико-философские тексты показывают переход от первичной христианской переводной инфраструктуры к техническому языку эллинизирующей школы. Это мост к следующему ToS-узлу, а не расширение A38 на всю армянскую философию.</w:t>
      </w:r>
    </w:p>
    <w:p>
      <w:pPr>
        <w:pStyle w:val="Heading2"/>
      </w:pPr>
      <w:r>
        <w:t>Грузинский хронологический ореол</w:t>
      </w:r>
    </w:p>
    <w:p>
      <w:pPr>
        <w:spacing w:after="100" w:line="269" w:lineRule="auto"/>
      </w:pPr>
      <w:r>
        <w:t>К древнегрузинскому библейскому корпусу добавлены сопоставительная электронная синопса TITUS, доафонская редакция и редакция Георгия Афонского. Последняя лежит за пределами ядра строки, но конкретно показывает, как ранний переводный массив был пересмотрен и канонизирован в афонской среде.</w:t>
      </w:r>
    </w:p>
    <w:p>
      <w:pPr>
        <w:spacing w:after="100" w:line="269" w:lineRule="auto"/>
      </w:pPr>
      <w:r>
        <w:t>К ранней агиографии добавлены «Мученичество Евстафия Мцхетского», «Мученичество Або Тбилисского», «Обращение Картли» и Житие Нино. Шатбердская редакция «Обращения Картли» включена как поздний свидетель, через который ранняя память была сохранена.</w:t>
      </w:r>
    </w:p>
    <w:p>
      <w:pPr>
        <w:spacing w:after="100" w:line="269" w:lineRule="auto"/>
      </w:pPr>
      <w:r>
        <w:t>Поздние рукописи Walters и Bodleian включены как transmission_or_preservation и continuation: они не меняют датировку мастер-строки, а показывают материальную долговечность библейского и монастырского канона.</w:t>
      </w:r>
    </w:p>
    <w:p>
      <w:pPr>
        <w:pStyle w:val="Heading2"/>
      </w:pPr>
      <w:r>
        <w:t>Поиск назад во времени</w:t>
      </w:r>
    </w:p>
    <w:p>
      <w:pPr>
        <w:spacing w:after="100" w:line="269" w:lineRule="auto"/>
      </w:pPr>
      <w:r>
        <w:t>В качестве конкретных входящих источников включены публичнодоменные греческое издание Септуагинты Генри Суита и сирийские издания Пешитты 1905 и 1913 годов. Эти записи не утверждают механическую зависимость каждого армянского или грузинского стиха от одного печатного текста; они дают законные сравнительные основания для проверки греческого и сирийского слоёв.</w:t>
      </w:r>
    </w:p>
    <w:p>
      <w:pPr>
        <w:pStyle w:val="Heading2"/>
      </w:pPr>
      <w:r>
        <w:t>Поиск вперёд во времени</w:t>
      </w:r>
    </w:p>
    <w:p>
      <w:pPr>
        <w:spacing w:after="100" w:line="269" w:lineRule="auto"/>
      </w:pPr>
      <w:r>
        <w:t>Продолжения представлены Себеосом, Давидом Непобедимым, афонской редакцией Нового Завета, поздними рукописными свидетелями, издательскими критическими изданиями и рецепционными сборниками. В gaps вынесены Balavariani, более широкий корпус Евфимия и Георгия Афонских, «Книга канонов», ранний армянский гимнарий и другие объекты, для которых связь установлена, но доступ не завершён.</w:t>
      </w:r>
    </w:p>
    <w:p>
      <w:pPr>
        <w:pStyle w:val="Heading2"/>
      </w:pPr>
      <w:r>
        <w:t>Распределение записей по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73F4F"/>
          </w:tcPr>
          <w:p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4819"/>
            <w:shd w:fill="173F4F"/>
          </w:tcPr>
          <w:p>
            <w:r>
              <w:rPr>
                <w:b/>
                <w:color w:val="FFFFFF"/>
                <w:sz w:val="18"/>
              </w:rPr>
              <w:t>Число путей доступа</w:t>
            </w:r>
          </w:p>
        </w:tc>
      </w:tr>
      <w:tr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core</w:t>
            </w:r>
          </w:p>
        </w:tc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sz w:val="17"/>
              </w:rPr>
              <w:t>27</w:t>
            </w:r>
          </w:p>
        </w:tc>
      </w:tr>
      <w:tr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same_corpus_or_tradition</w:t>
            </w:r>
          </w:p>
        </w:tc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sz w:val="17"/>
              </w:rPr>
              <w:t>17</w:t>
            </w:r>
          </w:p>
        </w:tc>
      </w:tr>
      <w:tr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antecedent</w:t>
            </w:r>
          </w:p>
        </w:tc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sz w:val="17"/>
              </w:rPr>
              <w:t>3</w:t>
            </w:r>
          </w:p>
        </w:tc>
      </w:tr>
      <w:tr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continuation</w:t>
            </w:r>
          </w:p>
        </w:tc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sz w:val="17"/>
              </w:rPr>
              <w:t>8</w:t>
            </w:r>
          </w:p>
        </w:tc>
      </w:tr>
      <w:tr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commentary_or_reception</w:t>
            </w:r>
          </w:p>
        </w:tc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sz w:val="17"/>
              </w:rPr>
              <w:t>5</w:t>
            </w:r>
          </w:p>
        </w:tc>
      </w:tr>
      <w:tr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transmission_or_preservation</w:t>
            </w:r>
          </w:p>
        </w:tc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sz w:val="17"/>
              </w:rPr>
              <w:t>9</w:t>
            </w:r>
          </w:p>
        </w:tc>
      </w:tr>
      <w:tr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infrastructure</w:t>
            </w:r>
          </w:p>
        </w:tc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sz w:val="17"/>
              </w:rPr>
              <w:t>9</w:t>
            </w:r>
          </w:p>
        </w:tc>
      </w:tr>
      <w:tr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r>
              <w:rPr>
                <w:rFonts w:ascii="Noto Sans" w:hAnsi="Noto Sans"/>
                <w:sz w:val="17"/>
              </w:rPr>
              <w:t>secondary_navigation</w:t>
            </w:r>
          </w:p>
        </w:tc>
        <w:tc>
          <w:tcPr>
            <w:tcW w:type="dxa" w:w="4819"/>
            <w:tcMar>
              <w:top w:w="65" w:type="dxa"/>
              <w:start w:w="95" w:type="dxa"/>
              <w:bottom w:w="65" w:type="dxa"/>
              <w:end w:w="95" w:type="dxa"/>
            </w:tcMar>
          </w:tcPr>
          <w:p>
            <w:pPr>
              <w:jc w:val="center"/>
            </w:pPr>
            <w:r>
              <w:rPr>
                <w:rFonts w:ascii="Noto Sans" w:hAnsi="Noto Sans"/>
                <w:sz w:val="17"/>
              </w:rPr>
              <w:t>3</w:t>
            </w:r>
          </w:p>
        </w:tc>
      </w:tr>
    </w:tbl>
    <w:p>
      <w:pPr>
        <w:pStyle w:val="Heading1"/>
      </w:pPr>
      <w:r>
        <w:t>3. Лучшие пути доступа</w:t>
      </w:r>
    </w:p>
    <w:p>
      <w:pPr>
        <w:spacing w:after="100" w:line="269" w:lineRule="auto"/>
      </w:pPr>
      <w:r>
        <w:t>Ниже названы не все 81 записи, а лучшие маршруты по центральным объектам. Полные поля coverage, rights_scope, tos_use и rights_evidence_url находятся в XLSX.</w:t>
      </w:r>
    </w:p>
    <w:p>
      <w:pPr>
        <w:pStyle w:val="Heading2"/>
      </w:pPr>
      <w:r>
        <w:t>Кориун и происхождение армянской письменной школы</w:t>
      </w:r>
    </w:p>
    <w:p>
      <w:pPr>
        <w:pStyle w:val="ListBullet"/>
        <w:spacing w:after="60" w:line="259" w:lineRule="auto"/>
      </w:pPr>
      <w:hyperlink r:id="rId11">
        <w:r>
          <w:rPr>
            <w:color w:val="1F6B7A"/>
            <w:u w:val="single"/>
            <w:b/>
            <w:rFonts w:ascii="Noto Sans" w:hAnsi="Noto Sans" w:eastAsia="Noto Sans" w:cs="Noto Sans"/>
          </w:rPr>
          <w:t>AUA: свободное английское чтение «Жития Маштоца»</w:t>
        </w:r>
      </w:hyperlink>
      <w:r>
        <w:t xml:space="preserve"> — самый быстрый полный маршрут для чтения; переводчик и лицензия не установлены, поэтому link-only.</w:t>
      </w:r>
    </w:p>
    <w:p>
      <w:pPr>
        <w:pStyle w:val="ListBullet"/>
        <w:spacing w:after="60" w:line="259" w:lineRule="auto"/>
      </w:pPr>
      <w:hyperlink r:id="rId12">
        <w:r>
          <w:rPr>
            <w:color w:val="1F6B7A"/>
            <w:u w:val="single"/>
            <w:b/>
            <w:rFonts w:ascii="Noto Sans" w:hAnsi="Noto Sans" w:eastAsia="Noto Sans" w:cs="Noto Sans"/>
          </w:rPr>
          <w:t>HathiTrust: армянское издание 1900 года</w:t>
        </w:r>
      </w:hyperlink>
      <w:r>
        <w:t xml:space="preserve"> — лучший публичнодоменный печатный слой на грабаре для OCR, сопоставления и собственного перевода.</w:t>
      </w:r>
    </w:p>
    <w:p>
      <w:pPr>
        <w:pStyle w:val="ListBullet"/>
        <w:spacing w:after="60" w:line="259" w:lineRule="auto"/>
      </w:pPr>
      <w:hyperlink r:id="rId13">
        <w:r>
          <w:rPr>
            <w:color w:val="1F6B7A"/>
            <w:u w:val="single"/>
            <w:b/>
            <w:rFonts w:ascii="Noto Sans" w:hAnsi="Noto Sans" w:eastAsia="Noto Sans" w:cs="Noto Sans"/>
          </w:rPr>
          <w:t>Oxford University Press: Abraham Terian</w:t>
        </w:r>
      </w:hyperlink>
      <w:r>
        <w:t xml:space="preserve"> — лучший современный научный вариант; покупка или институциональная библиотека.</w:t>
      </w:r>
    </w:p>
    <w:p>
      <w:pPr>
        <w:pStyle w:val="Heading2"/>
      </w:pPr>
      <w:r>
        <w:t>Армянская Библия</w:t>
      </w:r>
    </w:p>
    <w:p>
      <w:pPr>
        <w:pStyle w:val="ListBullet"/>
        <w:spacing w:after="60" w:line="259" w:lineRule="auto"/>
      </w:pPr>
      <w:hyperlink r:id="rId14">
        <w:r>
          <w:rPr>
            <w:color w:val="1F6B7A"/>
            <w:u w:val="single"/>
            <w:b/>
            <w:rFonts w:ascii="Noto Sans" w:hAnsi="Noto Sans" w:eastAsia="Noto Sans" w:cs="Noto Sans"/>
          </w:rPr>
          <w:t>Zohrab Old Testament 1805</w:t>
        </w:r>
      </w:hyperlink>
      <w:r>
        <w:t xml:space="preserve"> — лучшее свободно скачиваемое историческое основание для ветхозаветного грабара.</w:t>
      </w:r>
    </w:p>
    <w:p>
      <w:pPr>
        <w:pStyle w:val="ListBullet"/>
        <w:spacing w:after="60" w:line="259" w:lineRule="auto"/>
      </w:pPr>
      <w:hyperlink r:id="rId15">
        <w:r>
          <w:rPr>
            <w:color w:val="1F6B7A"/>
            <w:u w:val="single"/>
            <w:b/>
            <w:rFonts w:ascii="Noto Sans" w:hAnsi="Noto Sans" w:eastAsia="Noto Sans" w:cs="Noto Sans"/>
          </w:rPr>
          <w:t>Zohrab New Testament 1805</w:t>
        </w:r>
      </w:hyperlink>
      <w:r>
        <w:t xml:space="preserve"> — полный Новый Завет; пригоден как чистая основа для собственного перевода после текстологической проверки.</w:t>
      </w:r>
    </w:p>
    <w:p>
      <w:pPr>
        <w:pStyle w:val="ListBullet"/>
        <w:spacing w:after="60" w:line="259" w:lineRule="auto"/>
      </w:pPr>
      <w:hyperlink r:id="rId16">
        <w:r>
          <w:rPr>
            <w:color w:val="1F6B7A"/>
            <w:u w:val="single"/>
            <w:b/>
            <w:rFonts w:ascii="Noto Sans" w:hAnsi="Noto Sans" w:eastAsia="Noto Sans" w:cs="Noto Sans"/>
          </w:rPr>
          <w:t>TITUS Armenian New Testament</w:t>
        </w:r>
      </w:hyperlink>
      <w:r>
        <w:t xml:space="preserve"> — лучший найденный машиночитаемый интерфейс, но электронная транскрипция не лицензирована для републикации.</w:t>
      </w:r>
    </w:p>
    <w:p>
      <w:pPr>
        <w:pStyle w:val="ListBullet"/>
        <w:spacing w:after="60" w:line="259" w:lineRule="auto"/>
      </w:pPr>
      <w:hyperlink r:id="rId17">
        <w:r>
          <w:rPr>
            <w:color w:val="1F6B7A"/>
            <w:u w:val="single"/>
            <w:b/>
            <w:rFonts w:ascii="Noto Sans" w:hAnsi="Noto Sans" w:eastAsia="Noto Sans" w:cs="Noto Sans"/>
          </w:rPr>
          <w:t>YouVersion Classical Armenian</w:t>
        </w:r>
      </w:hyperlink>
      <w:r>
        <w:t xml:space="preserve"> — удобное бесплатное чтение и офлайн-доступ; не источник для зеркалирования.</w:t>
      </w:r>
    </w:p>
    <w:p>
      <w:pPr>
        <w:pStyle w:val="Heading2"/>
      </w:pPr>
      <w:r>
        <w:t>Агафангел и Езник</w:t>
      </w:r>
    </w:p>
    <w:p>
      <w:pPr>
        <w:pStyle w:val="ListBullet"/>
        <w:spacing w:after="60" w:line="259" w:lineRule="auto"/>
      </w:pPr>
      <w:hyperlink r:id="rId18">
        <w:r>
          <w:rPr>
            <w:color w:val="1F6B7A"/>
            <w:u w:val="single"/>
            <w:b/>
            <w:rFonts w:ascii="Noto Sans" w:hAnsi="Noto Sans" w:eastAsia="Noto Sans" w:cs="Noto Sans"/>
          </w:rPr>
          <w:t>AUA: армянский текст Агафангела</w:t>
        </w:r>
      </w:hyperlink>
      <w:r>
        <w:t xml:space="preserve"> — лучший полнотекстовый поисковый вход; права на транскрипцию неясны.</w:t>
      </w:r>
    </w:p>
    <w:p>
      <w:pPr>
        <w:pStyle w:val="ListBullet"/>
        <w:spacing w:after="60" w:line="259" w:lineRule="auto"/>
      </w:pPr>
      <w:hyperlink r:id="rId19">
        <w:r>
          <w:rPr>
            <w:color w:val="1F6B7A"/>
            <w:u w:val="single"/>
            <w:b/>
            <w:rFonts w:ascii="Noto Sans" w:hAnsi="Noto Sans" w:eastAsia="Noto Sans" w:cs="Noto Sans"/>
          </w:rPr>
          <w:t>Венецианское издание Агафангела 1835</w:t>
        </w:r>
      </w:hyperlink>
      <w:r>
        <w:t xml:space="preserve"> — лучший чистый старопечатный армянский слой и основа собственного перевода.</w:t>
      </w:r>
    </w:p>
    <w:p>
      <w:pPr>
        <w:pStyle w:val="ListBullet"/>
        <w:spacing w:after="60" w:line="259" w:lineRule="auto"/>
      </w:pPr>
      <w:hyperlink r:id="rId20">
        <w:r>
          <w:rPr>
            <w:color w:val="1F6B7A"/>
            <w:u w:val="single"/>
            <w:b/>
            <w:rFonts w:ascii="Noto Sans" w:hAnsi="Noto Sans" w:eastAsia="Noto Sans" w:cs="Noto Sans"/>
          </w:rPr>
          <w:t>Robert W. Thomson через controlled lending</w:t>
        </w:r>
      </w:hyperlink>
      <w:r>
        <w:t xml:space="preserve"> — лучший современный английский научный перевод в режиме borrow.</w:t>
      </w:r>
    </w:p>
    <w:p>
      <w:pPr>
        <w:pStyle w:val="ListBullet"/>
        <w:spacing w:after="60" w:line="259" w:lineRule="auto"/>
      </w:pPr>
      <w:hyperlink r:id="rId21">
        <w:r>
          <w:rPr>
            <w:color w:val="1F6B7A"/>
            <w:u w:val="single"/>
            <w:b/>
            <w:rFonts w:ascii="Noto Sans" w:hAnsi="Noto Sans" w:eastAsia="Noto Sans" w:cs="Noto Sans"/>
          </w:rPr>
          <w:t>Езник: AUA Armenian text</w:t>
        </w:r>
      </w:hyperlink>
      <w:r>
        <w:t xml:space="preserve"> — лучший быстрый оригинальный текст, но электронная версия требует rights review.</w:t>
      </w:r>
    </w:p>
    <w:p>
      <w:pPr>
        <w:pStyle w:val="ListBullet"/>
        <w:spacing w:after="60" w:line="259" w:lineRule="auto"/>
      </w:pPr>
      <w:hyperlink r:id="rId22">
        <w:r>
          <w:rPr>
            <w:color w:val="1F6B7A"/>
            <w:u w:val="single"/>
            <w:b/>
            <w:rFonts w:ascii="Noto Sans" w:hAnsi="Noto Sans" w:eastAsia="Noto Sans" w:cs="Noto Sans"/>
          </w:rPr>
          <w:t>Езник: французское издание 1853 на Commons</w:t>
        </w:r>
      </w:hyperlink>
      <w:r>
        <w:t xml:space="preserve"> — самый свободный факсимильный слой — item-level Public Domain.</w:t>
      </w:r>
    </w:p>
    <w:p>
      <w:pPr>
        <w:pStyle w:val="ListBullet"/>
        <w:spacing w:after="60" w:line="259" w:lineRule="auto"/>
      </w:pPr>
      <w:hyperlink r:id="rId23">
        <w:r>
          <w:rPr>
            <w:color w:val="1F6B7A"/>
            <w:u w:val="single"/>
            <w:b/>
            <w:rFonts w:ascii="Noto Sans" w:hAnsi="Noto Sans" w:eastAsia="Noto Sans" w:cs="Noto Sans"/>
          </w:rPr>
          <w:t>Езник: Wikisource-транскрипция 1853</w:t>
        </w:r>
      </w:hyperlink>
      <w:r>
        <w:t xml:space="preserve"> — лучший открытый машиночитаемый старый перевод; CC BY-SA для транскрипционного слоя.</w:t>
      </w:r>
    </w:p>
    <w:p>
      <w:pPr>
        <w:pStyle w:val="ListBullet"/>
        <w:spacing w:after="60" w:line="259" w:lineRule="auto"/>
      </w:pPr>
      <w:hyperlink r:id="rId24">
        <w:r>
          <w:rPr>
            <w:color w:val="1F6B7A"/>
            <w:u w:val="single"/>
            <w:b/>
            <w:rFonts w:ascii="Noto Sans" w:hAnsi="Noto Sans" w:eastAsia="Noto Sans" w:cs="Noto Sans"/>
          </w:rPr>
          <w:t>Samuelian English translation</w:t>
        </w:r>
      </w:hyperlink>
      <w:r>
        <w:t xml:space="preserve"> — полное бесплатное чтение современного английского перевода, но copyright сохраняется.</w:t>
      </w:r>
    </w:p>
    <w:p>
      <w:pPr>
        <w:pStyle w:val="Heading2"/>
      </w:pPr>
      <w:r>
        <w:t>Армянский исторический цикл</w:t>
      </w:r>
    </w:p>
    <w:p>
      <w:pPr>
        <w:spacing w:after="100" w:line="269" w:lineRule="auto"/>
      </w:pPr>
      <w:r>
        <w:t>Для Пʿавстоса и Лазаря лучший свободный английский маршрут — переводы Роберта Бедросяна на Attalus; лучший современный научный — Garsoïan и Thomson через Harvard/Google Books/библиотеки. Для Егише старый английский перевод 1830 года доступен полностью, а Thomson 1982 следует брать через библиотеку. Для Мовсеса Хоренаци самыми сильными свободными основаниями являются армянское издание 1913, армяно-латинское 1736 и немецкое 1869 с Public Domain Mark.</w:t>
      </w:r>
    </w:p>
    <w:p>
      <w:pPr>
        <w:pStyle w:val="ListBullet"/>
        <w:spacing w:after="60" w:line="259" w:lineRule="auto"/>
      </w:pPr>
      <w:hyperlink r:id="rId25">
        <w:r>
          <w:rPr>
            <w:color w:val="1F6B7A"/>
            <w:u w:val="single"/>
            <w:b/>
            <w:rFonts w:ascii="Noto Sans" w:hAnsi="Noto Sans" w:eastAsia="Noto Sans" w:cs="Noto Sans"/>
          </w:rPr>
          <w:t>Pʿawstos — Attalus</w:t>
        </w:r>
      </w:hyperlink>
      <w:r>
        <w:t xml:space="preserve"> — полный английский текст; проверять точное уведомление о свободном распространении.</w:t>
      </w:r>
    </w:p>
    <w:p>
      <w:pPr>
        <w:pStyle w:val="ListBullet"/>
        <w:spacing w:after="60" w:line="259" w:lineRule="auto"/>
      </w:pPr>
      <w:hyperlink r:id="rId26">
        <w:r>
          <w:rPr>
            <w:color w:val="1F6B7A"/>
            <w:u w:val="single"/>
            <w:b/>
            <w:rFonts w:ascii="Noto Sans" w:hAnsi="Noto Sans" w:eastAsia="Noto Sans" w:cs="Noto Sans"/>
          </w:rPr>
          <w:t>Łazar Pʿarpecʿi — Attalus</w:t>
        </w:r>
      </w:hyperlink>
      <w:r>
        <w:t xml:space="preserve"> — полный английский текст, но без стандартной CC-лицензии.</w:t>
      </w:r>
    </w:p>
    <w:p>
      <w:pPr>
        <w:pStyle w:val="ListBullet"/>
        <w:spacing w:after="60" w:line="259" w:lineRule="auto"/>
      </w:pPr>
      <w:hyperlink r:id="rId27">
        <w:r>
          <w:rPr>
            <w:color w:val="1F6B7A"/>
            <w:u w:val="single"/>
            <w:b/>
            <w:rFonts w:ascii="Noto Sans" w:hAnsi="Noto Sans" w:eastAsia="Noto Sans" w:cs="Noto Sans"/>
          </w:rPr>
          <w:t>Ełišē 1830</w:t>
        </w:r>
      </w:hyperlink>
      <w:r>
        <w:t xml:space="preserve"> — лучший публичнодоменный английский перевод.</w:t>
      </w:r>
    </w:p>
    <w:p>
      <w:pPr>
        <w:pStyle w:val="ListBullet"/>
        <w:spacing w:after="60" w:line="259" w:lineRule="auto"/>
      </w:pPr>
      <w:hyperlink r:id="rId28">
        <w:r>
          <w:rPr>
            <w:color w:val="1F6B7A"/>
            <w:u w:val="single"/>
            <w:b/>
            <w:rFonts w:ascii="Noto Sans" w:hAnsi="Noto Sans" w:eastAsia="Noto Sans" w:cs="Noto Sans"/>
          </w:rPr>
          <w:t>Movsēs Xorenacʿi 1913 Armenian</w:t>
        </w:r>
      </w:hyperlink>
      <w:r>
        <w:t xml:space="preserve"> — лучший свободный армянский источник для OCR и собственного перевода.</w:t>
      </w:r>
    </w:p>
    <w:p>
      <w:pPr>
        <w:pStyle w:val="ListBullet"/>
        <w:spacing w:after="60" w:line="259" w:lineRule="auto"/>
      </w:pPr>
      <w:hyperlink r:id="rId29">
        <w:r>
          <w:rPr>
            <w:color w:val="1F6B7A"/>
            <w:u w:val="single"/>
            <w:b/>
            <w:rFonts w:ascii="Noto Sans" w:hAnsi="Noto Sans" w:eastAsia="Noto Sans" w:cs="Noto Sans"/>
          </w:rPr>
          <w:t>Sebeos — Liverpool University Press</w:t>
        </w:r>
      </w:hyperlink>
      <w:r>
        <w:t xml:space="preserve"> — лучший современный английский научный вариант; purchase/institutional access.</w:t>
      </w:r>
    </w:p>
    <w:p>
      <w:pPr>
        <w:pStyle w:val="Heading2"/>
      </w:pPr>
      <w:r>
        <w:t>Литургия и тексты сохранения</w:t>
      </w:r>
    </w:p>
    <w:p>
      <w:pPr>
        <w:pStyle w:val="ListBullet"/>
        <w:spacing w:after="60" w:line="259" w:lineRule="auto"/>
      </w:pPr>
      <w:hyperlink r:id="rId30">
        <w:r>
          <w:rPr>
            <w:color w:val="1F6B7A"/>
            <w:u w:val="single"/>
            <w:b/>
            <w:rFonts w:ascii="Noto Sans" w:hAnsi="Noto Sans" w:eastAsia="Noto Sans" w:cs="Noto Sans"/>
          </w:rPr>
          <w:t>Armenian Jerusalem Lectionary — controlled lending</w:t>
        </w:r>
      </w:hyperlink>
      <w:r>
        <w:t xml:space="preserve"> — полная критическая работа Renoux, но защищённая и неоткрытая для зеркалирования.</w:t>
      </w:r>
    </w:p>
    <w:p>
      <w:pPr>
        <w:pStyle w:val="ListBullet"/>
        <w:spacing w:after="60" w:line="259" w:lineRule="auto"/>
      </w:pPr>
      <w:hyperlink r:id="rId31">
        <w:r>
          <w:rPr>
            <w:color w:val="1F6B7A"/>
            <w:u w:val="single"/>
            <w:b/>
            <w:rFonts w:ascii="Noto Sans" w:hAnsi="Noto Sans" w:eastAsia="Noto Sans" w:cs="Noto Sans"/>
          </w:rPr>
          <w:t>Oldest Iadgari — Iverieli</w:t>
        </w:r>
      </w:hyperlink>
      <w:r>
        <w:t xml:space="preserve"> — лучший институциональный PDF; скачивание разрешено интерфейсом, повторное размещение не доказано.</w:t>
      </w:r>
    </w:p>
    <w:p>
      <w:pPr>
        <w:pStyle w:val="ListBullet"/>
        <w:spacing w:after="60" w:line="259" w:lineRule="auto"/>
      </w:pPr>
      <w:hyperlink r:id="rId32">
        <w:r>
          <w:rPr>
            <w:color w:val="1F6B7A"/>
            <w:u w:val="single"/>
            <w:b/>
            <w:rFonts w:ascii="Noto Sans" w:hAnsi="Noto Sans" w:eastAsia="Noto Sans" w:cs="Noto Sans"/>
          </w:rPr>
          <w:t>Old Georgian Jerusalem Lectionary — Open Library</w:t>
        </w:r>
      </w:hyperlink>
      <w:r>
        <w:t xml:space="preserve"> — лучший consolidated scholarly borrow route.</w:t>
      </w:r>
    </w:p>
    <w:p>
      <w:pPr>
        <w:pStyle w:val="ListBullet"/>
        <w:spacing w:after="60" w:line="259" w:lineRule="auto"/>
      </w:pPr>
      <w:hyperlink r:id="rId33">
        <w:r>
          <w:rPr>
            <w:color w:val="1F6B7A"/>
            <w:u w:val="single"/>
            <w:b/>
            <w:rFonts w:ascii="Noto Sans" w:hAnsi="Noto Sans" w:eastAsia="Noto Sans" w:cs="Noto Sans"/>
          </w:rPr>
          <w:t>Eusebius Chronicle, Armenian–Latin, vol. 1</w:t>
        </w:r>
      </w:hyperlink>
      <w:r>
        <w:t xml:space="preserve"> — публичнодоменная основа армянского текста, сохраняющего древний материал.</w:t>
      </w:r>
    </w:p>
    <w:p>
      <w:pPr>
        <w:pStyle w:val="ListBullet"/>
        <w:spacing w:after="60" w:line="259" w:lineRule="auto"/>
      </w:pPr>
      <w:hyperlink r:id="rId34">
        <w:r>
          <w:rPr>
            <w:color w:val="1F6B7A"/>
            <w:u w:val="single"/>
            <w:b/>
            <w:rFonts w:ascii="Noto Sans" w:hAnsi="Noto Sans" w:eastAsia="Noto Sans" w:cs="Noto Sans"/>
          </w:rPr>
          <w:t>Irenaeus Demonstration — 1920 English</w:t>
        </w:r>
      </w:hyperlink>
      <w:r>
        <w:t xml:space="preserve"> — полный public-domain-era English reading route; Armenian original layer still a gap.</w:t>
      </w:r>
    </w:p>
    <w:p>
      <w:pPr>
        <w:pStyle w:val="Heading2"/>
      </w:pPr>
      <w:r>
        <w:t>Древнегрузинская Библия, Адиши и Болниси</w:t>
      </w:r>
    </w:p>
    <w:p>
      <w:pPr>
        <w:pStyle w:val="ListBullet"/>
        <w:spacing w:after="60" w:line="259" w:lineRule="auto"/>
      </w:pPr>
      <w:hyperlink r:id="rId35">
        <w:r>
          <w:rPr>
            <w:color w:val="1F6B7A"/>
            <w:u w:val="single"/>
            <w:b/>
            <w:rFonts w:ascii="Noto Sans" w:hAnsi="Noto Sans" w:eastAsia="Noto Sans" w:cs="Noto Sans"/>
          </w:rPr>
          <w:t>TITUS complete Old Georgian Gospel synopsis</w:t>
        </w:r>
      </w:hyperlink>
      <w:r>
        <w:t xml:space="preserve"> — лучший машиночитаемый сопоставительный корпус; link-only for republication.</w:t>
      </w:r>
    </w:p>
    <w:p>
      <w:pPr>
        <w:pStyle w:val="ListBullet"/>
        <w:spacing w:after="60" w:line="259" w:lineRule="auto"/>
      </w:pPr>
      <w:hyperlink r:id="rId36">
        <w:r>
          <w:rPr>
            <w:color w:val="1F6B7A"/>
            <w:u w:val="single"/>
            <w:b/>
            <w:rFonts w:ascii="Noto Sans" w:hAnsi="Noto Sans" w:eastAsia="Noto Sans" w:cs="Noto Sans"/>
          </w:rPr>
          <w:t>Adishi Gospels 1916 facsimile on Commons</w:t>
        </w:r>
      </w:hyperlink>
      <w:r>
        <w:t xml:space="preserve"> — лучший открыто повторно используемый визуальный слой; проверить полноту набора страниц.</w:t>
      </w:r>
    </w:p>
    <w:p>
      <w:pPr>
        <w:pStyle w:val="ListBullet"/>
        <w:spacing w:after="60" w:line="259" w:lineRule="auto"/>
      </w:pPr>
      <w:hyperlink r:id="rId37">
        <w:r>
          <w:rPr>
            <w:color w:val="1F6B7A"/>
            <w:u w:val="single"/>
            <w:b/>
            <w:rFonts w:ascii="Noto Sans" w:hAnsi="Noto Sans" w:eastAsia="Noto Sans" w:cs="Noto Sans"/>
          </w:rPr>
          <w:t>Bolnisi inscription — CC BY-SA photograph</w:t>
        </w:r>
      </w:hyperlink>
      <w:r>
        <w:t xml:space="preserve"> — легальный путь для публикации изображения с атрибуцией и ShareAlike.</w:t>
      </w:r>
    </w:p>
    <w:p>
      <w:pPr>
        <w:pStyle w:val="ListBullet"/>
        <w:spacing w:after="60" w:line="259" w:lineRule="auto"/>
      </w:pPr>
      <w:hyperlink r:id="rId38">
        <w:r>
          <w:rPr>
            <w:color w:val="1F6B7A"/>
            <w:u w:val="single"/>
            <w:b/>
            <w:rFonts w:ascii="Noto Sans" w:hAnsi="Noto Sans" w:eastAsia="Noto Sans" w:cs="Noto Sans"/>
          </w:rPr>
          <w:t>Bolnisi inscription — PD-Art image</w:t>
        </w:r>
      </w:hyperlink>
      <w:r>
        <w:t xml:space="preserve"> — самый свободный найденный визуальный вариант.</w:t>
      </w:r>
    </w:p>
    <w:p>
      <w:pPr>
        <w:pStyle w:val="Heading2"/>
      </w:pPr>
      <w:r>
        <w:t>Грузинская агиография и память о христианизации</w:t>
      </w:r>
    </w:p>
    <w:p>
      <w:pPr>
        <w:pStyle w:val="ListBullet"/>
        <w:spacing w:after="60" w:line="259" w:lineRule="auto"/>
      </w:pPr>
      <w:hyperlink r:id="rId39">
        <w:r>
          <w:rPr>
            <w:color w:val="1F6B7A"/>
            <w:u w:val="single"/>
            <w:b/>
            <w:rFonts w:ascii="Noto Sans" w:hAnsi="Noto Sans" w:eastAsia="Noto Sans" w:cs="Noto Sans"/>
          </w:rPr>
          <w:t>Shushanik on Georgian Wikisource</w:t>
        </w:r>
      </w:hyperlink>
      <w:r>
        <w:t xml:space="preserve"> — лучший открытый машиночитаемый оригинальный текст; CC BY-SA для транскрипции.</w:t>
      </w:r>
    </w:p>
    <w:p>
      <w:pPr>
        <w:pStyle w:val="ListBullet"/>
        <w:spacing w:after="60" w:line="259" w:lineRule="auto"/>
      </w:pPr>
      <w:hyperlink r:id="rId40">
        <w:r>
          <w:rPr>
            <w:color w:val="1F6B7A"/>
            <w:u w:val="single"/>
            <w:b/>
            <w:rFonts w:ascii="Noto Sans" w:hAnsi="Noto Sans" w:eastAsia="Noto Sans" w:cs="Noto Sans"/>
          </w:rPr>
          <w:t>Shushanik 1983 on Iverieli</w:t>
        </w:r>
      </w:hyperlink>
      <w:r>
        <w:t xml:space="preserve"> — лучший скачиваемый институциональный scholarly package; reuse unclear.</w:t>
      </w:r>
    </w:p>
    <w:p>
      <w:pPr>
        <w:pStyle w:val="ListBullet"/>
        <w:spacing w:after="60" w:line="259" w:lineRule="auto"/>
      </w:pPr>
      <w:hyperlink r:id="rId41">
        <w:r>
          <w:rPr>
            <w:color w:val="1F6B7A"/>
            <w:u w:val="single"/>
            <w:b/>
            <w:rFonts w:ascii="Noto Sans" w:hAnsi="Noto Sans" w:eastAsia="Noto Sans" w:cs="Noto Sans"/>
          </w:rPr>
          <w:t>Eustathius of Mtskheta — Ilia State University</w:t>
        </w:r>
      </w:hyperlink>
      <w:r>
        <w:t xml:space="preserve"> — полные PDF/EPUB/MOBI; лицензия на файлы не указана.</w:t>
      </w:r>
    </w:p>
    <w:p>
      <w:pPr>
        <w:pStyle w:val="ListBullet"/>
        <w:spacing w:after="60" w:line="259" w:lineRule="auto"/>
      </w:pPr>
      <w:hyperlink r:id="rId42">
        <w:r>
          <w:rPr>
            <w:color w:val="1F6B7A"/>
            <w:u w:val="single"/>
            <w:b/>
            <w:rFonts w:ascii="Noto Sans" w:hAnsi="Noto Sans" w:eastAsia="Noto Sans" w:cs="Noto Sans"/>
          </w:rPr>
          <w:t>Abo of Tiflis — modern English ebook</w:t>
        </w:r>
      </w:hyperlink>
      <w:r>
        <w:t xml:space="preserve"> — законный preview/purchase route; оригинальный древнегрузинский текст остаётся пробелом.</w:t>
      </w:r>
    </w:p>
    <w:p>
      <w:pPr>
        <w:pStyle w:val="ListBullet"/>
        <w:spacing w:after="60" w:line="259" w:lineRule="auto"/>
      </w:pPr>
      <w:hyperlink r:id="rId43">
        <w:r>
          <w:rPr>
            <w:color w:val="1F6B7A"/>
            <w:u w:val="single"/>
            <w:b/>
            <w:rFonts w:ascii="Noto Sans" w:hAnsi="Noto Sans" w:eastAsia="Noto Sans" w:cs="Noto Sans"/>
          </w:rPr>
          <w:t>Conversion of Kartli on Georgian Wikisource</w:t>
        </w:r>
      </w:hyperlink>
      <w:r>
        <w:t xml:space="preserve"> — лучший открытый текст для корпусной работы; source-edition check обязателен.</w:t>
      </w:r>
    </w:p>
    <w:p>
      <w:pPr>
        <w:pStyle w:val="ListBullet"/>
        <w:spacing w:after="60" w:line="259" w:lineRule="auto"/>
      </w:pPr>
      <w:hyperlink r:id="rId44">
        <w:r>
          <w:rPr>
            <w:color w:val="1F6B7A"/>
            <w:u w:val="single"/>
            <w:b/>
            <w:rFonts w:ascii="Noto Sans" w:hAnsi="Noto Sans" w:eastAsia="Noto Sans" w:cs="Noto Sans"/>
          </w:rPr>
          <w:t>Lives and Legends — Open Library borrow</w:t>
        </w:r>
      </w:hyperlink>
      <w:r>
        <w:t xml:space="preserve"> — лучший единый законный английский маршрут к нескольким грузинским житиям.</w:t>
      </w:r>
    </w:p>
    <w:p>
      <w:pPr>
        <w:pStyle w:val="Heading2"/>
      </w:pPr>
      <w:r>
        <w:t>Рукописные и инфраструктурные маршруты</w:t>
      </w:r>
    </w:p>
    <w:p>
      <w:pPr>
        <w:pStyle w:val="ListBullet"/>
        <w:spacing w:after="60" w:line="259" w:lineRule="auto"/>
      </w:pPr>
      <w:hyperlink r:id="rId45">
        <w:r>
          <w:rPr>
            <w:color w:val="1F6B7A"/>
            <w:u w:val="single"/>
            <w:b/>
            <w:rFonts w:ascii="Noto Sans" w:hAnsi="Noto Sans" w:eastAsia="Noto Sans" w:cs="Noto Sans"/>
          </w:rPr>
          <w:t>Walters W.537</w:t>
        </w:r>
      </w:hyperlink>
      <w:r>
        <w:t xml:space="preserve"> — полный CC0-факсимиле армянского Евангелия 966 года.</w:t>
      </w:r>
    </w:p>
    <w:p>
      <w:pPr>
        <w:pStyle w:val="ListBullet"/>
        <w:spacing w:after="60" w:line="259" w:lineRule="auto"/>
      </w:pPr>
      <w:hyperlink r:id="rId46">
        <w:r>
          <w:rPr>
            <w:color w:val="1F6B7A"/>
            <w:u w:val="single"/>
            <w:b/>
            <w:rFonts w:ascii="Noto Sans" w:hAnsi="Noto Sans" w:eastAsia="Noto Sans" w:cs="Noto Sans"/>
          </w:rPr>
          <w:t>Digital Bodleian MS. Arm. d. 11</w:t>
        </w:r>
      </w:hyperlink>
      <w:r>
        <w:t xml:space="preserve"> — полный IIIF-факсимиле; non-commercial/item-level review.</w:t>
      </w:r>
    </w:p>
    <w:p>
      <w:pPr>
        <w:pStyle w:val="ListBullet"/>
        <w:spacing w:after="60" w:line="259" w:lineRule="auto"/>
      </w:pPr>
      <w:hyperlink r:id="rId47">
        <w:r>
          <w:rPr>
            <w:color w:val="1F6B7A"/>
            <w:u w:val="single"/>
            <w:b/>
            <w:rFonts w:ascii="Noto Sans" w:hAnsi="Noto Sans" w:eastAsia="Noto Sans" w:cs="Noto Sans"/>
          </w:rPr>
          <w:t>Digital Bodleian MS. Georg. b. 1</w:t>
        </w:r>
      </w:hyperlink>
      <w:r>
        <w:t xml:space="preserve"> — грузинский рукописный свидетель с IIIF.</w:t>
      </w:r>
    </w:p>
    <w:p>
      <w:pPr>
        <w:pStyle w:val="ListBullet"/>
        <w:spacing w:after="60" w:line="259" w:lineRule="auto"/>
      </w:pPr>
      <w:hyperlink r:id="rId48">
        <w:r>
          <w:rPr>
            <w:color w:val="1F6B7A"/>
            <w:u w:val="single"/>
            <w:b/>
            <w:rFonts w:ascii="Noto Sans" w:hAnsi="Noto Sans" w:eastAsia="Noto Sans" w:cs="Noto Sans"/>
          </w:rPr>
          <w:t>Matenadaran Online Manuscripts</w:t>
        </w:r>
      </w:hyperlink>
      <w:r>
        <w:t xml:space="preserve"> — главный институциональный вход к армянским рукописям.</w:t>
      </w:r>
    </w:p>
    <w:p>
      <w:pPr>
        <w:pStyle w:val="ListBullet"/>
        <w:spacing w:after="60" w:line="259" w:lineRule="auto"/>
      </w:pPr>
      <w:hyperlink r:id="rId49">
        <w:r>
          <w:rPr>
            <w:color w:val="1F6B7A"/>
            <w:u w:val="single"/>
            <w:b/>
            <w:rFonts w:ascii="Noto Sans" w:hAnsi="Noto Sans" w:eastAsia="Noto Sans" w:cs="Noto Sans"/>
          </w:rPr>
          <w:t>Georgian National Centre of Manuscripts</w:t>
        </w:r>
      </w:hyperlink>
      <w:r>
        <w:t xml:space="preserve"> — главный институциональный вход к грузинскому фонду.</w:t>
      </w:r>
    </w:p>
    <w:p>
      <w:pPr>
        <w:pStyle w:val="ListBullet"/>
        <w:spacing w:after="60" w:line="259" w:lineRule="auto"/>
      </w:pPr>
      <w:hyperlink r:id="rId50">
        <w:r>
          <w:rPr>
            <w:color w:val="1F6B7A"/>
            <w:u w:val="single"/>
            <w:b/>
            <w:rFonts w:ascii="Noto Sans" w:hAnsi="Noto Sans" w:eastAsia="Noto Sans" w:cs="Noto Sans"/>
          </w:rPr>
          <w:t>vHMML Reading Room</w:t>
        </w:r>
      </w:hyperlink>
      <w:r>
        <w:t xml:space="preserve"> — бесплатная регистрация и просмотр распределённых коллекций; image reuse по разрешению.</w:t>
      </w:r>
    </w:p>
    <w:p>
      <w:pPr>
        <w:pStyle w:val="ListBullet"/>
        <w:spacing w:after="60" w:line="259" w:lineRule="auto"/>
      </w:pPr>
      <w:hyperlink r:id="rId51">
        <w:r>
          <w:rPr>
            <w:color w:val="1F6B7A"/>
            <w:u w:val="single"/>
            <w:b/>
            <w:rFonts w:ascii="Noto Sans" w:hAnsi="Noto Sans" w:eastAsia="Noto Sans" w:cs="Noto Sans"/>
          </w:rPr>
          <w:t>Sinai Palimpsests Digital Library</w:t>
        </w:r>
      </w:hyperlink>
      <w:r>
        <w:t xml:space="preserve"> — ключ к древнегрузинским палимпсестам и монастырскому слою, но права смешанные.</w:t>
      </w:r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Что можно потенциально зеркалировать</w:t>
      </w:r>
    </w:p>
    <w:p>
      <w:pPr>
        <w:spacing w:after="100" w:line="269" w:lineRule="auto"/>
      </w:pPr>
      <w:r>
        <w:t>Наиболее чистый слой — изображения Walters под CC0; конкретные Commons-файлы с Public Domain, PD-Art или CC BY-SA; Wikisource-транскрипции под CC BY-SA; отдельные Internet Archive items с явным Public Domain Mark; аудио LibriVox, выпущенное в public domain в США.</w:t>
      </w:r>
    </w:p>
    <w:p>
      <w:pPr>
        <w:spacing w:after="100" w:line="269" w:lineRule="auto"/>
      </w:pPr>
      <w:r>
        <w:t>Даже внутри этих групп разрешение ограничено конкретным компонентом: CC0 Walters относится к их изображениям и метаданным, а не к чужим материалам; CC BY-SA фотографии Болниси не превращают современную научную транскрипцию надписи в открытый текст; Wikisource ShareAlike относится к совместной транскрипции.</w:t>
      </w:r>
    </w:p>
    <w:p>
      <w:pPr>
        <w:pStyle w:val="Heading2"/>
      </w:pPr>
      <w:r>
        <w:t>Некоммерческое повторное использование</w:t>
      </w:r>
    </w:p>
    <w:p>
      <w:pPr>
        <w:spacing w:after="100" w:line="269" w:lineRule="auto"/>
      </w:pPr>
      <w:r>
        <w:t>Digital Bodleian обычно допускает атрибутированное некоммерческое использование изображений, однако item-level statement следует проверить перед зеркалированием. Для ToS это перспективный слой MIRROR_NONCOMMERCIAL, OCR и embeddings только в пределах конкретного факсимиле и его условий.</w:t>
      </w:r>
    </w:p>
    <w:p>
      <w:pPr>
        <w:pStyle w:val="Heading2"/>
      </w:pPr>
      <w:r>
        <w:t>Бесплатно читать или скачивать, но не зеркалировать</w:t>
      </w:r>
    </w:p>
    <w:p>
      <w:pPr>
        <w:spacing w:after="100" w:line="269" w:lineRule="auto"/>
      </w:pPr>
      <w:r>
        <w:t>К этой группе отнесены AUA Digilib, TITUS, NPLG/Iverieli, Ilia State University, большинство IA-сканов без явной лицензии, Arak29, Bible.com, GNC, Matenadaran и Sinai Palimpsests. Законный доступ сохранён; право публичного повторного размещения, раздачи OCR или публикации embeddings не считается доказанным.</w:t>
      </w:r>
    </w:p>
    <w:p>
      <w:pPr>
        <w:pStyle w:val="Heading2"/>
      </w:pPr>
      <w:r>
        <w:t>Borrow, preview и purchase</w:t>
      </w:r>
    </w:p>
    <w:p>
      <w:pPr>
        <w:spacing w:after="100" w:line="269" w:lineRule="auto"/>
      </w:pPr>
      <w:r>
        <w:t>Renoux, Tarchnischvili, Thomson, Garsoïan, Muradyan, Rapp и другие современные научные издания остаются в реестре как лучшие способы ознакомиться с текстом, даже когда доступ ограничен controlled lending, институциональной подпиской, фрагментом Google Books или покупкой. Их нельзя заменять слабым открытым пересказом.</w:t>
      </w:r>
    </w:p>
    <w:p>
      <w:pPr>
        <w:pStyle w:val="Heading2"/>
      </w:pPr>
      <w:r>
        <w:t>Где возможен собственный перевод ToS</w:t>
      </w:r>
    </w:p>
    <w:p>
      <w:pPr>
        <w:spacing w:after="100" w:line="269" w:lineRule="auto"/>
      </w:pPr>
      <w:r>
        <w:t>Наиболее чистые основания: армянские издания 1736, 1805, 1835, 1877, 1900, 1901 и 1913 годов; старые сирийские и греческие печатные издания; CC0-факсимиле Walters; PD/PD-Art изображения и факсимиле Commons; открытые Wikisource-транскрипции с выполнением CC BY-SA.</w:t>
      </w:r>
    </w:p>
    <w:p>
      <w:pPr>
        <w:spacing w:after="100" w:line="269" w:lineRule="auto"/>
      </w:pPr>
      <w:r>
        <w:t>Тег OWN_TRANSLATION_POSSIBLE никогда не означает автоматическое право на весь корпус. Для Zohrab Old Testament он ограничен реально доступными томами; для Адиши — страницами найденного факсимиле; для Болниси — видимой надписью; для одного кодекса Walters — текстом этого свидетеля. Современный критический аппарат, реконструкция и перевод-посредник не становятся свободными.</w:t>
      </w:r>
    </w:p>
    <w:p>
      <w:pPr>
        <w:pStyle w:val="Callout"/>
      </w:pPr>
      <w:r>
        <w:rPr>
          <w:b/>
        </w:rPr>
        <w:t xml:space="preserve">Практическое правило для Codex: </w:t>
      </w:r>
      <w:r>
        <w:t>автоматически зеркалировать только строки с явным MIRROR_* и item-level rights evidence; все остальные считать LINK_ONLY или требующими ручной проверки.</w:t>
      </w:r>
    </w:p>
    <w:p>
      <w:pPr>
        <w:pStyle w:val="Heading1"/>
      </w:pPr>
      <w:r>
        <w:t>5. Характерные правовые тонкости</w:t>
      </w:r>
    </w:p>
    <w:p>
      <w:pPr>
        <w:pStyle w:val="ListBullet"/>
        <w:spacing w:after="50" w:line="259" w:lineRule="auto"/>
      </w:pPr>
      <w:r>
        <w:t>Древность произведения освобождает исходный текст, но не современный перевод, критическую реконструкцию, комментарий, верстку, фотографию или TEI-разметку.</w:t>
      </w:r>
    </w:p>
    <w:p>
      <w:pPr>
        <w:pStyle w:val="ListBullet"/>
        <w:spacing w:after="50" w:line="259" w:lineRule="auto"/>
      </w:pPr>
      <w:r>
        <w:t>Internet Archive и Google Books являются путями доступа, а не автоматическим доказательством законности повторного распространения. Для старых изданий зафиксирован вывод по сроку охраны; зеркалирование даётся только при явном Public Domain Mark или другом сильном statement.</w:t>
      </w:r>
    </w:p>
    <w:p>
      <w:pPr>
        <w:pStyle w:val="ListBullet"/>
        <w:spacing w:after="50" w:line="259" w:lineRule="auto"/>
      </w:pPr>
      <w:r>
        <w:t>Кнопка Download у NPLG или Ilia University означает доступ к файлу, но не лицензию на публичную раздачу. Поэтому стоят FREE_DOWNLOAD и LINK_ONLY/RIGHTS_REVIEW_REQUIRED, а не MIRROR_OK.</w:t>
      </w:r>
    </w:p>
    <w:p>
      <w:pPr>
        <w:pStyle w:val="ListBullet"/>
        <w:spacing w:after="50" w:line="259" w:lineRule="auto"/>
      </w:pPr>
      <w:r>
        <w:t>TITUS предоставляет выдающийся машиночитаемый слой, но проектовые ограничения не позволяют считать электронную транскрипцию свободным датасетом. Исходный древний текст и современная кодировка разведены.</w:t>
      </w:r>
    </w:p>
    <w:p>
      <w:pPr>
        <w:pStyle w:val="ListBullet"/>
        <w:spacing w:after="50" w:line="259" w:lineRule="auto"/>
      </w:pPr>
      <w:r>
        <w:t>Wikisource и Commons не приравнены к Wikipedia: конкретный источник, издание и item-level лицензия проверяются отдельно. ShareAlike и атрибуция переносятся на повторное использование транскрипции или изображения.</w:t>
      </w:r>
    </w:p>
    <w:p>
      <w:pPr>
        <w:pStyle w:val="ListBullet"/>
        <w:spacing w:after="50" w:line="259" w:lineRule="auto"/>
      </w:pPr>
      <w:r>
        <w:t>Public Domain Mark — не лицензия. В реестре она описана именно как rights statement; CC0, напротив, является юридическим инструментом отказа/лицензирования.</w:t>
      </w:r>
    </w:p>
    <w:p>
      <w:pPr>
        <w:pStyle w:val="ListBullet"/>
        <w:spacing w:after="50" w:line="259" w:lineRule="auto"/>
      </w:pPr>
      <w:r>
        <w:t>Bodleian сочетает публичнодоменное содержание рукописи с лицензией на цифровое изображение. OCR/перевод из изображения возможны только в рамках item-level условий и не дают права зеркалировать весь сайт.</w:t>
      </w:r>
    </w:p>
    <w:p>
      <w:pPr>
        <w:pStyle w:val="ListBullet"/>
        <w:spacing w:after="50" w:line="259" w:lineRule="auto"/>
      </w:pPr>
      <w:r>
        <w:t>Cambridge Element 2026 мог быть временно открыт для промо-доступа, но временная бесплатность не равна Open Access. В реестре он остаётся preview/institutional/purchase.</w:t>
      </w:r>
    </w:p>
    <w:p>
      <w:pPr>
        <w:pStyle w:val="Heading1"/>
      </w:pPr>
      <w:r>
        <w:t>6. Пробелы и дальнейший поиск</w:t>
      </w:r>
    </w:p>
    <w:p>
      <w:pPr>
        <w:spacing w:after="100" w:line="269" w:lineRule="auto"/>
      </w:pPr>
      <w:r>
        <w:t>Полный лист gaps содержит 21 записи. Ниже — девять направлений с наибольшей отдачей; они важнее добавления ещё одного общего портала.</w:t>
      </w:r>
    </w:p>
    <w:p>
      <w:pPr>
        <w:pStyle w:val="ListNumber"/>
        <w:spacing w:after="60" w:line="259" w:lineRule="auto"/>
      </w:pPr>
      <w:r>
        <w:t>Получить item-level запись и факсимиле Matenadaran MS 1097 — ключевого свидетеля Езника; отдельно зафиксировать права на фотографии и каталог.</w:t>
      </w:r>
    </w:p>
    <w:p>
      <w:pPr>
        <w:pStyle w:val="ListNumber"/>
        <w:spacing w:after="60" w:line="259" w:lineRule="auto"/>
      </w:pPr>
      <w:r>
        <w:t>Найти полный открытый армянский текст или факсимиле Иерусалимского лекционария вне защищённой реконструкции Renoux.</w:t>
      </w:r>
    </w:p>
    <w:p>
      <w:pPr>
        <w:pStyle w:val="ListNumber"/>
        <w:spacing w:after="60" w:line="259" w:lineRule="auto"/>
      </w:pPr>
      <w:r>
        <w:t>Построить witness-level реестр древнейших грузинских Евангелий: Khanmeti-фрагменты, Opiza, Tbet, Parkhali, Jruchi и текущая custodial page Адиши.</w:t>
      </w:r>
    </w:p>
    <w:p>
      <w:pPr>
        <w:pStyle w:val="ListNumber"/>
        <w:spacing w:after="60" w:line="259" w:lineRule="auto"/>
      </w:pPr>
      <w:r>
        <w:t>Развернуть Sinai Mravaltavi: отдельные shelfmarks, folio-coverage, undertext/overtext и права на multispectral images.</w:t>
      </w:r>
    </w:p>
    <w:p>
      <w:pPr>
        <w:pStyle w:val="ListNumber"/>
        <w:spacing w:after="60" w:line="259" w:lineRule="auto"/>
      </w:pPr>
      <w:r>
        <w:t>Найти институциональный полный древнегрузинский текст «Мученичества Або»; не использовать случайные коммерческие PDF и учебные зеркала.</w:t>
      </w:r>
    </w:p>
    <w:p>
      <w:pPr>
        <w:pStyle w:val="ListNumber"/>
        <w:spacing w:after="60" w:line="259" w:lineRule="auto"/>
      </w:pPr>
      <w:r>
        <w:t>Получить Terms of Use и source inventory Georgian National Corpus до bulk extraction, публичного полнотекстового индекса или публикации embeddings.</w:t>
      </w:r>
    </w:p>
    <w:p>
      <w:pPr>
        <w:pStyle w:val="ListNumber"/>
        <w:spacing w:after="60" w:line="259" w:lineRule="auto"/>
      </w:pPr>
      <w:r>
        <w:t>Развернуть армянские поздние институциональные корпуса: «Книга канонов», ранний Sharakan и полный электронный текст «Книги писем».</w:t>
      </w:r>
    </w:p>
    <w:p>
      <w:pPr>
        <w:pStyle w:val="ListNumber"/>
        <w:spacing w:after="60" w:line="259" w:lineRule="auto"/>
      </w:pPr>
      <w:r>
        <w:t>Добавить армянские тексты сохранения, не завершённые здесь: Armenian Philo, армянский текст Irenaeus Demonstration и другие утраченные греческие произведения.</w:t>
      </w:r>
    </w:p>
    <w:p>
      <w:pPr>
        <w:pStyle w:val="ListNumber"/>
        <w:spacing w:after="60" w:line="259" w:lineRule="auto"/>
      </w:pPr>
      <w:r>
        <w:t>Сделать отдельный forward pass по Balavariani и более широкому переводному корпусу Евфимия и Георгия Афонских, не смешивая версии и поздние потомки.</w:t>
      </w:r>
    </w:p>
    <w:p>
      <w:pPr>
        <w:pStyle w:val="Heading2"/>
      </w:pPr>
      <w:r>
        <w:t>Исключённые или не подтверждённые пути</w:t>
      </w:r>
    </w:p>
    <w:p>
      <w:pPr>
        <w:spacing w:after="100" w:line="269" w:lineRule="auto"/>
      </w:pPr>
      <w:r>
        <w:t>Не включены как установленные источники: пользовательские загрузки современных критических изданий без доказательства разрешения; Scribd-подобные файловые страницы; общий SEO-контент; случайные школьные и туристические пересказы; статические зеркала, где не удалось подтвердить издателя и лицензию. Такие находки использовались только для поиска терминов.</w:t>
      </w:r>
    </w:p>
    <w:p>
      <w:pPr>
        <w:spacing w:after="100" w:line="269" w:lineRule="auto"/>
      </w:pPr>
      <w:r>
        <w:t>Современная «Книга канонов» на Internet Archive не внесена в registry: доступность файла не доказывает полномочия загрузчика. Она сохранена в gaps до обнаружения официальной библиотеки, издателя или controlled-lending записи.</w:t>
      </w:r>
    </w:p>
    <w:p>
      <w:pPr>
        <w:spacing w:after="100" w:line="269" w:lineRule="auto"/>
      </w:pPr>
      <w:r>
        <w:t>Некоторые официальные страницы работают через JavaScript, фреймы или нестабильные внутренние URL. В таких случаях verification_status в XLSX прямо сообщает, что проверено: item page, full-text frame, metadata, borrow mode или только publisher record.</w:t>
      </w:r>
    </w:p>
    <w:p>
      <w:pPr>
        <w:pStyle w:val="Heading1"/>
      </w:pPr>
      <w:r>
        <w:t>7. Итоговая оценка</w:t>
      </w:r>
    </w:p>
    <w:p>
      <w:pPr>
        <w:spacing w:after="100" w:line="269" w:lineRule="auto"/>
      </w:pPr>
      <w:r>
        <w:t>Покрытие ядра высокое: каждое центральное произведение или материальный объект из Deep Research получил хотя бы один законный путь доступа, а главные армянские тексты — обычно несколько разнотипных маршрутов: оригинал/старое издание, свободное чтение, современный научный перевод и библиотечный или коммерческий вход.</w:t>
      </w:r>
    </w:p>
    <w:p>
      <w:pPr>
        <w:spacing w:after="100" w:line="269" w:lineRule="auto"/>
      </w:pPr>
      <w:r>
        <w:t>Армянские оригиналы доступны лучше всего через публичнодоменные венецианские и тифлисские издания, IA/HathiTrust и отдельные факсимиле Walters. Грузинский текстовый слой сильнее зависит от TITUS, Wikisource и институциональных PDF NPLG; witness-level доступ к древнейшим рукописям остаётся слабее.</w:t>
      </w:r>
    </w:p>
    <w:p>
      <w:pPr>
        <w:spacing w:after="100" w:line="269" w:lineRule="auto"/>
      </w:pPr>
      <w:r>
        <w:t>Переводы доступны неравномерно. Старые английские, французские, немецкие и латинские версии дают свободный слой, но лучшие современные научные переводы в основном защищены и требуют покупки, библиотеки или preview.</w:t>
      </w:r>
    </w:p>
    <w:p>
      <w:pPr>
        <w:spacing w:after="100" w:line="269" w:lineRule="auto"/>
      </w:pPr>
      <w:r>
        <w:t>Наиболее свободный слой — CC0 Walters, Public Domain/PD-Art Commons, CC BY-SA Wikisource и отдельные Public Domain Mark items. Главные ограничения сосредоточены в современных критических изданиях, неопубликованных item-level рукописях, электронных корпусах без лицензии и институциональных сканах, где download не равен republication.</w:t>
      </w:r>
    </w:p>
    <w:p>
      <w:pPr>
        <w:spacing w:after="100" w:line="269" w:lineRule="auto"/>
      </w:pPr>
      <w:r>
        <w:t>Результат пригоден для передачи Codex: XLSX уже разделяет произведение, версию, цифровой объект и условия платформы; каждое положительное использование ограничено rights_scope и coverage; gaps отделяют недоказанные кандидаты от установленного корпуса. Следующий машинный шаг может выполнять дедупликацию, нормализацию названий и построение графа, не пересматривая исторический ID A38.</w:t>
      </w:r>
    </w:p>
    <w:p>
      <w:pPr>
        <w:pStyle w:val="Callout"/>
      </w:pPr>
      <w:r>
        <w:rPr>
          <w:b/>
        </w:rPr>
        <w:t xml:space="preserve">Вывод: </w:t>
      </w:r>
      <w:r>
        <w:t>A38 имеет достаточно богатый и юридически дифференцированный цифровой слой для публичной исследовательской навигации ToS; для собственной публикации полного корпуса потребуется опереться на public-domain/CC факсимиле и заново создать проверенные транскрипции и переводы.</w:t>
      </w:r>
    </w:p>
    <w:p>
      <w:pPr>
        <w:pStyle w:val="Heading2"/>
      </w:pPr>
      <w:r>
        <w:t>Ключевые институциональные страницы прав</w:t>
      </w:r>
    </w:p>
    <w:p>
      <w:pPr>
        <w:pStyle w:val="ListBullet"/>
        <w:spacing w:after="60" w:line="259" w:lineRule="auto"/>
      </w:pPr>
      <w:hyperlink r:id="rId52">
        <w:r>
          <w:rPr>
            <w:color w:val="1F6B7A"/>
            <w:u w:val="single"/>
            <w:b/>
            <w:rFonts w:ascii="Noto Sans" w:hAnsi="Noto Sans" w:eastAsia="Noto Sans" w:cs="Noto Sans"/>
          </w:rPr>
          <w:t>Walters Open Access policy</w:t>
        </w:r>
      </w:hyperlink>
      <w:r>
        <w:t xml:space="preserve"> — применяется только в границах конкретного объекта и указанного rights_scope.</w:t>
      </w:r>
    </w:p>
    <w:p>
      <w:pPr>
        <w:pStyle w:val="ListBullet"/>
        <w:spacing w:after="60" w:line="259" w:lineRule="auto"/>
      </w:pPr>
      <w:hyperlink r:id="rId53">
        <w:r>
          <w:rPr>
            <w:color w:val="1F6B7A"/>
            <w:u w:val="single"/>
            <w:b/>
            <w:rFonts w:ascii="Noto Sans" w:hAnsi="Noto Sans" w:eastAsia="Noto Sans" w:cs="Noto Sans"/>
          </w:rPr>
          <w:t>Digital Bodleian FAQ and reuse</w:t>
        </w:r>
      </w:hyperlink>
      <w:r>
        <w:t xml:space="preserve"> — применяется только в границах конкретного объекта и указанного rights_scope.</w:t>
      </w:r>
    </w:p>
    <w:p>
      <w:pPr>
        <w:pStyle w:val="ListBullet"/>
        <w:spacing w:after="60" w:line="259" w:lineRule="auto"/>
      </w:pPr>
      <w:hyperlink r:id="rId54">
        <w:r>
          <w:rPr>
            <w:color w:val="1F6B7A"/>
            <w:u w:val="single"/>
            <w:b/>
            <w:rFonts w:ascii="Noto Sans" w:hAnsi="Noto Sans" w:eastAsia="Noto Sans" w:cs="Noto Sans"/>
          </w:rPr>
          <w:t>vHMML Terms of Use</w:t>
        </w:r>
      </w:hyperlink>
      <w:r>
        <w:t xml:space="preserve"> — применяется только в границах конкретного объекта и указанного rights_scope.</w:t>
      </w:r>
    </w:p>
    <w:p>
      <w:pPr>
        <w:pStyle w:val="ListBullet"/>
        <w:spacing w:after="60" w:line="259" w:lineRule="auto"/>
      </w:pPr>
      <w:hyperlink r:id="rId55">
        <w:r>
          <w:rPr>
            <w:color w:val="1F6B7A"/>
            <w:u w:val="single"/>
            <w:b/>
            <w:rFonts w:ascii="Noto Sans" w:hAnsi="Noto Sans" w:eastAsia="Noto Sans" w:cs="Noto Sans"/>
          </w:rPr>
          <w:t>Wikimedia Commons item-level example: Adishi</w:t>
        </w:r>
      </w:hyperlink>
      <w:r>
        <w:t xml:space="preserve"> — применяется только в границах конкретного объекта и указанного rights_scope.</w:t>
      </w:r>
    </w:p>
    <w:p>
      <w:pPr>
        <w:pStyle w:val="ListBullet"/>
        <w:spacing w:after="60" w:line="259" w:lineRule="auto"/>
      </w:pPr>
      <w:hyperlink r:id="rId39">
        <w:r>
          <w:rPr>
            <w:color w:val="1F6B7A"/>
            <w:u w:val="single"/>
            <w:b/>
            <w:rFonts w:ascii="Noto Sans" w:hAnsi="Noto Sans" w:eastAsia="Noto Sans" w:cs="Noto Sans"/>
          </w:rPr>
          <w:t>Georgian Wikisource: Shushanik</w:t>
        </w:r>
      </w:hyperlink>
      <w:r>
        <w:t xml:space="preserve"> — применяется только в границах конкретного объекта и указанного rights_scope.</w:t>
      </w:r>
    </w:p>
    <w:p>
      <w:pPr>
        <w:pStyle w:val="ListBullet"/>
        <w:spacing w:after="60" w:line="259" w:lineRule="auto"/>
      </w:pPr>
      <w:hyperlink r:id="rId48">
        <w:r>
          <w:rPr>
            <w:color w:val="1F6B7A"/>
            <w:u w:val="single"/>
            <w:b/>
            <w:rFonts w:ascii="Noto Sans" w:hAnsi="Noto Sans" w:eastAsia="Noto Sans" w:cs="Noto Sans"/>
          </w:rPr>
          <w:t>Matenadaran Online Manuscripts</w:t>
        </w:r>
      </w:hyperlink>
      <w:r>
        <w:t xml:space="preserve"> — применяется только в границах конкретного объекта и указанного rights_scope.</w:t>
      </w:r>
    </w:p>
    <w:p>
      <w:pPr>
        <w:pStyle w:val="ListBullet"/>
        <w:spacing w:after="60" w:line="259" w:lineRule="auto"/>
      </w:pPr>
      <w:hyperlink r:id="rId56">
        <w:r>
          <w:rPr>
            <w:color w:val="1F6B7A"/>
            <w:u w:val="single"/>
            <w:b/>
            <w:rFonts w:ascii="Noto Sans" w:hAnsi="Noto Sans" w:eastAsia="Noto Sans" w:cs="Noto Sans"/>
          </w:rPr>
          <w:t>Georgian National Centre digitization</w:t>
        </w:r>
      </w:hyperlink>
      <w:r>
        <w:t xml:space="preserve"> — применяется только в границах конкретного объекта и указанного rights_scope.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5F686E"/>
        <w:sz w:val="16"/>
      </w:rPr>
      <w:t xml:space="preserve">Tree of Sophia  ·  проверено 04.09.2026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" w:hAnsi="Noto Sans"/>
        <w:color w:val="46606A"/>
        <w:sz w:val="16"/>
      </w:rPr>
      <w:t>ToS Corpus &amp; Rights Registry  ·  A38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" w:hAnsi="Noto Sans" w:eastAsia="Noto Sans" w:cs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73F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2362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456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" w:hAnsi="Noto Sans" w:eastAsia="Noto Sans" w:cs="Noto Sans"/>
      <w:b/>
      <w:color w:val="173F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/>
    </w:pPr>
    <w:rPr>
      <w:rFonts w:asciiTheme="majorHAnsi" w:eastAsiaTheme="majorEastAsia" w:hAnsiTheme="majorHAnsi" w:cstheme="majorBidi" w:ascii="Noto Sans" w:hAnsi="Noto Sans" w:eastAsia="Noto Sans" w:cs="Noto Sans"/>
      <w:b/>
      <w:i/>
      <w:iCs/>
      <w:color w:val="3B5A6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52" w:lineRule="auto"/>
    </w:pPr>
    <w:rPr>
      <w:rFonts w:ascii="Noto Sans" w:hAnsi="Noto Sans" w:eastAsia="Noto Sans"/>
      <w:color w:val="505B63"/>
      <w:sz w:val="17"/>
    </w:rPr>
  </w:style>
  <w:style w:type="paragraph" w:customStyle="1" w:styleId="Callout">
    <w:name w:val="Callout"/>
    <w:pPr>
      <w:spacing w:before="100" w:after="140" w:line="264" w:lineRule="auto"/>
      <w:ind w:left="255" w:right="142"/>
    </w:pPr>
    <w:rPr>
      <w:rFonts w:ascii="Noto Sans" w:hAnsi="Noto Sans" w:eastAsia="Noto Sans"/>
      <w:color w:val="13374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igilib.am/book/253/258/3831/?lang=en" TargetMode="External"/><Relationship Id="rId12" Type="http://schemas.openxmlformats.org/officeDocument/2006/relationships/hyperlink" Target="https://catalog.hathitrust.org/Record/003301691" TargetMode="External"/><Relationship Id="rId13" Type="http://schemas.openxmlformats.org/officeDocument/2006/relationships/hyperlink" Target="https://global.oup.com/academic/product/the-life-of-mashtots-by-his-disciple-koriwn-9780192847416" TargetMode="External"/><Relationship Id="rId14" Type="http://schemas.openxmlformats.org/officeDocument/2006/relationships/hyperlink" Target="https://archive.org/details/OldTestamentInClassicalArmenian" TargetMode="External"/><Relationship Id="rId15" Type="http://schemas.openxmlformats.org/officeDocument/2006/relationships/hyperlink" Target="https://archive.org/details/armenian_zohrab_nt" TargetMode="External"/><Relationship Id="rId16" Type="http://schemas.openxmlformats.org/officeDocument/2006/relationships/hyperlink" Target="https://titus.uni-frankfurt.de/texte/etcs/arm/zohrab/armnt/armnt.htm" TargetMode="External"/><Relationship Id="rId17" Type="http://schemas.openxmlformats.org/officeDocument/2006/relationships/hyperlink" Target="https://www.bible.com/languages/xcl" TargetMode="External"/><Relationship Id="rId18" Type="http://schemas.openxmlformats.org/officeDocument/2006/relationships/hyperlink" Target="https://www.digilib.am/book/54/" TargetMode="External"/><Relationship Id="rId19" Type="http://schemas.openxmlformats.org/officeDocument/2006/relationships/hyperlink" Target="https://archive.org/details/AgatangeghosClassicalArmenianText" TargetMode="External"/><Relationship Id="rId20" Type="http://schemas.openxmlformats.org/officeDocument/2006/relationships/hyperlink" Target="https://archive.org/details/historyofarmenia0000agat" TargetMode="External"/><Relationship Id="rId21" Type="http://schemas.openxmlformats.org/officeDocument/2006/relationships/hyperlink" Target="https://www.digilib.am/book/162/" TargetMode="External"/><Relationship Id="rId22" Type="http://schemas.openxmlformats.org/officeDocument/2006/relationships/hyperlink" Target="https://commons.wikimedia.org/wiki/File:Eznik_de_Kolb_-_R%C3%A9futation_des_sectes,_1853.djvu" TargetMode="External"/><Relationship Id="rId23" Type="http://schemas.openxmlformats.org/officeDocument/2006/relationships/hyperlink" Target="https://fr.wikisource.org/wiki/Livre:Eznik_de_Kolb_-_R%C3%A9futation_des_sectes,_1853.djvu" TargetMode="External"/><Relationship Id="rId24" Type="http://schemas.openxmlformats.org/officeDocument/2006/relationships/hyperlink" Target="https://www.tertullian.org/rpearse/scanned/yeznik_refutation.htm" TargetMode="External"/><Relationship Id="rId25" Type="http://schemas.openxmlformats.org/officeDocument/2006/relationships/hyperlink" Target="https://www.attalus.org/armenian/pbtoc.html" TargetMode="External"/><Relationship Id="rId26" Type="http://schemas.openxmlformats.org/officeDocument/2006/relationships/hyperlink" Target="https://www.attalus.org/armenian/gpintro.htm" TargetMode="External"/><Relationship Id="rId27" Type="http://schemas.openxmlformats.org/officeDocument/2006/relationships/hyperlink" Target="https://books.google.com/books?id=0ZxCAAAAcAAJ" TargetMode="External"/><Relationship Id="rId28" Type="http://schemas.openxmlformats.org/officeDocument/2006/relationships/hyperlink" Target="https://archive.org/details/Xorenatsi1913Grabar" TargetMode="External"/><Relationship Id="rId29" Type="http://schemas.openxmlformats.org/officeDocument/2006/relationships/hyperlink" Target="https://liverpooluniversitypress.co.uk/doi/abs/10.3828/9780853235644" TargetMode="External"/><Relationship Id="rId30" Type="http://schemas.openxmlformats.org/officeDocument/2006/relationships/hyperlink" Target="https://archive.org/details/armenianlectiona0000reno" TargetMode="External"/><Relationship Id="rId31" Type="http://schemas.openxmlformats.org/officeDocument/2006/relationships/hyperlink" Target="https://dspace.nplg.gov.ge/handle/1234/254725" TargetMode="External"/><Relationship Id="rId32" Type="http://schemas.openxmlformats.org/officeDocument/2006/relationships/hyperlink" Target="https://openlibrary.org/works/OL17390251W/Le_grand_lectionnaire_de_l'%C3%89glise_de_J%C3%A9rusalem" TargetMode="External"/><Relationship Id="rId33" Type="http://schemas.openxmlformats.org/officeDocument/2006/relationships/hyperlink" Target="https://archive.org/details/EusebiusChronicleArmenianLatinAucherVol1" TargetMode="External"/><Relationship Id="rId34" Type="http://schemas.openxmlformats.org/officeDocument/2006/relationships/hyperlink" Target="https://www.tertullian.org/fathers/irenaeus_03_apostolic_preaching.htm" TargetMode="External"/><Relationship Id="rId35" Type="http://schemas.openxmlformats.org/officeDocument/2006/relationships/hyperlink" Target="https://titus.uni-frankfurt.de/texte/etca/cauc/ageo/nt/ntkpl/ntkpl.htm" TargetMode="External"/><Relationship Id="rId36" Type="http://schemas.openxmlformats.org/officeDocument/2006/relationships/hyperlink" Target="https://commons.wikimedia.org/wiki/Category:Adysh_Gospel" TargetMode="External"/><Relationship Id="rId37" Type="http://schemas.openxmlformats.org/officeDocument/2006/relationships/hyperlink" Target="https://commons.wikimedia.org/wiki/File:Bolnisi_Sioni_church._Inscription_with_a_cross.jpg" TargetMode="External"/><Relationship Id="rId38" Type="http://schemas.openxmlformats.org/officeDocument/2006/relationships/hyperlink" Target="https://commons.wikimedia.org/wiki/File:Georgian_Asomtavruli_inscription_at_Bolnisi_Zion_V_c.jpg" TargetMode="External"/><Relationship Id="rId39" Type="http://schemas.openxmlformats.org/officeDocument/2006/relationships/hyperlink" Target="https://ka.wikisource.org/wiki/%E1%83%AC%E1%83%90%E1%83%9B%E1%83%94%E1%83%91%E1%83%90%E1%83%98_%E1%83%AC%E1%83%9B%E1%83%98%E1%83%93%E1%83%98%E1%83%A1%E1%83%90_%E1%83%A8%E1%83%A3%E1%83%A8%E1%83%90%E1%83%9C%E1%83%98%E1%83%99%E1%83%98%E1%83%A1%E1%83%98" TargetMode="External"/><Relationship Id="rId40" Type="http://schemas.openxmlformats.org/officeDocument/2006/relationships/hyperlink" Target="https://dspace.nplg.gov.ge/handle/1234/477985" TargetMode="External"/><Relationship Id="rId41" Type="http://schemas.openxmlformats.org/officeDocument/2006/relationships/hyperlink" Target="https://library.iliauni.edu.ge/ebooks/mart-loba-da-mothmineba-tsmidisa-evstathi-mtskhethelisa/" TargetMode="External"/><Relationship Id="rId42" Type="http://schemas.openxmlformats.org/officeDocument/2006/relationships/hyperlink" Target="https://play.google.com/store/books/details/Ioane_Sabanisdze_The_Martyrdom_of_Abo_of_Tiflis?id=m9YsEQAAQBAJ" TargetMode="External"/><Relationship Id="rId43" Type="http://schemas.openxmlformats.org/officeDocument/2006/relationships/hyperlink" Target="https://ka.wikisource.org/wiki/%E1%83%9B%E1%83%9D%E1%83%A5%E1%83%AA%E1%83%94%E1%83%95%E1%83%90%E1%83%98_%E1%83%A5%E1%83%90%E1%83%A0%E1%83%97%E1%83%9A%E1%83%98%E1%83%A1%E1%83%90%E1%83%98" TargetMode="External"/><Relationship Id="rId44" Type="http://schemas.openxmlformats.org/officeDocument/2006/relationships/hyperlink" Target="https://openlibrary.org/books/OL6219540M/Lives_and_legends_of_the_Georgian_saints" TargetMode="External"/><Relationship Id="rId45" Type="http://schemas.openxmlformats.org/officeDocument/2006/relationships/hyperlink" Target="https://manuscripts.thewalters.org/viewer.php?id=W.537" TargetMode="External"/><Relationship Id="rId46" Type="http://schemas.openxmlformats.org/officeDocument/2006/relationships/hyperlink" Target="https://digital.bodleian.ox.ac.uk/objects/9482027b-03d2-42b6-a741-7b7a96fb928d/" TargetMode="External"/><Relationship Id="rId47" Type="http://schemas.openxmlformats.org/officeDocument/2006/relationships/hyperlink" Target="https://digital.bodleian.ox.ac.uk/objects/e4c98007-81c8-4670-ad42-777faa2987e5/" TargetMode="External"/><Relationship Id="rId48" Type="http://schemas.openxmlformats.org/officeDocument/2006/relationships/hyperlink" Target="https://matenadaran.am/en/online-manuscripts/" TargetMode="External"/><Relationship Id="rId49" Type="http://schemas.openxmlformats.org/officeDocument/2006/relationships/hyperlink" Target="https://manuscript.ge/qartuli-xelnawerebis-fondi" TargetMode="External"/><Relationship Id="rId50" Type="http://schemas.openxmlformats.org/officeDocument/2006/relationships/hyperlink" Target="https://www.vhmml.org/readingRoom/" TargetMode="External"/><Relationship Id="rId51" Type="http://schemas.openxmlformats.org/officeDocument/2006/relationships/hyperlink" Target="https://www.sinaipalimpsests.org/technologies/digital-library/" TargetMode="External"/><Relationship Id="rId52" Type="http://schemas.openxmlformats.org/officeDocument/2006/relationships/hyperlink" Target="https://thewalters.org/about/policies-rights-and-reproduction/" TargetMode="External"/><Relationship Id="rId53" Type="http://schemas.openxmlformats.org/officeDocument/2006/relationships/hyperlink" Target="https://digital.bodleian.ox.ac.uk/faq/" TargetMode="External"/><Relationship Id="rId54" Type="http://schemas.openxmlformats.org/officeDocument/2006/relationships/hyperlink" Target="https://www.vhmml.org/terms" TargetMode="External"/><Relationship Id="rId55" Type="http://schemas.openxmlformats.org/officeDocument/2006/relationships/hyperlink" Target="https://commons.wikimedia.org/wiki/File:Adishi_Gospels_MSS_1916_ed._-_1.jpg" TargetMode="External"/><Relationship Id="rId56" Type="http://schemas.openxmlformats.org/officeDocument/2006/relationships/hyperlink" Target="https://manuscript.ge/digital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