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ToS Corpus &amp; Rights Registry</w:t>
      </w:r>
    </w:p>
    <w:p>
      <w:pPr>
        <w:pStyle w:val="Title"/>
      </w:pPr>
      <w:r>
        <w:t>Буддийская логика</w:t>
        <w:br/>
        <w:t>и эпистемология</w:t>
      </w:r>
    </w:p>
    <w:p>
      <w:pPr>
        <w:pStyle w:val="Subtitle"/>
      </w:pPr>
      <w:r>
        <w:t>T2-35  ·  статус A/5 сохранён  ·  проверка 4 сентября 2026</w:t>
      </w:r>
    </w:p>
    <w:p>
      <w:r>
        <w:t>Карта доступа к текстам Дигнаги и Дхармакирти, их комментариям, историческим свидетелям и линиям передачи. Реестр сохраняет и открытые тексты, и защищённые научные издания; разрешение на чтение отделено от права публиковать копию.</w:t>
      </w:r>
    </w:p>
    <w:tbl>
      <w:tblPr>
        <w:tblW w:type="auto" w:w="0"/>
        <w:jc w:val="center"/>
        <w:tblLayout w:type="fixed"/>
        <w:tblLook w:firstColumn="1" w:firstRow="1" w:lastColumn="0" w:lastRow="0" w:noHBand="0" w:noVBand="1" w:val="04A0"/>
      </w:tblPr>
      <w:tblGrid>
        <w:gridCol w:w="2948"/>
        <w:gridCol w:w="3969"/>
        <w:gridCol w:w="2891"/>
      </w:tblGrid>
      <w:tr>
        <w:trPr>
          <w:tblHeader/>
          <w:cantSplit/>
        </w:trPr>
        <w:tc>
          <w:tcPr>
            <w:tcW w:type="dxa" w:w="2948"/>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Маршруты доступа</w:t>
            </w:r>
          </w:p>
        </w:tc>
        <w:tc>
          <w:tcPr>
            <w:tcW w:type="dxa" w:w="3969"/>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Бесплатное чтение / просмотр</w:t>
            </w:r>
          </w:p>
        </w:tc>
        <w:tc>
          <w:tcPr>
            <w:tcW w:type="dxa" w:w="2891"/>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Конкретные пробелы</w:t>
            </w:r>
          </w:p>
        </w:tc>
      </w:tr>
      <w:tr>
        <w:trPr>
          <w:cantSplit/>
        </w:trPr>
        <w:tc>
          <w:tcPr>
            <w:tcW w:type="dxa" w:w="2948"/>
            <w:vAlign w:val="top"/>
            <w:tcMar>
              <w:top w:w="85" w:type="dxa"/>
              <w:left w:w="85" w:type="dxa"/>
              <w:bottom w:w="85" w:type="dxa"/>
              <w:right w:w="85" w:type="dxa"/>
            </w:tcMar>
            <w:shd w:fill="F0F5F6"/>
          </w:tcPr>
          <w:p>
            <w:pPr>
              <w:spacing w:after="60" w:line="245" w:lineRule="auto"/>
            </w:pPr>
            <w:r>
              <w:rPr>
                <w:rFonts w:ascii="Liberation Serif" w:hAnsi="Liberation Serif"/>
                <w:sz w:val="20"/>
              </w:rPr>
              <w:t>89</w:t>
            </w:r>
          </w:p>
        </w:tc>
        <w:tc>
          <w:tcPr>
            <w:tcW w:type="dxa" w:w="3969"/>
            <w:vAlign w:val="top"/>
            <w:tcMar>
              <w:top w:w="85" w:type="dxa"/>
              <w:left w:w="85" w:type="dxa"/>
              <w:bottom w:w="85" w:type="dxa"/>
              <w:right w:w="85" w:type="dxa"/>
            </w:tcMar>
            <w:shd w:fill="F0F5F6"/>
          </w:tcPr>
          <w:p>
            <w:pPr>
              <w:spacing w:after="60" w:line="245" w:lineRule="auto"/>
            </w:pPr>
            <w:r>
              <w:rPr>
                <w:rFonts w:ascii="Liberation Serif" w:hAnsi="Liberation Serif"/>
                <w:sz w:val="20"/>
              </w:rPr>
              <w:t>58</w:t>
            </w:r>
          </w:p>
        </w:tc>
        <w:tc>
          <w:tcPr>
            <w:tcW w:type="dxa" w:w="2891"/>
            <w:vAlign w:val="top"/>
            <w:tcMar>
              <w:top w:w="85" w:type="dxa"/>
              <w:left w:w="85" w:type="dxa"/>
              <w:bottom w:w="85" w:type="dxa"/>
              <w:right w:w="85" w:type="dxa"/>
            </w:tcMar>
            <w:shd w:fill="F0F5F6"/>
          </w:tcPr>
          <w:p>
            <w:pPr>
              <w:spacing w:after="60" w:line="245" w:lineRule="auto"/>
            </w:pPr>
            <w:r>
              <w:rPr>
                <w:rFonts w:ascii="Liberation Serif" w:hAnsi="Liberation Serif"/>
                <w:sz w:val="20"/>
              </w:rPr>
              <w:t>28</w:t>
            </w:r>
          </w:p>
        </w:tc>
      </w:tr>
    </w:tbl>
    <w:p>
      <w:r/>
    </w:p>
    <w:p>
      <w:pPr>
        <w:pStyle w:val="Heading1"/>
      </w:pPr>
      <w:r>
        <w:t>1. Паспорт</w:t>
      </w:r>
    </w:p>
    <w:tbl>
      <w:tblPr>
        <w:tblW w:type="auto" w:w="0"/>
        <w:jc w:val="center"/>
        <w:tblLayout w:type="fixed"/>
        <w:tblLook w:firstColumn="1" w:firstRow="1" w:lastColumn="0" w:lastRow="0" w:noHBand="0" w:noVBand="1" w:val="04A0"/>
      </w:tblPr>
      <w:tblGrid>
        <w:gridCol w:w="1814"/>
        <w:gridCol w:w="7994"/>
      </w:tblGrid>
      <w:tr>
        <w:trPr>
          <w:tblHeader/>
          <w:cantSplit/>
        </w:trPr>
        <w:tc>
          <w:tcPr>
            <w:tcW w:type="dxa" w:w="1814"/>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Параметр</w:t>
            </w:r>
          </w:p>
        </w:tc>
        <w:tc>
          <w:tcPr>
            <w:tcW w:type="dxa" w:w="7994"/>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Значение</w:t>
            </w:r>
          </w:p>
        </w:tc>
      </w:tr>
      <w:tr>
        <w:trPr>
          <w:cantSplit/>
        </w:trPr>
        <w:tc>
          <w:tcPr>
            <w:tcW w:type="dxa" w:w="1814"/>
            <w:vAlign w:val="top"/>
            <w:tcMar>
              <w:top w:w="85" w:type="dxa"/>
              <w:left w:w="85" w:type="dxa"/>
              <w:bottom w:w="85" w:type="dxa"/>
              <w:right w:w="85" w:type="dxa"/>
            </w:tcMar>
            <w:shd w:fill="F0F5F6"/>
          </w:tcPr>
          <w:p>
            <w:pPr>
              <w:spacing w:after="60" w:line="245" w:lineRule="auto"/>
            </w:pPr>
            <w:r>
              <w:rPr>
                <w:rFonts w:ascii="Liberation Serif" w:hAnsi="Liberation Serif"/>
                <w:sz w:val="20"/>
              </w:rPr>
              <w:t>Строка</w:t>
            </w:r>
          </w:p>
        </w:tc>
        <w:tc>
          <w:tcPr>
            <w:tcW w:type="dxa" w:w="7994"/>
            <w:vAlign w:val="top"/>
            <w:tcMar>
              <w:top w:w="85" w:type="dxa"/>
              <w:left w:w="85" w:type="dxa"/>
              <w:bottom w:w="85" w:type="dxa"/>
              <w:right w:w="85" w:type="dxa"/>
            </w:tcMar>
            <w:shd w:fill="F0F5F6"/>
          </w:tcPr>
          <w:p>
            <w:pPr>
              <w:spacing w:after="60" w:line="245" w:lineRule="auto"/>
            </w:pPr>
            <w:r>
              <w:rPr>
                <w:rFonts w:ascii="Liberation Serif" w:hAnsi="Liberation Serif"/>
                <w:sz w:val="20"/>
              </w:rPr>
              <w:t>T2-35 — Буддийская логика и эпистемология. Исходный статус A, уверенность 5/5.</w:t>
            </w:r>
          </w:p>
        </w:tc>
      </w:tr>
      <w:tr>
        <w:trPr>
          <w:cantSplit/>
        </w:trPr>
        <w:tc>
          <w:tcPr>
            <w:tcW w:type="dxa" w:w="1814"/>
            <w:vAlign w:val="top"/>
            <w:tcMar>
              <w:top w:w="85" w:type="dxa"/>
              <w:left w:w="85" w:type="dxa"/>
              <w:bottom w:w="85" w:type="dxa"/>
              <w:right w:w="85" w:type="dxa"/>
            </w:tcMar>
            <w:shd w:fill="FFFFFF"/>
          </w:tcPr>
          <w:p>
            <w:pPr>
              <w:spacing w:after="60" w:line="245" w:lineRule="auto"/>
            </w:pPr>
            <w:r>
              <w:rPr>
                <w:rFonts w:ascii="Liberation Serif" w:hAnsi="Liberation Serif"/>
                <w:sz w:val="20"/>
              </w:rPr>
              <w:t>Хронология мастер-строки</w:t>
            </w:r>
          </w:p>
        </w:tc>
        <w:tc>
          <w:tcPr>
            <w:tcW w:type="dxa" w:w="7994"/>
            <w:vAlign w:val="top"/>
            <w:tcMar>
              <w:top w:w="85" w:type="dxa"/>
              <w:left w:w="85" w:type="dxa"/>
              <w:bottom w:w="85" w:type="dxa"/>
              <w:right w:w="85" w:type="dxa"/>
            </w:tcMar>
            <w:shd w:fill="FFFFFF"/>
          </w:tcPr>
          <w:p>
            <w:pPr>
              <w:spacing w:after="60" w:line="245" w:lineRule="auto"/>
            </w:pPr>
            <w:r>
              <w:rPr>
                <w:rFonts w:ascii="Liberation Serif" w:hAnsi="Liberation Serif"/>
                <w:sz w:val="20"/>
              </w:rPr>
              <w:t>Формирование V–VII вв.; письменный слой VI–XII вв.; канонизация и комментарий VIII–XV вв. Границы не изменены.</w:t>
            </w:r>
          </w:p>
        </w:tc>
      </w:tr>
      <w:tr>
        <w:trPr>
          <w:cantSplit/>
        </w:trPr>
        <w:tc>
          <w:tcPr>
            <w:tcW w:type="dxa" w:w="1814"/>
            <w:vAlign w:val="top"/>
            <w:tcMar>
              <w:top w:w="85" w:type="dxa"/>
              <w:left w:w="85" w:type="dxa"/>
              <w:bottom w:w="85" w:type="dxa"/>
              <w:right w:w="85" w:type="dxa"/>
            </w:tcMar>
            <w:shd w:fill="F0F5F6"/>
          </w:tcPr>
          <w:p>
            <w:pPr>
              <w:spacing w:after="60" w:line="245" w:lineRule="auto"/>
            </w:pPr>
            <w:r>
              <w:rPr>
                <w:rFonts w:ascii="Liberation Serif" w:hAnsi="Liberation Serif"/>
                <w:sz w:val="20"/>
              </w:rPr>
              <w:t>Исходный DR</w:t>
            </w:r>
          </w:p>
        </w:tc>
        <w:tc>
          <w:tcPr>
            <w:tcW w:type="dxa" w:w="7994"/>
            <w:vAlign w:val="top"/>
            <w:tcMar>
              <w:top w:w="85" w:type="dxa"/>
              <w:left w:w="85" w:type="dxa"/>
              <w:bottom w:w="85" w:type="dxa"/>
              <w:right w:w="85" w:type="dxa"/>
            </w:tcMar>
            <w:shd w:fill="F0F5F6"/>
          </w:tcPr>
          <w:p>
            <w:pPr>
              <w:spacing w:after="60" w:line="245" w:lineRule="auto"/>
            </w:pPr>
            <w:r>
              <w:rPr>
                <w:rFonts w:ascii="Liberation Serif" w:hAnsi="Liberation Serif"/>
                <w:sz w:val="20"/>
              </w:rPr>
              <w:t>ToS Deep Research_ T2-35 — Буддийская логика и эпистемология(1).docx; прежде всего с.1–5, 11–19, 45–50. Документ не редактировался.</w:t>
            </w:r>
          </w:p>
        </w:tc>
      </w:tr>
      <w:tr>
        <w:trPr>
          <w:cantSplit/>
        </w:trPr>
        <w:tc>
          <w:tcPr>
            <w:tcW w:type="dxa" w:w="1814"/>
            <w:vAlign w:val="top"/>
            <w:tcMar>
              <w:top w:w="85" w:type="dxa"/>
              <w:left w:w="85" w:type="dxa"/>
              <w:bottom w:w="85" w:type="dxa"/>
              <w:right w:w="85" w:type="dxa"/>
            </w:tcMar>
            <w:shd w:fill="FFFFFF"/>
          </w:tcPr>
          <w:p>
            <w:pPr>
              <w:spacing w:after="60" w:line="245" w:lineRule="auto"/>
            </w:pPr>
            <w:r>
              <w:rPr>
                <w:rFonts w:ascii="Liberation Serif" w:hAnsi="Liberation Serif"/>
                <w:sz w:val="20"/>
              </w:rPr>
              <w:t>Языки поиска</w:t>
            </w:r>
          </w:p>
        </w:tc>
        <w:tc>
          <w:tcPr>
            <w:tcW w:type="dxa" w:w="7994"/>
            <w:vAlign w:val="top"/>
            <w:tcMar>
              <w:top w:w="85" w:type="dxa"/>
              <w:left w:w="85" w:type="dxa"/>
              <w:bottom w:w="85" w:type="dxa"/>
              <w:right w:w="85" w:type="dxa"/>
            </w:tcMar>
            <w:shd w:fill="FFFFFF"/>
          </w:tcPr>
          <w:p>
            <w:pPr>
              <w:spacing w:after="60" w:line="245" w:lineRule="auto"/>
            </w:pPr>
            <w:r>
              <w:rPr>
                <w:rFonts w:ascii="Liberation Serif" w:hAnsi="Liberation Serif"/>
                <w:sz w:val="20"/>
              </w:rPr>
              <w:t>Английский, русский, санскритские названия в IAST и вариантах транслитерации, тибетский и Wylie, китайский, японский; немецкие названия академических серий.</w:t>
            </w:r>
          </w:p>
        </w:tc>
      </w:tr>
      <w:tr>
        <w:trPr>
          <w:cantSplit/>
        </w:trPr>
        <w:tc>
          <w:tcPr>
            <w:tcW w:type="dxa" w:w="1814"/>
            <w:vAlign w:val="top"/>
            <w:tcMar>
              <w:top w:w="85" w:type="dxa"/>
              <w:left w:w="85" w:type="dxa"/>
              <w:bottom w:w="85" w:type="dxa"/>
              <w:right w:w="85" w:type="dxa"/>
            </w:tcMar>
            <w:shd w:fill="F0F5F6"/>
          </w:tcPr>
          <w:p>
            <w:pPr>
              <w:spacing w:after="60" w:line="245" w:lineRule="auto"/>
            </w:pPr>
            <w:r>
              <w:rPr>
                <w:rFonts w:ascii="Liberation Serif" w:hAnsi="Liberation Serif"/>
                <w:sz w:val="20"/>
              </w:rPr>
              <w:t>Что искалось</w:t>
            </w:r>
          </w:p>
        </w:tc>
        <w:tc>
          <w:tcPr>
            <w:tcW w:type="dxa" w:w="7994"/>
            <w:vAlign w:val="top"/>
            <w:tcMar>
              <w:top w:w="85" w:type="dxa"/>
              <w:left w:w="85" w:type="dxa"/>
              <w:bottom w:w="85" w:type="dxa"/>
              <w:right w:w="85" w:type="dxa"/>
            </w:tcMar>
            <w:shd w:fill="F0F5F6"/>
          </w:tcPr>
          <w:p>
            <w:pPr>
              <w:spacing w:after="60" w:line="245" w:lineRule="auto"/>
            </w:pPr>
            <w:r>
              <w:rPr>
                <w:rFonts w:ascii="Liberation Serif" w:hAnsi="Liberation Serif"/>
                <w:sz w:val="20"/>
              </w:rPr>
              <w:t>Произведения и корпуса, комментарии, переводы и издания, рукописные свидетели, факсимиле, электронные тексты, наборы данных и каталоги.</w:t>
            </w:r>
          </w:p>
        </w:tc>
      </w:tr>
    </w:tbl>
    <w:p>
      <w:r/>
    </w:p>
    <w:p>
      <w:r>
        <w:t>Источники доступа: GRETIL, SARIT, Esukhia, CBETA/NTU, ÖAW/STTAR, университетские библиотеки, J-STAGE, Lotsawa House, издатели, HathiTrust и WorldCat. Идентичность версии проверялась по каталогу, издательской карточке или sourceDesc электронного текста; права — отдельно, по item-level лицензии, TEI availability, PDF и применимым условиям проекта.</w:t>
      </w:r>
    </w:p>
    <w:p>
      <w:r/>
      <w:hyperlink r:id="rId11">
        <w:r>
          <w:rPr>
            <w:color w:val="17628B"/>
            <w:u w:val="single"/>
          </w:rPr>
          <w:t>R001</w:t>
        </w:r>
      </w:hyperlink>
      <w:r>
        <w:t>–</w:t>
      </w:r>
      <w:hyperlink r:id="rId12">
        <w:r>
          <w:rPr>
            <w:color w:val="17628B"/>
            <w:u w:val="single"/>
          </w:rPr>
          <w:t>R089</w:t>
        </w:r>
      </w:hyperlink>
      <w:r>
        <w:t xml:space="preserve"> — сокращённые обозначения записей T2-35-</w:t>
      </w:r>
      <w:hyperlink r:id="rId11">
        <w:r>
          <w:rPr>
            <w:color w:val="17628B"/>
            <w:u w:val="single"/>
          </w:rPr>
          <w:t>R001</w:t>
        </w:r>
      </w:hyperlink>
      <w:r>
        <w:t>–T2-35-</w:t>
      </w:r>
      <w:hyperlink r:id="rId12">
        <w:r>
          <w:rPr>
            <w:color w:val="17628B"/>
            <w:u w:val="single"/>
          </w:rPr>
          <w:t>R089</w:t>
        </w:r>
      </w:hyperlink>
      <w:r>
        <w:t xml:space="preserve"> в XLSX; ссылки в отчёте ведут на страницы соответствующих находок. G001–G028 обозначают пробелы на листе gaps. Неустановленные кандидаты из слабой навигации вынесены в G028, а не объявлены подтверждёнными произведениями.</w:t>
      </w:r>
    </w:p>
    <w:p>
      <w:r>
        <w:br w:type="page"/>
      </w:r>
    </w:p>
    <w:p>
      <w:pPr>
        <w:pStyle w:val="Heading1"/>
      </w:pPr>
      <w:r>
        <w:t>2. Охват корпуса</w:t>
      </w:r>
    </w:p>
    <w:p>
      <w:pPr>
        <w:pStyle w:val="Heading2"/>
      </w:pPr>
      <w:r>
        <w:t>2.1. От исходного DR к проверяемому инвентарю</w:t>
      </w:r>
    </w:p>
    <w:p>
      <w:r>
        <w:t>Из DR взяты четыре центральных комплекса Дигнаги — Pramāṇasamuccaya с vṛtti, Hetucakra, Nyāyamukha, Ālambanaparīkṣā — и семь основных сочинений Дхармакирти: Pramāṇavārttika, Pramāṇaviniścaya, Nyāyabindu, Hetubindu, Vādanyāya, Sambandhaparīkṣā, Saṃtānāntarasiddhi. Отдельно учитываются автокомментарий PVSV, комментарий Джинендрабуддхи к PS, комментарии Дхармоттары, PVA Праджнякарагу́пты и авторские собрания Джнянашримитры и Ратнакирти. Это исходная карта, а не утверждение об одинаковой сохранности всех текстов. [DR, с.11–19.]</w:t>
      </w:r>
    </w:p>
    <w:p>
      <w:r>
        <w:t>Веб-поиск добавил самостоятельные и комментарийные тексты Арчаты, Дурвекамишры, Карнакагомина, Маноратханандина, Джитари, Ашоки и Мокшакарагупты; китайские T1619, T1624–1625, T1628–1630, T1632–1633 и T1840; ранние небуддийские полемические основы; поздние тибетские комментарии и современные переводы. Здесь Ашока — автор средневековых философских трактатов, а не император. [</w:t>
      </w:r>
      <w:hyperlink r:id="rId13">
        <w:r>
          <w:rPr>
            <w:color w:val="17628B"/>
            <w:u w:val="single"/>
          </w:rPr>
          <w:t>R014</w:t>
        </w:r>
      </w:hyperlink>
      <w:r>
        <w:t xml:space="preserve">, </w:t>
      </w:r>
      <w:hyperlink r:id="rId14">
        <w:r>
          <w:rPr>
            <w:color w:val="17628B"/>
            <w:u w:val="single"/>
          </w:rPr>
          <w:t>R016</w:t>
        </w:r>
      </w:hyperlink>
      <w:r>
        <w:t xml:space="preserve">, </w:t>
      </w:r>
      <w:hyperlink r:id="rId15">
        <w:r>
          <w:rPr>
            <w:color w:val="17628B"/>
            <w:u w:val="single"/>
          </w:rPr>
          <w:t>R018</w:t>
        </w:r>
      </w:hyperlink>
      <w:r>
        <w:t xml:space="preserve">, </w:t>
      </w:r>
      <w:hyperlink r:id="rId16">
        <w:r>
          <w:rPr>
            <w:color w:val="17628B"/>
            <w:u w:val="single"/>
          </w:rPr>
          <w:t>R031</w:t>
        </w:r>
      </w:hyperlink>
      <w:r>
        <w:t xml:space="preserve">, </w:t>
      </w:r>
      <w:hyperlink r:id="rId17">
        <w:r>
          <w:rPr>
            <w:color w:val="17628B"/>
            <w:u w:val="single"/>
          </w:rPr>
          <w:t>R034</w:t>
        </w:r>
      </w:hyperlink>
      <w:r>
        <w:t xml:space="preserve">, </w:t>
      </w:r>
      <w:hyperlink r:id="rId18">
        <w:r>
          <w:rPr>
            <w:color w:val="17628B"/>
            <w:u w:val="single"/>
          </w:rPr>
          <w:t>R039</w:t>
        </w:r>
      </w:hyperlink>
      <w:r>
        <w:t xml:space="preserve">, </w:t>
      </w:r>
      <w:hyperlink r:id="rId19">
        <w:r>
          <w:rPr>
            <w:color w:val="17628B"/>
            <w:u w:val="single"/>
          </w:rPr>
          <w:t>R040</w:t>
        </w:r>
      </w:hyperlink>
      <w:r>
        <w:t xml:space="preserve">, </w:t>
      </w:r>
      <w:hyperlink r:id="rId20">
        <w:r>
          <w:rPr>
            <w:color w:val="17628B"/>
            <w:u w:val="single"/>
          </w:rPr>
          <w:t>R047</w:t>
        </w:r>
      </w:hyperlink>
      <w:r>
        <w:t xml:space="preserve">, </w:t>
      </w:r>
      <w:hyperlink r:id="rId21">
        <w:r>
          <w:rPr>
            <w:color w:val="17628B"/>
            <w:u w:val="single"/>
          </w:rPr>
          <w:t>R064</w:t>
        </w:r>
      </w:hyperlink>
      <w:r>
        <w:t xml:space="preserve">, </w:t>
      </w:r>
      <w:hyperlink r:id="rId22">
        <w:r>
          <w:rPr>
            <w:color w:val="17628B"/>
            <w:u w:val="single"/>
          </w:rPr>
          <w:t>R066</w:t>
        </w:r>
      </w:hyperlink>
      <w:r>
        <w:t xml:space="preserve">, </w:t>
      </w:r>
      <w:hyperlink r:id="rId23">
        <w:r>
          <w:rPr>
            <w:color w:val="17628B"/>
            <w:u w:val="single"/>
          </w:rPr>
          <w:t>R067</w:t>
        </w:r>
      </w:hyperlink>
      <w:r>
        <w:t>.]</w:t>
      </w:r>
    </w:p>
    <w:tbl>
      <w:tblPr>
        <w:tblW w:type="auto" w:w="0"/>
        <w:jc w:val="center"/>
        <w:tblLayout w:type="fixed"/>
        <w:tblLook w:firstColumn="1" w:firstRow="1" w:lastColumn="0" w:lastRow="0" w:noHBand="0" w:noVBand="1" w:val="04A0"/>
      </w:tblPr>
      <w:tblGrid>
        <w:gridCol w:w="1701"/>
        <w:gridCol w:w="5102"/>
        <w:gridCol w:w="3005"/>
      </w:tblGrid>
      <w:tr>
        <w:trPr>
          <w:tblHeader/>
          <w:cantSplit/>
        </w:trPr>
        <w:tc>
          <w:tcPr>
            <w:tcW w:type="dxa" w:w="1701"/>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Содержательный круг</w:t>
            </w:r>
          </w:p>
        </w:tc>
        <w:tc>
          <w:tcPr>
            <w:tcW w:type="dxa" w:w="5102"/>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Что реально найдено</w:t>
            </w:r>
          </w:p>
        </w:tc>
        <w:tc>
          <w:tcPr>
            <w:tcW w:type="dxa" w:w="3005"/>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Опорные записи</w:t>
            </w:r>
          </w:p>
        </w:tc>
      </w:tr>
      <w:tr>
        <w:trPr>
          <w:cantSplit/>
        </w:trPr>
        <w:tc>
          <w:tcPr>
            <w:tcW w:type="dxa" w:w="1701"/>
            <w:vAlign w:val="top"/>
            <w:tcMar>
              <w:top w:w="85" w:type="dxa"/>
              <w:left w:w="85" w:type="dxa"/>
              <w:bottom w:w="85" w:type="dxa"/>
              <w:right w:w="85" w:type="dxa"/>
            </w:tcMar>
            <w:shd w:fill="F0F5F6"/>
          </w:tcPr>
          <w:p>
            <w:pPr>
              <w:spacing w:after="60" w:line="245" w:lineRule="auto"/>
            </w:pPr>
            <w:r>
              <w:rPr>
                <w:rFonts w:ascii="Liberation Serif" w:hAnsi="Liberation Serif"/>
                <w:sz w:val="20"/>
              </w:rPr>
              <w:t>Дигнага</w:t>
            </w:r>
          </w:p>
        </w:tc>
        <w:tc>
          <w:tcPr>
            <w:tcW w:type="dxa" w:w="5102"/>
            <w:vAlign w:val="top"/>
            <w:tcMar>
              <w:top w:w="85" w:type="dxa"/>
              <w:left w:w="85" w:type="dxa"/>
              <w:bottom w:w="85" w:type="dxa"/>
              <w:right w:w="85" w:type="dxa"/>
            </w:tcMar>
            <w:shd w:fill="F0F5F6"/>
          </w:tcPr>
          <w:p>
            <w:pPr>
              <w:spacing w:after="60" w:line="245" w:lineRule="auto"/>
            </w:pPr>
            <w:r>
              <w:rPr>
                <w:rFonts w:ascii="Liberation Serif" w:hAnsi="Liberation Serif"/>
                <w:sz w:val="20"/>
              </w:rPr>
              <w:t>Тибетский корпусный вход; реконструкции PS I и V; переводы отдельных глав; две китайские Nyāyamukha; многоязычная Ālambanaparīkṣā; Hetucakra.</w:t>
            </w:r>
          </w:p>
        </w:tc>
        <w:tc>
          <w:tcPr>
            <w:tcW w:type="dxa" w:w="3005"/>
            <w:vAlign w:val="top"/>
            <w:tcMar>
              <w:top w:w="85" w:type="dxa"/>
              <w:left w:w="85" w:type="dxa"/>
              <w:bottom w:w="85" w:type="dxa"/>
              <w:right w:w="85" w:type="dxa"/>
            </w:tcMar>
            <w:shd w:fill="F0F5F6"/>
          </w:tcPr>
          <w:p>
            <w:pPr>
              <w:spacing w:after="60" w:line="245" w:lineRule="auto"/>
            </w:pPr>
            <w:r>
              <w:rPr>
                <w:rFonts w:ascii="Liberation Serif" w:hAnsi="Liberation Serif"/>
                <w:sz w:val="20"/>
              </w:rPr>
            </w:r>
            <w:hyperlink r:id="rId24">
              <w:r>
                <w:rPr>
                  <w:color w:val="17628B"/>
                  <w:u w:val="single"/>
                </w:rPr>
                <w:t>R010</w:t>
              </w:r>
            </w:hyperlink>
            <w:r>
              <w:rPr>
                <w:rFonts w:ascii="Liberation Serif" w:hAnsi="Liberation Serif"/>
                <w:sz w:val="20"/>
              </w:rPr>
              <w:t xml:space="preserve">, </w:t>
            </w:r>
            <w:hyperlink r:id="rId25">
              <w:r>
                <w:rPr>
                  <w:color w:val="17628B"/>
                  <w:u w:val="single"/>
                </w:rPr>
                <w:t>R019</w:t>
              </w:r>
            </w:hyperlink>
            <w:r>
              <w:rPr>
                <w:rFonts w:ascii="Liberation Serif" w:hAnsi="Liberation Serif"/>
                <w:sz w:val="20"/>
              </w:rPr>
              <w:t xml:space="preserve">, </w:t>
            </w:r>
            <w:hyperlink r:id="rId19">
              <w:r>
                <w:rPr>
                  <w:color w:val="17628B"/>
                  <w:u w:val="single"/>
                </w:rPr>
                <w:t>R040</w:t>
              </w:r>
            </w:hyperlink>
            <w:r>
              <w:rPr>
                <w:rFonts w:ascii="Liberation Serif" w:hAnsi="Liberation Serif"/>
                <w:sz w:val="20"/>
              </w:rPr>
              <w:t xml:space="preserve">, </w:t>
            </w:r>
            <w:hyperlink r:id="rId26">
              <w:r>
                <w:rPr>
                  <w:color w:val="17628B"/>
                  <w:u w:val="single"/>
                </w:rPr>
                <w:t>R041</w:t>
              </w:r>
            </w:hyperlink>
            <w:r>
              <w:rPr>
                <w:rFonts w:ascii="Liberation Serif" w:hAnsi="Liberation Serif"/>
                <w:sz w:val="20"/>
              </w:rPr>
              <w:t xml:space="preserve">, </w:t>
            </w:r>
            <w:hyperlink r:id="rId27">
              <w:r>
                <w:rPr>
                  <w:color w:val="17628B"/>
                  <w:u w:val="single"/>
                </w:rPr>
                <w:t>R043</w:t>
              </w:r>
            </w:hyperlink>
            <w:r>
              <w:rPr>
                <w:rFonts w:ascii="Liberation Serif" w:hAnsi="Liberation Serif"/>
                <w:sz w:val="20"/>
              </w:rPr>
              <w:t xml:space="preserve">, </w:t>
            </w:r>
            <w:hyperlink r:id="rId28">
              <w:r>
                <w:rPr>
                  <w:color w:val="17628B"/>
                  <w:u w:val="single"/>
                </w:rPr>
                <w:t>R049</w:t>
              </w:r>
            </w:hyperlink>
            <w:r>
              <w:rPr>
                <w:rFonts w:ascii="Liberation Serif" w:hAnsi="Liberation Serif"/>
                <w:sz w:val="20"/>
              </w:rPr>
              <w:t xml:space="preserve">, </w:t>
            </w:r>
            <w:hyperlink r:id="rId29">
              <w:r>
                <w:rPr>
                  <w:color w:val="17628B"/>
                  <w:u w:val="single"/>
                </w:rPr>
                <w:t>R055</w:t>
              </w:r>
            </w:hyperlink>
            <w:r>
              <w:rPr>
                <w:rFonts w:ascii="Liberation Serif" w:hAnsi="Liberation Serif"/>
                <w:sz w:val="20"/>
              </w:rPr>
              <w:t xml:space="preserve">, </w:t>
            </w:r>
            <w:hyperlink r:id="rId30">
              <w:r>
                <w:rPr>
                  <w:color w:val="17628B"/>
                  <w:u w:val="single"/>
                </w:rPr>
                <w:t>R057</w:t>
              </w:r>
            </w:hyperlink>
            <w:r>
              <w:rPr>
                <w:rFonts w:ascii="Liberation Serif" w:hAnsi="Liberation Serif"/>
                <w:sz w:val="20"/>
              </w:rPr>
              <w:t xml:space="preserve">, </w:t>
            </w:r>
            <w:hyperlink r:id="rId31">
              <w:r>
                <w:rPr>
                  <w:color w:val="17628B"/>
                  <w:u w:val="single"/>
                </w:rPr>
                <w:t>R058</w:t>
              </w:r>
            </w:hyperlink>
            <w:r>
              <w:rPr>
                <w:rFonts w:ascii="Liberation Serif" w:hAnsi="Liberation Serif"/>
                <w:sz w:val="20"/>
              </w:rPr>
              <w:t xml:space="preserve">, </w:t>
            </w:r>
            <w:hyperlink r:id="rId32">
              <w:r>
                <w:rPr>
                  <w:color w:val="17628B"/>
                  <w:u w:val="single"/>
                </w:rPr>
                <w:t>R084</w:t>
              </w:r>
            </w:hyperlink>
            <w:r>
              <w:rPr>
                <w:rFonts w:ascii="Liberation Serif" w:hAnsi="Liberation Serif"/>
                <w:sz w:val="20"/>
              </w:rPr>
            </w:r>
          </w:p>
        </w:tc>
      </w:tr>
      <w:tr>
        <w:trPr>
          <w:cantSplit/>
        </w:trPr>
        <w:tc>
          <w:tcPr>
            <w:tcW w:type="dxa" w:w="1701"/>
            <w:vAlign w:val="top"/>
            <w:tcMar>
              <w:top w:w="85" w:type="dxa"/>
              <w:left w:w="85" w:type="dxa"/>
              <w:bottom w:w="85" w:type="dxa"/>
              <w:right w:w="85" w:type="dxa"/>
            </w:tcMar>
            <w:shd w:fill="FFFFFF"/>
          </w:tcPr>
          <w:p>
            <w:pPr>
              <w:spacing w:after="60" w:line="245" w:lineRule="auto"/>
            </w:pPr>
            <w:r>
              <w:rPr>
                <w:rFonts w:ascii="Liberation Serif" w:hAnsi="Liberation Serif"/>
                <w:sz w:val="20"/>
              </w:rPr>
              <w:t>Дхармакирти</w:t>
            </w:r>
          </w:p>
        </w:tc>
        <w:tc>
          <w:tcPr>
            <w:tcW w:type="dxa" w:w="5102"/>
            <w:vAlign w:val="top"/>
            <w:tcMar>
              <w:top w:w="85" w:type="dxa"/>
              <w:left w:w="85" w:type="dxa"/>
              <w:bottom w:w="85" w:type="dxa"/>
              <w:right w:w="85" w:type="dxa"/>
            </w:tcMar>
            <w:shd w:fill="FFFFFF"/>
          </w:tcPr>
          <w:p>
            <w:pPr>
              <w:spacing w:after="60" w:line="245" w:lineRule="auto"/>
            </w:pPr>
            <w:r>
              <w:rPr>
                <w:rFonts w:ascii="Liberation Serif" w:hAnsi="Liberation Serif"/>
                <w:sz w:val="20"/>
              </w:rPr>
              <w:t>Санскритские e-text, две части PV, PVSV, малые трактаты; новый санскрит HB и PVini через академические издания; тибетская сохранность.</w:t>
            </w:r>
          </w:p>
        </w:tc>
        <w:tc>
          <w:tcPr>
            <w:tcW w:type="dxa" w:w="3005"/>
            <w:vAlign w:val="top"/>
            <w:tcMar>
              <w:top w:w="85" w:type="dxa"/>
              <w:left w:w="85" w:type="dxa"/>
              <w:bottom w:w="85" w:type="dxa"/>
              <w:right w:w="85" w:type="dxa"/>
            </w:tcMar>
            <w:shd w:fill="FFFFFF"/>
          </w:tcPr>
          <w:p>
            <w:pPr>
              <w:spacing w:after="60" w:line="245" w:lineRule="auto"/>
            </w:pPr>
            <w:r>
              <w:rPr>
                <w:rFonts w:ascii="Liberation Serif" w:hAnsi="Liberation Serif"/>
                <w:sz w:val="20"/>
              </w:rPr>
            </w:r>
            <w:hyperlink r:id="rId11">
              <w:r>
                <w:rPr>
                  <w:color w:val="17628B"/>
                  <w:u w:val="single"/>
                </w:rPr>
                <w:t>R001</w:t>
              </w:r>
            </w:hyperlink>
            <w:r>
              <w:rPr>
                <w:rFonts w:ascii="Liberation Serif" w:hAnsi="Liberation Serif"/>
                <w:sz w:val="20"/>
              </w:rPr>
              <w:t xml:space="preserve">, </w:t>
            </w:r>
            <w:hyperlink r:id="rId33">
              <w:r>
                <w:rPr>
                  <w:color w:val="17628B"/>
                  <w:u w:val="single"/>
                </w:rPr>
                <w:t>R002</w:t>
              </w:r>
            </w:hyperlink>
            <w:r>
              <w:rPr>
                <w:rFonts w:ascii="Liberation Serif" w:hAnsi="Liberation Serif"/>
                <w:sz w:val="20"/>
              </w:rPr>
              <w:t xml:space="preserve">, </w:t>
            </w:r>
            <w:hyperlink r:id="rId34">
              <w:r>
                <w:rPr>
                  <w:color w:val="17628B"/>
                  <w:u w:val="single"/>
                </w:rPr>
                <w:t>R003</w:t>
              </w:r>
            </w:hyperlink>
            <w:r>
              <w:rPr>
                <w:rFonts w:ascii="Liberation Serif" w:hAnsi="Liberation Serif"/>
                <w:sz w:val="20"/>
              </w:rPr>
              <w:t xml:space="preserve">, </w:t>
            </w:r>
            <w:hyperlink r:id="rId35">
              <w:r>
                <w:rPr>
                  <w:color w:val="17628B"/>
                  <w:u w:val="single"/>
                </w:rPr>
                <w:t>R004</w:t>
              </w:r>
            </w:hyperlink>
            <w:r>
              <w:rPr>
                <w:rFonts w:ascii="Liberation Serif" w:hAnsi="Liberation Serif"/>
                <w:sz w:val="20"/>
              </w:rPr>
              <w:t xml:space="preserve">, </w:t>
            </w:r>
            <w:hyperlink r:id="rId36">
              <w:r>
                <w:rPr>
                  <w:color w:val="17628B"/>
                  <w:u w:val="single"/>
                </w:rPr>
                <w:t>R005</w:t>
              </w:r>
            </w:hyperlink>
            <w:r>
              <w:rPr>
                <w:rFonts w:ascii="Liberation Serif" w:hAnsi="Liberation Serif"/>
                <w:sz w:val="20"/>
              </w:rPr>
              <w:t xml:space="preserve">, </w:t>
            </w:r>
            <w:hyperlink r:id="rId37">
              <w:r>
                <w:rPr>
                  <w:color w:val="17628B"/>
                  <w:u w:val="single"/>
                </w:rPr>
                <w:t>R006</w:t>
              </w:r>
            </w:hyperlink>
            <w:r>
              <w:rPr>
                <w:rFonts w:ascii="Liberation Serif" w:hAnsi="Liberation Serif"/>
                <w:sz w:val="20"/>
              </w:rPr>
              <w:t xml:space="preserve">, </w:t>
            </w:r>
            <w:hyperlink r:id="rId38">
              <w:r>
                <w:rPr>
                  <w:color w:val="17628B"/>
                  <w:u w:val="single"/>
                </w:rPr>
                <w:t>R008</w:t>
              </w:r>
            </w:hyperlink>
            <w:r>
              <w:rPr>
                <w:rFonts w:ascii="Liberation Serif" w:hAnsi="Liberation Serif"/>
                <w:sz w:val="20"/>
              </w:rPr>
              <w:t xml:space="preserve">, </w:t>
            </w:r>
            <w:hyperlink r:id="rId39">
              <w:r>
                <w:rPr>
                  <w:color w:val="17628B"/>
                  <w:u w:val="single"/>
                </w:rPr>
                <w:t>R020</w:t>
              </w:r>
            </w:hyperlink>
            <w:r>
              <w:rPr>
                <w:rFonts w:ascii="Liberation Serif" w:hAnsi="Liberation Serif"/>
                <w:sz w:val="20"/>
              </w:rPr>
              <w:t xml:space="preserve">, </w:t>
            </w:r>
            <w:hyperlink r:id="rId40">
              <w:r>
                <w:rPr>
                  <w:color w:val="17628B"/>
                  <w:u w:val="single"/>
                </w:rPr>
                <w:t>R021</w:t>
              </w:r>
            </w:hyperlink>
            <w:r>
              <w:rPr>
                <w:rFonts w:ascii="Liberation Serif" w:hAnsi="Liberation Serif"/>
                <w:sz w:val="20"/>
              </w:rPr>
              <w:t xml:space="preserve">, </w:t>
            </w:r>
            <w:hyperlink r:id="rId41">
              <w:r>
                <w:rPr>
                  <w:color w:val="17628B"/>
                  <w:u w:val="single"/>
                </w:rPr>
                <w:t>R022</w:t>
              </w:r>
            </w:hyperlink>
            <w:r>
              <w:rPr>
                <w:rFonts w:ascii="Liberation Serif" w:hAnsi="Liberation Serif"/>
                <w:sz w:val="20"/>
              </w:rPr>
              <w:t xml:space="preserve">, </w:t>
            </w:r>
            <w:hyperlink r:id="rId29">
              <w:r>
                <w:rPr>
                  <w:color w:val="17628B"/>
                  <w:u w:val="single"/>
                </w:rPr>
                <w:t>R055</w:t>
              </w:r>
            </w:hyperlink>
            <w:r>
              <w:rPr>
                <w:rFonts w:ascii="Liberation Serif" w:hAnsi="Liberation Serif"/>
                <w:sz w:val="20"/>
              </w:rPr>
            </w:r>
          </w:p>
        </w:tc>
      </w:tr>
      <w:tr>
        <w:trPr>
          <w:cantSplit/>
        </w:trPr>
        <w:tc>
          <w:tcPr>
            <w:tcW w:type="dxa" w:w="1701"/>
            <w:vAlign w:val="top"/>
            <w:tcMar>
              <w:top w:w="85" w:type="dxa"/>
              <w:left w:w="85" w:type="dxa"/>
              <w:bottom w:w="85" w:type="dxa"/>
              <w:right w:w="85" w:type="dxa"/>
            </w:tcMar>
            <w:shd w:fill="F0F5F6"/>
          </w:tcPr>
          <w:p>
            <w:pPr>
              <w:spacing w:after="60" w:line="245" w:lineRule="auto"/>
            </w:pPr>
            <w:r>
              <w:rPr>
                <w:rFonts w:ascii="Liberation Serif" w:hAnsi="Liberation Serif"/>
                <w:sz w:val="20"/>
              </w:rPr>
              <w:t>Индийская экзегеза</w:t>
            </w:r>
          </w:p>
        </w:tc>
        <w:tc>
          <w:tcPr>
            <w:tcW w:type="dxa" w:w="5102"/>
            <w:vAlign w:val="top"/>
            <w:tcMar>
              <w:top w:w="85" w:type="dxa"/>
              <w:left w:w="85" w:type="dxa"/>
              <w:bottom w:w="85" w:type="dxa"/>
              <w:right w:w="85" w:type="dxa"/>
            </w:tcMar>
            <w:shd w:fill="F0F5F6"/>
          </w:tcPr>
          <w:p>
            <w:pPr>
              <w:spacing w:after="60" w:line="245" w:lineRule="auto"/>
            </w:pPr>
            <w:r>
              <w:rPr>
                <w:rFonts w:ascii="Liberation Serif" w:hAnsi="Liberation Serif"/>
                <w:sz w:val="20"/>
              </w:rPr>
              <w:t>PSṭ I, II, VI; NBT и субкомментарии; PVv, PVSVṭ, VNṭ, HBT/HBTāloka; открытые современные фрагменты PVA.</w:t>
            </w:r>
          </w:p>
        </w:tc>
        <w:tc>
          <w:tcPr>
            <w:tcW w:type="dxa" w:w="3005"/>
            <w:vAlign w:val="top"/>
            <w:tcMar>
              <w:top w:w="85" w:type="dxa"/>
              <w:left w:w="85" w:type="dxa"/>
              <w:bottom w:w="85" w:type="dxa"/>
              <w:right w:w="85" w:type="dxa"/>
            </w:tcMar>
            <w:shd w:fill="F0F5F6"/>
          </w:tcPr>
          <w:p>
            <w:pPr>
              <w:spacing w:after="60" w:line="245" w:lineRule="auto"/>
            </w:pPr>
            <w:r>
              <w:rPr>
                <w:rFonts w:ascii="Liberation Serif" w:hAnsi="Liberation Serif"/>
                <w:sz w:val="20"/>
              </w:rPr>
            </w:r>
            <w:hyperlink r:id="rId13">
              <w:r>
                <w:rPr>
                  <w:color w:val="17628B"/>
                  <w:u w:val="single"/>
                </w:rPr>
                <w:t>R014</w:t>
              </w:r>
            </w:hyperlink>
            <w:r>
              <w:rPr>
                <w:rFonts w:ascii="Liberation Serif" w:hAnsi="Liberation Serif"/>
                <w:sz w:val="20"/>
              </w:rPr>
              <w:t xml:space="preserve">, </w:t>
            </w:r>
            <w:hyperlink r:id="rId42">
              <w:r>
                <w:rPr>
                  <w:color w:val="17628B"/>
                  <w:u w:val="single"/>
                </w:rPr>
                <w:t>R015</w:t>
              </w:r>
            </w:hyperlink>
            <w:r>
              <w:rPr>
                <w:rFonts w:ascii="Liberation Serif" w:hAnsi="Liberation Serif"/>
                <w:sz w:val="20"/>
              </w:rPr>
              <w:t xml:space="preserve">, </w:t>
            </w:r>
            <w:hyperlink r:id="rId14">
              <w:r>
                <w:rPr>
                  <w:color w:val="17628B"/>
                  <w:u w:val="single"/>
                </w:rPr>
                <w:t>R016</w:t>
              </w:r>
            </w:hyperlink>
            <w:r>
              <w:rPr>
                <w:rFonts w:ascii="Liberation Serif" w:hAnsi="Liberation Serif"/>
                <w:sz w:val="20"/>
              </w:rPr>
              <w:t xml:space="preserve">, </w:t>
            </w:r>
            <w:hyperlink r:id="rId43">
              <w:r>
                <w:rPr>
                  <w:color w:val="17628B"/>
                  <w:u w:val="single"/>
                </w:rPr>
                <w:t>R017</w:t>
              </w:r>
            </w:hyperlink>
            <w:r>
              <w:rPr>
                <w:rFonts w:ascii="Liberation Serif" w:hAnsi="Liberation Serif"/>
                <w:sz w:val="20"/>
              </w:rPr>
              <w:t xml:space="preserve">, </w:t>
            </w:r>
            <w:hyperlink r:id="rId15">
              <w:r>
                <w:rPr>
                  <w:color w:val="17628B"/>
                  <w:u w:val="single"/>
                </w:rPr>
                <w:t>R018</w:t>
              </w:r>
            </w:hyperlink>
            <w:r>
              <w:rPr>
                <w:rFonts w:ascii="Liberation Serif" w:hAnsi="Liberation Serif"/>
                <w:sz w:val="20"/>
              </w:rPr>
              <w:t xml:space="preserve">, </w:t>
            </w:r>
            <w:hyperlink r:id="rId44">
              <w:r>
                <w:rPr>
                  <w:color w:val="17628B"/>
                  <w:u w:val="single"/>
                </w:rPr>
                <w:t>R023</w:t>
              </w:r>
            </w:hyperlink>
            <w:r>
              <w:rPr>
                <w:rFonts w:ascii="Liberation Serif" w:hAnsi="Liberation Serif"/>
                <w:sz w:val="20"/>
              </w:rPr>
              <w:t xml:space="preserve">, </w:t>
            </w:r>
            <w:hyperlink r:id="rId45">
              <w:r>
                <w:rPr>
                  <w:color w:val="17628B"/>
                  <w:u w:val="single"/>
                </w:rPr>
                <w:t>R024</w:t>
              </w:r>
            </w:hyperlink>
            <w:r>
              <w:rPr>
                <w:rFonts w:ascii="Liberation Serif" w:hAnsi="Liberation Serif"/>
                <w:sz w:val="20"/>
              </w:rPr>
              <w:t xml:space="preserve">, </w:t>
            </w:r>
            <w:hyperlink r:id="rId46">
              <w:r>
                <w:rPr>
                  <w:color w:val="17628B"/>
                  <w:u w:val="single"/>
                </w:rPr>
                <w:t>R025</w:t>
              </w:r>
            </w:hyperlink>
            <w:r>
              <w:rPr>
                <w:rFonts w:ascii="Liberation Serif" w:hAnsi="Liberation Serif"/>
                <w:sz w:val="20"/>
              </w:rPr>
              <w:t xml:space="preserve">, </w:t>
            </w:r>
            <w:hyperlink r:id="rId47">
              <w:r>
                <w:rPr>
                  <w:color w:val="17628B"/>
                  <w:u w:val="single"/>
                </w:rPr>
                <w:t>R030</w:t>
              </w:r>
            </w:hyperlink>
            <w:r>
              <w:rPr>
                <w:rFonts w:ascii="Liberation Serif" w:hAnsi="Liberation Serif"/>
                <w:sz w:val="20"/>
              </w:rPr>
              <w:t xml:space="preserve">, </w:t>
            </w:r>
            <w:hyperlink r:id="rId21">
              <w:r>
                <w:rPr>
                  <w:color w:val="17628B"/>
                  <w:u w:val="single"/>
                </w:rPr>
                <w:t>R064</w:t>
              </w:r>
            </w:hyperlink>
            <w:r>
              <w:rPr>
                <w:rFonts w:ascii="Liberation Serif" w:hAnsi="Liberation Serif"/>
                <w:sz w:val="20"/>
              </w:rPr>
              <w:t xml:space="preserve">, </w:t>
            </w:r>
            <w:hyperlink r:id="rId22">
              <w:r>
                <w:rPr>
                  <w:color w:val="17628B"/>
                  <w:u w:val="single"/>
                </w:rPr>
                <w:t>R066</w:t>
              </w:r>
            </w:hyperlink>
            <w:r>
              <w:rPr>
                <w:rFonts w:ascii="Liberation Serif" w:hAnsi="Liberation Serif"/>
                <w:sz w:val="20"/>
              </w:rPr>
              <w:t xml:space="preserve">, </w:t>
            </w:r>
            <w:hyperlink r:id="rId48">
              <w:r>
                <w:rPr>
                  <w:color w:val="17628B"/>
                  <w:u w:val="single"/>
                </w:rPr>
                <w:t>R073</w:t>
              </w:r>
            </w:hyperlink>
            <w:r>
              <w:rPr>
                <w:rFonts w:ascii="Liberation Serif" w:hAnsi="Liberation Serif"/>
                <w:sz w:val="20"/>
              </w:rPr>
              <w:t xml:space="preserve">, </w:t>
            </w:r>
            <w:hyperlink r:id="rId49">
              <w:r>
                <w:rPr>
                  <w:color w:val="17628B"/>
                  <w:u w:val="single"/>
                </w:rPr>
                <w:t>R074</w:t>
              </w:r>
            </w:hyperlink>
            <w:r>
              <w:rPr>
                <w:rFonts w:ascii="Liberation Serif" w:hAnsi="Liberation Serif"/>
                <w:sz w:val="20"/>
              </w:rPr>
            </w:r>
          </w:p>
        </w:tc>
      </w:tr>
      <w:tr>
        <w:trPr>
          <w:cantSplit/>
        </w:trPr>
        <w:tc>
          <w:tcPr>
            <w:tcW w:type="dxa" w:w="1701"/>
            <w:vAlign w:val="top"/>
            <w:tcMar>
              <w:top w:w="85" w:type="dxa"/>
              <w:left w:w="85" w:type="dxa"/>
              <w:bottom w:w="85" w:type="dxa"/>
              <w:right w:w="85" w:type="dxa"/>
            </w:tcMar>
            <w:shd w:fill="FFFFFF"/>
          </w:tcPr>
          <w:p>
            <w:pPr>
              <w:spacing w:after="60" w:line="245" w:lineRule="auto"/>
            </w:pPr>
            <w:r>
              <w:rPr>
                <w:rFonts w:ascii="Liberation Serif" w:hAnsi="Liberation Serif"/>
                <w:sz w:val="20"/>
              </w:rPr>
              <w:t>Поздние авторские корпуса</w:t>
            </w:r>
          </w:p>
        </w:tc>
        <w:tc>
          <w:tcPr>
            <w:tcW w:type="dxa" w:w="5102"/>
            <w:vAlign w:val="top"/>
            <w:tcMar>
              <w:top w:w="85" w:type="dxa"/>
              <w:left w:w="85" w:type="dxa"/>
              <w:bottom w:w="85" w:type="dxa"/>
              <w:right w:w="85" w:type="dxa"/>
            </w:tcMar>
            <w:shd w:fill="FFFFFF"/>
          </w:tcPr>
          <w:p>
            <w:pPr>
              <w:spacing w:after="60" w:line="245" w:lineRule="auto"/>
            </w:pPr>
            <w:r>
              <w:rPr>
                <w:rFonts w:ascii="Liberation Serif" w:hAnsi="Liberation Serif"/>
                <w:sz w:val="20"/>
              </w:rPr>
              <w:t>Два электронных собрания; отдельные современные переводы apoha-трактатов; тексты Джитари, Ашоки и учебно-дебатной линии.</w:t>
            </w:r>
          </w:p>
        </w:tc>
        <w:tc>
          <w:tcPr>
            <w:tcW w:type="dxa" w:w="3005"/>
            <w:vAlign w:val="top"/>
            <w:tcMar>
              <w:top w:w="85" w:type="dxa"/>
              <w:left w:w="85" w:type="dxa"/>
              <w:bottom w:w="85" w:type="dxa"/>
              <w:right w:w="85" w:type="dxa"/>
            </w:tcMar>
            <w:shd w:fill="FFFFFF"/>
          </w:tcPr>
          <w:p>
            <w:pPr>
              <w:spacing w:after="60" w:line="245" w:lineRule="auto"/>
            </w:pPr>
            <w:r>
              <w:rPr>
                <w:rFonts w:ascii="Liberation Serif" w:hAnsi="Liberation Serif"/>
                <w:sz w:val="20"/>
              </w:rPr>
            </w:r>
            <w:hyperlink r:id="rId50">
              <w:r>
                <w:rPr>
                  <w:color w:val="17628B"/>
                  <w:u w:val="single"/>
                </w:rPr>
                <w:t>R012</w:t>
              </w:r>
            </w:hyperlink>
            <w:r>
              <w:rPr>
                <w:rFonts w:ascii="Liberation Serif" w:hAnsi="Liberation Serif"/>
                <w:sz w:val="20"/>
              </w:rPr>
              <w:t xml:space="preserve">, </w:t>
            </w:r>
            <w:hyperlink r:id="rId51">
              <w:r>
                <w:rPr>
                  <w:color w:val="17628B"/>
                  <w:u w:val="single"/>
                </w:rPr>
                <w:t>R013</w:t>
              </w:r>
            </w:hyperlink>
            <w:r>
              <w:rPr>
                <w:rFonts w:ascii="Liberation Serif" w:hAnsi="Liberation Serif"/>
                <w:sz w:val="20"/>
              </w:rPr>
              <w:t xml:space="preserve">, </w:t>
            </w:r>
            <w:hyperlink r:id="rId52">
              <w:r>
                <w:rPr>
                  <w:color w:val="17628B"/>
                  <w:u w:val="single"/>
                </w:rPr>
                <w:t>R028</w:t>
              </w:r>
            </w:hyperlink>
            <w:r>
              <w:rPr>
                <w:rFonts w:ascii="Liberation Serif" w:hAnsi="Liberation Serif"/>
                <w:sz w:val="20"/>
              </w:rPr>
              <w:t xml:space="preserve">, </w:t>
            </w:r>
            <w:hyperlink r:id="rId16">
              <w:r>
                <w:rPr>
                  <w:color w:val="17628B"/>
                  <w:u w:val="single"/>
                </w:rPr>
                <w:t>R031</w:t>
              </w:r>
            </w:hyperlink>
            <w:r>
              <w:rPr>
                <w:rFonts w:ascii="Liberation Serif" w:hAnsi="Liberation Serif"/>
                <w:sz w:val="20"/>
              </w:rPr>
              <w:t xml:space="preserve">, </w:t>
            </w:r>
            <w:hyperlink r:id="rId53">
              <w:r>
                <w:rPr>
                  <w:color w:val="17628B"/>
                  <w:u w:val="single"/>
                </w:rPr>
                <w:t>R032</w:t>
              </w:r>
            </w:hyperlink>
            <w:r>
              <w:rPr>
                <w:rFonts w:ascii="Liberation Serif" w:hAnsi="Liberation Serif"/>
                <w:sz w:val="20"/>
              </w:rPr>
              <w:t xml:space="preserve">, </w:t>
            </w:r>
            <w:hyperlink r:id="rId54">
              <w:r>
                <w:rPr>
                  <w:color w:val="17628B"/>
                  <w:u w:val="single"/>
                </w:rPr>
                <w:t>R033</w:t>
              </w:r>
            </w:hyperlink>
            <w:r>
              <w:rPr>
                <w:rFonts w:ascii="Liberation Serif" w:hAnsi="Liberation Serif"/>
                <w:sz w:val="20"/>
              </w:rPr>
              <w:t xml:space="preserve">, </w:t>
            </w:r>
            <w:hyperlink r:id="rId17">
              <w:r>
                <w:rPr>
                  <w:color w:val="17628B"/>
                  <w:u w:val="single"/>
                </w:rPr>
                <w:t>R034</w:t>
              </w:r>
            </w:hyperlink>
            <w:r>
              <w:rPr>
                <w:rFonts w:ascii="Liberation Serif" w:hAnsi="Liberation Serif"/>
                <w:sz w:val="20"/>
              </w:rPr>
              <w:t xml:space="preserve">, </w:t>
            </w:r>
            <w:hyperlink r:id="rId55">
              <w:r>
                <w:rPr>
                  <w:color w:val="17628B"/>
                  <w:u w:val="single"/>
                </w:rPr>
                <w:t>R037</w:t>
              </w:r>
            </w:hyperlink>
            <w:r>
              <w:rPr>
                <w:rFonts w:ascii="Liberation Serif" w:hAnsi="Liberation Serif"/>
                <w:sz w:val="20"/>
              </w:rPr>
              <w:t xml:space="preserve">, </w:t>
            </w:r>
            <w:hyperlink r:id="rId18">
              <w:r>
                <w:rPr>
                  <w:color w:val="17628B"/>
                  <w:u w:val="single"/>
                </w:rPr>
                <w:t>R039</w:t>
              </w:r>
            </w:hyperlink>
            <w:r>
              <w:rPr>
                <w:rFonts w:ascii="Liberation Serif" w:hAnsi="Liberation Serif"/>
                <w:sz w:val="20"/>
              </w:rPr>
              <w:t xml:space="preserve">, </w:t>
            </w:r>
            <w:hyperlink r:id="rId56">
              <w:r>
                <w:rPr>
                  <w:color w:val="17628B"/>
                  <w:u w:val="single"/>
                </w:rPr>
                <w:t>R056</w:t>
              </w:r>
            </w:hyperlink>
            <w:r>
              <w:rPr>
                <w:rFonts w:ascii="Liberation Serif" w:hAnsi="Liberation Serif"/>
                <w:sz w:val="20"/>
              </w:rPr>
              <w:t xml:space="preserve">, </w:t>
            </w:r>
            <w:hyperlink r:id="rId23">
              <w:r>
                <w:rPr>
                  <w:color w:val="17628B"/>
                  <w:u w:val="single"/>
                </w:rPr>
                <w:t>R067</w:t>
              </w:r>
            </w:hyperlink>
            <w:r>
              <w:rPr>
                <w:rFonts w:ascii="Liberation Serif" w:hAnsi="Liberation Serif"/>
                <w:sz w:val="20"/>
              </w:rPr>
            </w:r>
          </w:p>
        </w:tc>
      </w:tr>
      <w:tr>
        <w:trPr>
          <w:cantSplit/>
        </w:trPr>
        <w:tc>
          <w:tcPr>
            <w:tcW w:type="dxa" w:w="1701"/>
            <w:vAlign w:val="top"/>
            <w:tcMar>
              <w:top w:w="85" w:type="dxa"/>
              <w:left w:w="85" w:type="dxa"/>
              <w:bottom w:w="85" w:type="dxa"/>
              <w:right w:w="85" w:type="dxa"/>
            </w:tcMar>
            <w:shd w:fill="F0F5F6"/>
          </w:tcPr>
          <w:p>
            <w:pPr>
              <w:spacing w:after="60" w:line="245" w:lineRule="auto"/>
            </w:pPr>
            <w:r>
              <w:rPr>
                <w:rFonts w:ascii="Liberation Serif" w:hAnsi="Liberation Serif"/>
                <w:sz w:val="20"/>
              </w:rPr>
              <w:t>Историческая передача</w:t>
            </w:r>
          </w:p>
        </w:tc>
        <w:tc>
          <w:tcPr>
            <w:tcW w:type="dxa" w:w="5102"/>
            <w:vAlign w:val="top"/>
            <w:tcMar>
              <w:top w:w="85" w:type="dxa"/>
              <w:left w:w="85" w:type="dxa"/>
              <w:bottom w:w="85" w:type="dxa"/>
              <w:right w:w="85" w:type="dxa"/>
            </w:tcMar>
            <w:shd w:fill="F0F5F6"/>
          </w:tcPr>
          <w:p>
            <w:pPr>
              <w:spacing w:after="60" w:line="245" w:lineRule="auto"/>
            </w:pPr>
            <w:r>
              <w:rPr>
                <w:rFonts w:ascii="Liberation Serif" w:hAnsi="Liberation Serif"/>
                <w:sz w:val="20"/>
              </w:rPr>
              <w:t>Китайская yinming; Derge Tengyur; тибетская интерпретация от Phya pa и Горампы до Джамьянга Шепы, Агван-Дандара и Мипама.</w:t>
            </w:r>
          </w:p>
        </w:tc>
        <w:tc>
          <w:tcPr>
            <w:tcW w:type="dxa" w:w="3005"/>
            <w:vAlign w:val="top"/>
            <w:tcMar>
              <w:top w:w="85" w:type="dxa"/>
              <w:left w:w="85" w:type="dxa"/>
              <w:bottom w:w="85" w:type="dxa"/>
              <w:right w:w="85" w:type="dxa"/>
            </w:tcMar>
            <w:shd w:fill="F0F5F6"/>
          </w:tcPr>
          <w:p>
            <w:pPr>
              <w:spacing w:after="60" w:line="245" w:lineRule="auto"/>
            </w:pPr>
            <w:r>
              <w:rPr>
                <w:rFonts w:ascii="Liberation Serif" w:hAnsi="Liberation Serif"/>
                <w:sz w:val="20"/>
              </w:rPr>
            </w:r>
            <w:hyperlink r:id="rId57">
              <w:r>
                <w:rPr>
                  <w:color w:val="17628B"/>
                  <w:u w:val="single"/>
                </w:rPr>
                <w:t>R045</w:t>
              </w:r>
            </w:hyperlink>
            <w:r>
              <w:rPr>
                <w:rFonts w:ascii="Liberation Serif" w:hAnsi="Liberation Serif"/>
                <w:sz w:val="20"/>
              </w:rPr>
              <w:t xml:space="preserve">, </w:t>
            </w:r>
            <w:hyperlink r:id="rId58">
              <w:r>
                <w:rPr>
                  <w:color w:val="17628B"/>
                  <w:u w:val="single"/>
                </w:rPr>
                <w:t>R046</w:t>
              </w:r>
            </w:hyperlink>
            <w:r>
              <w:rPr>
                <w:rFonts w:ascii="Liberation Serif" w:hAnsi="Liberation Serif"/>
                <w:sz w:val="20"/>
              </w:rPr>
              <w:t xml:space="preserve">, </w:t>
            </w:r>
            <w:hyperlink r:id="rId59">
              <w:r>
                <w:rPr>
                  <w:color w:val="17628B"/>
                  <w:u w:val="single"/>
                </w:rPr>
                <w:t>R029</w:t>
              </w:r>
            </w:hyperlink>
            <w:r>
              <w:rPr>
                <w:rFonts w:ascii="Liberation Serif" w:hAnsi="Liberation Serif"/>
                <w:sz w:val="20"/>
              </w:rPr>
              <w:t xml:space="preserve">, </w:t>
            </w:r>
            <w:hyperlink r:id="rId60">
              <w:r>
                <w:rPr>
                  <w:color w:val="17628B"/>
                  <w:u w:val="single"/>
                </w:rPr>
                <w:t>R053</w:t>
              </w:r>
            </w:hyperlink>
            <w:r>
              <w:rPr>
                <w:rFonts w:ascii="Liberation Serif" w:hAnsi="Liberation Serif"/>
                <w:sz w:val="20"/>
              </w:rPr>
              <w:t xml:space="preserve">, </w:t>
            </w:r>
            <w:hyperlink r:id="rId61">
              <w:r>
                <w:rPr>
                  <w:color w:val="17628B"/>
                  <w:u w:val="single"/>
                </w:rPr>
                <w:t>R054</w:t>
              </w:r>
            </w:hyperlink>
            <w:r>
              <w:rPr>
                <w:rFonts w:ascii="Liberation Serif" w:hAnsi="Liberation Serif"/>
                <w:sz w:val="20"/>
              </w:rPr>
              <w:t xml:space="preserve">, </w:t>
            </w:r>
            <w:hyperlink r:id="rId29">
              <w:r>
                <w:rPr>
                  <w:color w:val="17628B"/>
                  <w:u w:val="single"/>
                </w:rPr>
                <w:t>R055</w:t>
              </w:r>
            </w:hyperlink>
            <w:r>
              <w:rPr>
                <w:rFonts w:ascii="Liberation Serif" w:hAnsi="Liberation Serif"/>
                <w:sz w:val="20"/>
              </w:rPr>
              <w:t xml:space="preserve">, </w:t>
            </w:r>
            <w:hyperlink r:id="rId62">
              <w:r>
                <w:rPr>
                  <w:color w:val="17628B"/>
                  <w:u w:val="single"/>
                </w:rPr>
                <w:t>R076</w:t>
              </w:r>
            </w:hyperlink>
            <w:r>
              <w:rPr>
                <w:rFonts w:ascii="Liberation Serif" w:hAnsi="Liberation Serif"/>
                <w:sz w:val="20"/>
              </w:rPr>
              <w:t xml:space="preserve">, </w:t>
            </w:r>
            <w:hyperlink r:id="rId63">
              <w:r>
                <w:rPr>
                  <w:color w:val="17628B"/>
                  <w:u w:val="single"/>
                </w:rPr>
                <w:t>R078</w:t>
              </w:r>
            </w:hyperlink>
            <w:r>
              <w:rPr>
                <w:rFonts w:ascii="Liberation Serif" w:hAnsi="Liberation Serif"/>
                <w:sz w:val="20"/>
              </w:rPr>
              <w:t xml:space="preserve">, </w:t>
            </w:r>
            <w:hyperlink r:id="rId64">
              <w:r>
                <w:rPr>
                  <w:color w:val="17628B"/>
                  <w:u w:val="single"/>
                </w:rPr>
                <w:t>R079</w:t>
              </w:r>
            </w:hyperlink>
            <w:r>
              <w:rPr>
                <w:rFonts w:ascii="Liberation Serif" w:hAnsi="Liberation Serif"/>
                <w:sz w:val="20"/>
              </w:rPr>
              <w:t xml:space="preserve">, </w:t>
            </w:r>
            <w:hyperlink r:id="rId65">
              <w:r>
                <w:rPr>
                  <w:color w:val="17628B"/>
                  <w:u w:val="single"/>
                </w:rPr>
                <w:t>R081</w:t>
              </w:r>
            </w:hyperlink>
            <w:r>
              <w:rPr>
                <w:rFonts w:ascii="Liberation Serif" w:hAnsi="Liberation Serif"/>
                <w:sz w:val="20"/>
              </w:rPr>
            </w:r>
          </w:p>
        </w:tc>
      </w:tr>
    </w:tbl>
    <w:p>
      <w:r/>
    </w:p>
    <w:p>
      <w:pPr>
        <w:pStyle w:val="Heading2"/>
      </w:pPr>
      <w:r>
        <w:t>2.2. Поиск назад: источники и предшественники</w:t>
      </w:r>
    </w:p>
    <w:p>
      <w:r>
        <w:t>Ранний слой не заменён общим введением в буддизм. Для Upāyahṛdaya / Fangbian xin lun (T1632) и Tarkaśāstra / Rushi lun (T1633) найдены китайские тексты. Их связь с проблемами ложного опровержения и раннего дебата подтверждается также введением к PSṭ VI. Атрибуции осторожны: эти тексты не объявлены автоматически сохранившимися Vādavidhi или Vādahṛdaya Васубандху. По собственно трём дебатным сочинениям Васубандху и утраченному комментарию Ишварасены остаются задания на фрагменты и testimonia. [</w:t>
      </w:r>
      <w:hyperlink r:id="rId47">
        <w:r>
          <w:rPr>
            <w:color w:val="17628B"/>
            <w:u w:val="single"/>
          </w:rPr>
          <w:t>R030</w:t>
        </w:r>
      </w:hyperlink>
      <w:r>
        <w:t xml:space="preserve">, </w:t>
      </w:r>
      <w:hyperlink r:id="rId20">
        <w:r>
          <w:rPr>
            <w:color w:val="17628B"/>
            <w:u w:val="single"/>
          </w:rPr>
          <w:t>R047</w:t>
        </w:r>
      </w:hyperlink>
      <w:r>
        <w:t xml:space="preserve">, </w:t>
      </w:r>
      <w:hyperlink r:id="rId66">
        <w:r>
          <w:rPr>
            <w:color w:val="17628B"/>
            <w:u w:val="single"/>
          </w:rPr>
          <w:t>R048</w:t>
        </w:r>
      </w:hyperlink>
      <w:r>
        <w:t>; G007–G009.]</w:t>
      </w:r>
    </w:p>
    <w:p>
      <w:r>
        <w:t>В небуддийском входящем слое проверены Nyāyasūtra с Nyāyabhāṣya Ватсьяяны: это конкретный ранний понятийный и дебатный материал, названный в DR. Vākyapadīya включена как ограниченный вход в предысторию спора о слове и универсалиях, а не как приглашение собирать всю грамматическую литературу. Для её электронного текста обнаружены смешанные заявления о правах. Полемический ответ Вачаспати и выбранные разделы Ślokavārttika образуют уже следующий круг рецепции, а не хронологически ранний фон. [</w:t>
      </w:r>
      <w:hyperlink r:id="rId67">
        <w:r>
          <w:rPr>
            <w:color w:val="17628B"/>
            <w:u w:val="single"/>
          </w:rPr>
          <w:t>R051</w:t>
        </w:r>
      </w:hyperlink>
      <w:r>
        <w:t xml:space="preserve">, </w:t>
      </w:r>
      <w:hyperlink r:id="rId68">
        <w:r>
          <w:rPr>
            <w:color w:val="17628B"/>
            <w:u w:val="single"/>
          </w:rPr>
          <w:t>R052</w:t>
        </w:r>
      </w:hyperlink>
      <w:r>
        <w:t xml:space="preserve">, </w:t>
      </w:r>
      <w:hyperlink r:id="rId69">
        <w:r>
          <w:rPr>
            <w:color w:val="17628B"/>
            <w:u w:val="single"/>
          </w:rPr>
          <w:t>R060</w:t>
        </w:r>
      </w:hyperlink>
      <w:r>
        <w:t xml:space="preserve">, </w:t>
      </w:r>
      <w:hyperlink r:id="rId70">
        <w:r>
          <w:rPr>
            <w:color w:val="17628B"/>
            <w:u w:val="single"/>
          </w:rPr>
          <w:t>R068</w:t>
        </w:r>
      </w:hyperlink>
      <w:r>
        <w:t>.]</w:t>
      </w:r>
    </w:p>
    <w:p>
      <w:pPr>
        <w:pStyle w:val="Heading2"/>
      </w:pPr>
      <w:r>
        <w:t>2.3. Поиск вперёд: конкретные линии, а не общая история Тибета</w:t>
      </w:r>
    </w:p>
    <w:p>
      <w:r>
        <w:t>Поздние объекты включены по прямому отношению к корневому трактату. The Roar of a Tibetan Lion даёт части главы I Phya pa; отрывок Горампы объясняет Tshad ma rigs gter Сакья Пандиты через PS и семь трактатов Дхармакирти; Light of Samantabhadra переводит комментарий Горампы к PV I–II. Это продолжение индийской pramāṇa-линии, хотя тексты имеют собственную тибетскую историю. [</w:t>
      </w:r>
      <w:hyperlink r:id="rId59">
        <w:r>
          <w:rPr>
            <w:color w:val="17628B"/>
            <w:u w:val="single"/>
          </w:rPr>
          <w:t>R029</w:t>
        </w:r>
      </w:hyperlink>
      <w:r>
        <w:t xml:space="preserve">, </w:t>
      </w:r>
      <w:hyperlink r:id="rId62">
        <w:r>
          <w:rPr>
            <w:color w:val="17628B"/>
            <w:u w:val="single"/>
          </w:rPr>
          <w:t>R076</w:t>
        </w:r>
      </w:hyperlink>
      <w:r>
        <w:t xml:space="preserve">, </w:t>
      </w:r>
      <w:hyperlink r:id="rId71">
        <w:r>
          <w:rPr>
            <w:color w:val="17628B"/>
            <w:u w:val="single"/>
          </w:rPr>
          <w:t>R077</w:t>
        </w:r>
      </w:hyperlink>
      <w:r>
        <w:t xml:space="preserve">, </w:t>
      </w:r>
      <w:hyperlink r:id="rId63">
        <w:r>
          <w:rPr>
            <w:color w:val="17628B"/>
            <w:u w:val="single"/>
          </w:rPr>
          <w:t>R078</w:t>
        </w:r>
      </w:hyperlink>
      <w:r>
        <w:t>.]</w:t>
      </w:r>
    </w:p>
    <w:p>
      <w:r>
        <w:t>За верхнюю границу XV века выходят Mighty Pramana Sun первого Джамьянга Шепы, позднее толкование Saṃtānāntarasiddhi Агван-Дандара и «Меч мудрости» Мипама (колофон 1885). Первое входит в подтверждённую издателем антологию трёх pramāṇa-текстов; второе привязано к конкретному изданию 1916; третье непосредственно излагает восприятие, вывод и признаки основания. Они не изменяют дат мастер-строки. [</w:t>
      </w:r>
      <w:hyperlink r:id="rId64">
        <w:r>
          <w:rPr>
            <w:color w:val="17628B"/>
            <w:u w:val="single"/>
          </w:rPr>
          <w:t>R079</w:t>
        </w:r>
      </w:hyperlink>
      <w:r>
        <w:t xml:space="preserve">, </w:t>
      </w:r>
      <w:hyperlink r:id="rId65">
        <w:r>
          <w:rPr>
            <w:color w:val="17628B"/>
            <w:u w:val="single"/>
          </w:rPr>
          <w:t>R081</w:t>
        </w:r>
      </w:hyperlink>
      <w:r>
        <w:t xml:space="preserve">, </w:t>
      </w:r>
      <w:hyperlink r:id="rId60">
        <w:r>
          <w:rPr>
            <w:color w:val="17628B"/>
            <w:u w:val="single"/>
          </w:rPr>
          <w:t>R053</w:t>
        </w:r>
      </w:hyperlink>
      <w:r>
        <w:t xml:space="preserve">, </w:t>
      </w:r>
      <w:hyperlink r:id="rId61">
        <w:r>
          <w:rPr>
            <w:color w:val="17628B"/>
            <w:u w:val="single"/>
          </w:rPr>
          <w:t>R054</w:t>
        </w:r>
      </w:hyperlink>
      <w:r>
        <w:t>.]</w:t>
      </w:r>
    </w:p>
    <w:p>
      <w:r>
        <w:t>Отдельная поздняя экзегетическая цепь обнаружена в издании Dignāga’s Investigation of the Percept: Vinītadeva, Gungthang, Ngag dbang bstan dar и Yeshes Thabkhas комментируют именно Ālambanaparīkṣā. Доступный preview подтверждает состав, но не даёт все эти тексты полностью. [</w:t>
      </w:r>
      <w:hyperlink r:id="rId31">
        <w:r>
          <w:rPr>
            <w:color w:val="17628B"/>
            <w:u w:val="single"/>
          </w:rPr>
          <w:t>R058</w:t>
        </w:r>
      </w:hyperlink>
      <w:r>
        <w:t>.]</w:t>
      </w:r>
    </w:p>
    <w:p>
      <w:pPr>
        <w:pStyle w:val="Heading2"/>
      </w:pPr>
      <w:r>
        <w:t>2.4. Количественный итог и пределы подсчёта</w:t>
      </w:r>
    </w:p>
    <w:p>
      <w:r>
        <w:t>В XLSX — 89 практически различимых маршрутов доступа и 28 записей gaps. Содержательный охват — более 50 первичных произведений и комментариев, а также два авторских собрания; это не 89 разных произведений. Внутренние трактаты Ratnakīrtinibandhāvali и Jñānaśrīmitranibandhāvali не размножены в строки по каждому XML-разделу. Два тома Esukhia также составляют один пакетный маршрут. [</w:t>
      </w:r>
      <w:hyperlink r:id="rId50">
        <w:r>
          <w:rPr>
            <w:color w:val="17628B"/>
            <w:u w:val="single"/>
          </w:rPr>
          <w:t>R012</w:t>
        </w:r>
      </w:hyperlink>
      <w:r>
        <w:t xml:space="preserve">, </w:t>
      </w:r>
      <w:hyperlink r:id="rId51">
        <w:r>
          <w:rPr>
            <w:color w:val="17628B"/>
            <w:u w:val="single"/>
          </w:rPr>
          <w:t>R013</w:t>
        </w:r>
      </w:hyperlink>
      <w:r>
        <w:t xml:space="preserve">, </w:t>
      </w:r>
      <w:hyperlink r:id="rId29">
        <w:r>
          <w:rPr>
            <w:color w:val="17628B"/>
            <w:u w:val="single"/>
          </w:rPr>
          <w:t>R055</w:t>
        </w:r>
      </w:hyperlink>
      <w:r>
        <w:t>.]</w:t>
      </w:r>
    </w:p>
    <w:p>
      <w:r>
        <w:t>По режиму доступа: 58 маршрутов дают бесплатное чтение или просмотр реально представленного слоя; 57 включают бесплатную загрузку, в том числе отдельных файлов и предварительных страниц; 14 ведут к покупке, 8 — к preview, 21 содержат режим metadata_only. Категории пересекаются. «Бесплатно прочитан файл» не означает «прочитано всё произведение»: фрагмент, выбранная глава, единственный свидетель и перевод отмечены отдельно.</w:t>
      </w:r>
    </w:p>
    <w:p>
      <w:r>
        <w:t>По роли записей: core — 18, same_corpus_or_tradition — 14, antecedent — 4, continuation — 4, commentary_or_reception — 21, transmission_or_preservation — 22, supporting — 2, infrastructure — 4. Пограничные связи описаны в notes, но дата сама по себе не использовалась как повод понизить релевантность. Общие исторические обзоры не раздувают главный реестр.</w:t>
      </w:r>
    </w:p>
    <w:p>
      <w:r>
        <w:br w:type="page"/>
      </w:r>
    </w:p>
    <w:p>
      <w:pPr>
        <w:pStyle w:val="Heading1"/>
      </w:pPr>
      <w:r>
        <w:t>3. Лучшие пути доступа</w:t>
      </w:r>
    </w:p>
    <w:p>
      <w:pPr>
        <w:pStyle w:val="Heading2"/>
      </w:pPr>
      <w:r>
        <w:t>3.1. Дигнага: PS, Hetucakra, Nyāyamukha, Ālambanaparīkṣā</w:t>
      </w:r>
    </w:p>
    <w:p>
      <w:r>
        <w:t>Pramāṇasamuccaya. Для свободного знакомства с исторической тибетской передачей наиболее практичен проверенный TXT-пакет Derge (</w:t>
      </w:r>
      <w:hyperlink r:id="rId29">
        <w:r>
          <w:rPr>
            <w:color w:val="17628B"/>
            <w:u w:val="single"/>
          </w:rPr>
          <w:t>R055</w:t>
        </w:r>
      </w:hyperlink>
      <w:r>
        <w:t>). Для санскритской работы над главой I — официальный 45-страничный файл реконструкции Steinkellner 2005; над главой V — полная диссертация Pind 2009. Оба слоя являются современными филологическими продуктами, а не найденным полным санскритским оригиналом. [</w:t>
      </w:r>
      <w:hyperlink r:id="rId24">
        <w:r>
          <w:rPr>
            <w:color w:val="17628B"/>
            <w:u w:val="single"/>
          </w:rPr>
          <w:t>R010</w:t>
        </w:r>
      </w:hyperlink>
      <w:r>
        <w:t xml:space="preserve">, </w:t>
      </w:r>
      <w:hyperlink r:id="rId25">
        <w:r>
          <w:rPr>
            <w:color w:val="17628B"/>
            <w:u w:val="single"/>
          </w:rPr>
          <w:t>R019</w:t>
        </w:r>
      </w:hyperlink>
      <w:r>
        <w:t>.]</w:t>
      </w:r>
    </w:p>
    <w:p>
      <w:r>
        <w:t>Современные научные переводы распределены по главам: Hattori 1968 — глава о восприятии, доступ пока через каталог; Hayes 1988 содержит переводы глав II и V, а не всей PS. Редакция Pind 2015 отделена от диссертации 2009: открылись оглавление и copyright-страницы, но не основные PDF. Старый надёжно публичнодоменный полный перевод PS в этом запуске не найден. [</w:t>
      </w:r>
      <w:hyperlink r:id="rId32">
        <w:r>
          <w:rPr>
            <w:color w:val="17628B"/>
            <w:u w:val="single"/>
          </w:rPr>
          <w:t>R084</w:t>
        </w:r>
      </w:hyperlink>
      <w:r>
        <w:t xml:space="preserve">, </w:t>
      </w:r>
      <w:hyperlink r:id="rId30">
        <w:r>
          <w:rPr>
            <w:color w:val="17628B"/>
            <w:u w:val="single"/>
          </w:rPr>
          <w:t>R057</w:t>
        </w:r>
      </w:hyperlink>
      <w:r>
        <w:t xml:space="preserve">, </w:t>
      </w:r>
      <w:hyperlink r:id="rId12">
        <w:r>
          <w:rPr>
            <w:color w:val="17628B"/>
            <w:u w:val="single"/>
          </w:rPr>
          <w:t>R089</w:t>
        </w:r>
      </w:hyperlink>
      <w:r>
        <w:t>.]</w:t>
      </w:r>
    </w:p>
    <w:p>
      <w:r>
        <w:t>Jinendrabuddhi, PSṭ. Самый свободный найденный современный научный том — глава VI, 2023: критическое и дипломатическое санскритские издания с CC BY 4.0, подтверждённой издателем и FWF. Для собственного перевода особенно важен дипломатический слой, ограниченный главой VI. Главы I и II сохранены как точные академические издательские входы; их права и доступ не переносятся с VI. Полное факсимиле кодекса в Лхасе не найдено. [</w:t>
      </w:r>
      <w:hyperlink r:id="rId47">
        <w:r>
          <w:rPr>
            <w:color w:val="17628B"/>
            <w:u w:val="single"/>
          </w:rPr>
          <w:t>R030</w:t>
        </w:r>
      </w:hyperlink>
      <w:r>
        <w:t xml:space="preserve">, </w:t>
      </w:r>
      <w:hyperlink r:id="rId44">
        <w:r>
          <w:rPr>
            <w:color w:val="17628B"/>
            <w:u w:val="single"/>
          </w:rPr>
          <w:t>R023</w:t>
        </w:r>
      </w:hyperlink>
      <w:r>
        <w:t xml:space="preserve">, </w:t>
      </w:r>
      <w:hyperlink r:id="rId45">
        <w:r>
          <w:rPr>
            <w:color w:val="17628B"/>
            <w:u w:val="single"/>
          </w:rPr>
          <w:t>R024</w:t>
        </w:r>
      </w:hyperlink>
      <w:r>
        <w:t>; G003.]</w:t>
      </w:r>
    </w:p>
    <w:p>
      <w:r>
        <w:t>Hetucakra. Тибетский корневой текст найден по маркеру D4209 в томе 174 Esukhia. Современная статья He / van der Kuijp даёт проверяемый научный вход в вопросы версии и передачи, но полный доступ к статье требует подписки/покупки. Buddhist Formal Logic доступна лишь в preview. Ни одна из этих двух научных книг/статей не подменяет собой открытый тибетский корневой текст. [</w:t>
      </w:r>
      <w:hyperlink r:id="rId29">
        <w:r>
          <w:rPr>
            <w:color w:val="17628B"/>
            <w:u w:val="single"/>
          </w:rPr>
          <w:t>R055</w:t>
        </w:r>
      </w:hyperlink>
      <w:r>
        <w:t xml:space="preserve">, </w:t>
      </w:r>
      <w:hyperlink r:id="rId28">
        <w:r>
          <w:rPr>
            <w:color w:val="17628B"/>
            <w:u w:val="single"/>
          </w:rPr>
          <w:t>R049</w:t>
        </w:r>
      </w:hyperlink>
      <w:r>
        <w:t xml:space="preserve">, </w:t>
      </w:r>
      <w:hyperlink r:id="rId72">
        <w:r>
          <w:rPr>
            <w:color w:val="17628B"/>
            <w:u w:val="single"/>
          </w:rPr>
          <w:t>R050</w:t>
        </w:r>
      </w:hyperlink>
      <w:r>
        <w:t>.]</w:t>
      </w:r>
    </w:p>
    <w:p>
      <w:r>
        <w:t>Nyāyamukha. Лучшие бесплатные текстовые пути — отдельные китайские версии Сюаньцзана T1628 и Ицзина T1629, а не одна усреднённая «китайская версия». Для английского перевода Tucci 1930 установлен библиотечный вход; полный законный открытый файл не подтверждён. Санскритский рукописный слой остаётся отдельным пробелом. [</w:t>
      </w:r>
      <w:hyperlink r:id="rId19">
        <w:r>
          <w:rPr>
            <w:color w:val="17628B"/>
            <w:u w:val="single"/>
          </w:rPr>
          <w:t>R040</w:t>
        </w:r>
      </w:hyperlink>
      <w:r>
        <w:t xml:space="preserve">, </w:t>
      </w:r>
      <w:hyperlink r:id="rId26">
        <w:r>
          <w:rPr>
            <w:color w:val="17628B"/>
            <w:u w:val="single"/>
          </w:rPr>
          <w:t>R041</w:t>
        </w:r>
      </w:hyperlink>
      <w:r>
        <w:t xml:space="preserve">, </w:t>
      </w:r>
      <w:hyperlink r:id="rId73">
        <w:r>
          <w:rPr>
            <w:color w:val="17628B"/>
            <w:u w:val="single"/>
          </w:rPr>
          <w:t>R083</w:t>
        </w:r>
      </w:hyperlink>
      <w:r>
        <w:t>; G006.]</w:t>
      </w:r>
    </w:p>
    <w:p>
      <w:r>
        <w:t>Ālambanaparīkṣā. Для чтения и машинной обработки полезны T1619 и T1624; комментарий Дхармапалы T1625 выделен отдельно. Лучший найденный современный сравнительный переводческий вход — OUP 2016 с индийскими и тибетскими комментариями. Его 39-страничный preview не равен полному переводу, а древность Дигнаги не снимает прав современной редакции. [</w:t>
      </w:r>
      <w:hyperlink r:id="rId74">
        <w:r>
          <w:rPr>
            <w:color w:val="17628B"/>
            <w:u w:val="single"/>
          </w:rPr>
          <w:t>R042</w:t>
        </w:r>
      </w:hyperlink>
      <w:r>
        <w:t xml:space="preserve">, </w:t>
      </w:r>
      <w:hyperlink r:id="rId27">
        <w:r>
          <w:rPr>
            <w:color w:val="17628B"/>
            <w:u w:val="single"/>
          </w:rPr>
          <w:t>R043</w:t>
        </w:r>
      </w:hyperlink>
      <w:r>
        <w:t xml:space="preserve">, </w:t>
      </w:r>
      <w:hyperlink r:id="rId75">
        <w:r>
          <w:rPr>
            <w:color w:val="17628B"/>
            <w:u w:val="single"/>
          </w:rPr>
          <w:t>R044</w:t>
        </w:r>
      </w:hyperlink>
      <w:r>
        <w:t xml:space="preserve">, </w:t>
      </w:r>
      <w:hyperlink r:id="rId31">
        <w:r>
          <w:rPr>
            <w:color w:val="17628B"/>
            <w:u w:val="single"/>
          </w:rPr>
          <w:t>R058</w:t>
        </w:r>
      </w:hyperlink>
      <w:r>
        <w:t>.]</w:t>
      </w:r>
    </w:p>
    <w:p>
      <w:pPr>
        <w:pStyle w:val="Heading2"/>
      </w:pPr>
      <w:r>
        <w:t>3.2. Pramāṇavārttika и автокомментарий</w:t>
      </w:r>
    </w:p>
    <w:p>
      <w:r>
        <w:t>Быстрый бесплатный санскритский маршрут складывается из двух GRETIL-записей: kārikā глав II–IV и глава I с PVSV. Первый файл прямо исключает svārthānumāna; брать его за полную PV нельзя. Это два реально разных текстовых слоя, а не искусственное дробление одного архива. [</w:t>
      </w:r>
      <w:hyperlink r:id="rId11">
        <w:r>
          <w:rPr>
            <w:color w:val="17628B"/>
            <w:u w:val="single"/>
          </w:rPr>
          <w:t>R001</w:t>
        </w:r>
      </w:hyperlink>
      <w:r>
        <w:t xml:space="preserve">, </w:t>
      </w:r>
      <w:hyperlink r:id="rId33">
        <w:r>
          <w:rPr>
            <w:color w:val="17628B"/>
            <w:u w:val="single"/>
          </w:rPr>
          <w:t>R002</w:t>
        </w:r>
      </w:hyperlink>
      <w:r>
        <w:t>.]</w:t>
      </w:r>
    </w:p>
    <w:p>
      <w:r>
        <w:t>Для последовательного чтения с толкованием и для TEI-поиска предпочтителен файл PV с Pramāṇavārttikavṛtti Маноратханандина в SARIT. Карнакагомин даёт другой, более глубокий комментарий к PVSV; реконструированные места в нём не приняты как безусловно чистая основа нового перевода. Полезный современный платный английский вход в PV I–II — перевод Горампы Gavin Kilty, но он не покрывает главы III–IV. [</w:t>
      </w:r>
      <w:hyperlink r:id="rId14">
        <w:r>
          <w:rPr>
            <w:color w:val="17628B"/>
            <w:u w:val="single"/>
          </w:rPr>
          <w:t>R016</w:t>
        </w:r>
      </w:hyperlink>
      <w:r>
        <w:t xml:space="preserve">, </w:t>
      </w:r>
      <w:hyperlink r:id="rId15">
        <w:r>
          <w:rPr>
            <w:color w:val="17628B"/>
            <w:u w:val="single"/>
          </w:rPr>
          <w:t>R018</w:t>
        </w:r>
      </w:hyperlink>
      <w:r>
        <w:t xml:space="preserve">, </w:t>
      </w:r>
      <w:hyperlink r:id="rId63">
        <w:r>
          <w:rPr>
            <w:color w:val="17628B"/>
            <w:u w:val="single"/>
          </w:rPr>
          <w:t>R078</w:t>
        </w:r>
      </w:hyperlink>
      <w:r>
        <w:t>.]</w:t>
      </w:r>
    </w:p>
    <w:p>
      <w:pPr>
        <w:pStyle w:val="Heading2"/>
      </w:pPr>
      <w:r>
        <w:t>3.3. Pramāṇaviniścaya и Дхармоттара</w:t>
      </w:r>
    </w:p>
    <w:p>
      <w:r>
        <w:t>Лучший найденный научный санскрит — STTAR: главы I–II (Steinkellner, 2007) и глава III (Hugon / Tomabechi, 2011). В этом исследовании открылись карточки изданий, а не полные свободные PDF. Бесплатный GRETIL-файл представляет только фрагмент одного листа Kathmandu: это ценный свидетель, но не замена трём главам. [</w:t>
      </w:r>
      <w:hyperlink r:id="rId39">
        <w:r>
          <w:rPr>
            <w:color w:val="17628B"/>
            <w:u w:val="single"/>
          </w:rPr>
          <w:t>R020</w:t>
        </w:r>
      </w:hyperlink>
      <w:r>
        <w:t xml:space="preserve">, </w:t>
      </w:r>
      <w:hyperlink r:id="rId40">
        <w:r>
          <w:rPr>
            <w:color w:val="17628B"/>
            <w:u w:val="single"/>
          </w:rPr>
          <w:t>R021</w:t>
        </w:r>
      </w:hyperlink>
      <w:r>
        <w:t xml:space="preserve">, </w:t>
      </w:r>
      <w:hyperlink r:id="rId76">
        <w:r>
          <w:rPr>
            <w:color w:val="17628B"/>
            <w:u w:val="single"/>
          </w:rPr>
          <w:t>R009</w:t>
        </w:r>
      </w:hyperlink>
      <w:r>
        <w:t>.]</w:t>
      </w:r>
    </w:p>
    <w:p>
      <w:r>
        <w:t>Для комментария Дхармоттары проверено дипломатическое издание главы III, связанное с неполной рукописью в proto-Bengālī. Само наличие описания рукописи не даёт доступ к её полному изображению или право его копировать. Полные цифровые варианты и главы I–II оставлены в G004. [</w:t>
      </w:r>
      <w:hyperlink r:id="rId46">
        <w:r>
          <w:rPr>
            <w:color w:val="17628B"/>
            <w:u w:val="single"/>
          </w:rPr>
          <w:t>R025</w:t>
        </w:r>
      </w:hyperlink>
      <w:r>
        <w:t>.]</w:t>
      </w:r>
    </w:p>
    <w:p>
      <w:pPr>
        <w:pStyle w:val="Heading2"/>
      </w:pPr>
      <w:r>
        <w:t>3.4. Nyāyabindu: наиболее удобный компактный вход</w:t>
      </w:r>
    </w:p>
    <w:p>
      <w:r>
        <w:t>Для чтения оригинала — GRETIL Nyāyabindu; для аннотированного машинного корпуса — SARIT с Nyāyabinduṭīkā и Dharmottarapradīpa. Отдельный Dharmottaraṭippanaka расширяет субкомментарийную линию. Эти файлы имеют собственные описания печатных основ и лицензий. [</w:t>
      </w:r>
      <w:hyperlink r:id="rId34">
        <w:r>
          <w:rPr>
            <w:color w:val="17628B"/>
            <w:u w:val="single"/>
          </w:rPr>
          <w:t>R003</w:t>
        </w:r>
      </w:hyperlink>
      <w:r>
        <w:t xml:space="preserve">, </w:t>
      </w:r>
      <w:hyperlink r:id="rId13">
        <w:r>
          <w:rPr>
            <w:color w:val="17628B"/>
            <w:u w:val="single"/>
          </w:rPr>
          <w:t>R014</w:t>
        </w:r>
      </w:hyperlink>
      <w:r>
        <w:t xml:space="preserve">, </w:t>
      </w:r>
      <w:hyperlink r:id="rId42">
        <w:r>
          <w:rPr>
            <w:color w:val="17628B"/>
            <w:u w:val="single"/>
          </w:rPr>
          <w:t>R015</w:t>
        </w:r>
      </w:hyperlink>
      <w:r>
        <w:t>.]</w:t>
      </w:r>
    </w:p>
    <w:p>
      <w:r>
        <w:t>Для факсимиле проверен университетский скан санскритского издания Peterson 1889 в Columbia. Просмотр работает, но сборный PDF не прошёл открытие; OCR деванагари нельзя считать надёжным текстом. Для старых изданий 1918 и английского Buddhist Logic сохранены каталоги HathiTrust, однако их просмотрщики в сеансе не подтвердили нужный полный текст. [</w:t>
      </w:r>
      <w:hyperlink r:id="rId77">
        <w:r>
          <w:rPr>
            <w:color w:val="17628B"/>
            <w:u w:val="single"/>
          </w:rPr>
          <w:t>R070</w:t>
        </w:r>
      </w:hyperlink>
      <w:r>
        <w:t xml:space="preserve">, </w:t>
      </w:r>
      <w:hyperlink r:id="rId78">
        <w:r>
          <w:rPr>
            <w:color w:val="17628B"/>
            <w:u w:val="single"/>
          </w:rPr>
          <w:t>R082</w:t>
        </w:r>
      </w:hyperlink>
      <w:r>
        <w:t xml:space="preserve">, </w:t>
      </w:r>
      <w:hyperlink r:id="rId79">
        <w:r>
          <w:rPr>
            <w:color w:val="17628B"/>
            <w:u w:val="single"/>
          </w:rPr>
          <w:t>R080</w:t>
        </w:r>
      </w:hyperlink>
      <w:r>
        <w:t>.]</w:t>
      </w:r>
    </w:p>
    <w:p>
      <w:r>
        <w:t>Русский маршрут требует особой честности: IOM РАН подтверждает перевод Щербатского 1903 и переиздание 1995, но размещённые файлы дают лишь предварительные страницы. В реестре они не названы полным русским переводом. Поэтому лучший проверенный свободный рабочий слой здесь — санскрит, а не русский текст. [</w:t>
      </w:r>
      <w:hyperlink r:id="rId80">
        <w:r>
          <w:rPr>
            <w:color w:val="17628B"/>
            <w:u w:val="single"/>
          </w:rPr>
          <w:t>R061</w:t>
        </w:r>
      </w:hyperlink>
      <w:r>
        <w:t xml:space="preserve">, </w:t>
      </w:r>
      <w:hyperlink r:id="rId81">
        <w:r>
          <w:rPr>
            <w:color w:val="17628B"/>
            <w:u w:val="single"/>
          </w:rPr>
          <w:t>R062</w:t>
        </w:r>
      </w:hyperlink>
      <w:r>
        <w:t>; G021.]</w:t>
      </w:r>
    </w:p>
    <w:p>
      <w:pPr>
        <w:pStyle w:val="Heading2"/>
      </w:pPr>
      <w:r>
        <w:t>3.5. Hetubindu и его комментарии</w:t>
      </w:r>
    </w:p>
    <w:p>
      <w:r>
        <w:t>Для быстрого доступа доступен GRETIL, но его редакционная основа требует отличать старую реконструкцию от нового издания сохранённого санскрита 2016. Для научной сверки приоритетен последний академический том, даже при отсутствии проверенного полного скачивания. [</w:t>
      </w:r>
      <w:hyperlink r:id="rId35">
        <w:r>
          <w:rPr>
            <w:color w:val="17628B"/>
            <w:u w:val="single"/>
          </w:rPr>
          <w:t>R004</w:t>
        </w:r>
      </w:hyperlink>
      <w:r>
        <w:t xml:space="preserve">, </w:t>
      </w:r>
      <w:hyperlink r:id="rId41">
        <w:r>
          <w:rPr>
            <w:color w:val="17628B"/>
            <w:u w:val="single"/>
          </w:rPr>
          <w:t>R022</w:t>
        </w:r>
      </w:hyperlink>
      <w:r>
        <w:t>.]</w:t>
      </w:r>
    </w:p>
    <w:p>
      <w:r>
        <w:t>Для английского чтения найден полный официальный PDF A Splash of the Logical Reason, 2022. Это важное приобретение по доступу, но copyright-страница сохраняет все права: файл можно читать и скачивать, а не автоматически зеркалировать. Комментарий Арчаты представлен двумя реально различающимися электронными передачами GRETIL; Hetubinduṭīkāloka Дурвекамишры добавляет субкомментарий. [</w:t>
      </w:r>
      <w:hyperlink r:id="rId82">
        <w:r>
          <w:rPr>
            <w:color w:val="17628B"/>
            <w:u w:val="single"/>
          </w:rPr>
          <w:t>R027</w:t>
        </w:r>
      </w:hyperlink>
      <w:r>
        <w:t xml:space="preserve">, </w:t>
      </w:r>
      <w:hyperlink r:id="rId21">
        <w:r>
          <w:rPr>
            <w:color w:val="17628B"/>
            <w:u w:val="single"/>
          </w:rPr>
          <w:t>R064</w:t>
        </w:r>
      </w:hyperlink>
      <w:r>
        <w:t xml:space="preserve">, </w:t>
      </w:r>
      <w:hyperlink r:id="rId83">
        <w:r>
          <w:rPr>
            <w:color w:val="17628B"/>
            <w:u w:val="single"/>
          </w:rPr>
          <w:t>R065</w:t>
        </w:r>
      </w:hyperlink>
      <w:r>
        <w:t xml:space="preserve">, </w:t>
      </w:r>
      <w:hyperlink r:id="rId22">
        <w:r>
          <w:rPr>
            <w:color w:val="17628B"/>
            <w:u w:val="single"/>
          </w:rPr>
          <w:t>R066</w:t>
        </w:r>
      </w:hyperlink>
      <w:r>
        <w:t>.]</w:t>
      </w:r>
    </w:p>
    <w:p>
      <w:r>
        <w:t>Отдельная рукописная находка RAS Hodgson 67 сохраняет материал Sthirasiddhidūṣaṇa и HBT. Академический репозиторий подтверждает свидетеля, но PDF исследования приватный: это каталожный маршрут к реальному предмету, не открытое факсимиле. [</w:t>
      </w:r>
      <w:hyperlink r:id="rId84">
        <w:r>
          <w:rPr>
            <w:color w:val="17628B"/>
            <w:u w:val="single"/>
          </w:rPr>
          <w:t>R063</w:t>
        </w:r>
      </w:hyperlink>
      <w:r>
        <w:t>.]</w:t>
      </w:r>
    </w:p>
    <w:p>
      <w:pPr>
        <w:pStyle w:val="Heading2"/>
      </w:pPr>
      <w:r>
        <w:t>3.6. Vādanyāya, Sambandhaparīkṣā, Saṃtānāntarasiddhi</w:t>
      </w:r>
    </w:p>
    <w:tbl>
      <w:tblPr>
        <w:tblW w:type="auto" w:w="0"/>
        <w:jc w:val="center"/>
        <w:tblLayout w:type="fixed"/>
        <w:tblLook w:firstColumn="1" w:firstRow="1" w:lastColumn="0" w:lastRow="0" w:noHBand="0" w:noVBand="1" w:val="04A0"/>
      </w:tblPr>
      <w:tblGrid>
        <w:gridCol w:w="2098"/>
        <w:gridCol w:w="4139"/>
        <w:gridCol w:w="3572"/>
      </w:tblGrid>
      <w:tr>
        <w:trPr>
          <w:tblHeader/>
          <w:cantSplit/>
        </w:trPr>
        <w:tc>
          <w:tcPr>
            <w:tcW w:type="dxa" w:w="2098"/>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Объект</w:t>
            </w:r>
          </w:p>
        </w:tc>
        <w:tc>
          <w:tcPr>
            <w:tcW w:type="dxa" w:w="4139"/>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Практический выбор</w:t>
            </w:r>
          </w:p>
        </w:tc>
        <w:tc>
          <w:tcPr>
            <w:tcW w:type="dxa" w:w="3572"/>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Существенное ограничение</w:t>
            </w:r>
          </w:p>
        </w:tc>
      </w:tr>
      <w:tr>
        <w:trPr>
          <w:cantSplit/>
        </w:trPr>
        <w:tc>
          <w:tcPr>
            <w:tcW w:type="dxa" w:w="2098"/>
            <w:vAlign w:val="top"/>
            <w:tcMar>
              <w:top w:w="85" w:type="dxa"/>
              <w:left w:w="85" w:type="dxa"/>
              <w:bottom w:w="85" w:type="dxa"/>
              <w:right w:w="85" w:type="dxa"/>
            </w:tcMar>
            <w:shd w:fill="F0F5F6"/>
          </w:tcPr>
          <w:p>
            <w:pPr>
              <w:spacing w:after="60" w:line="245" w:lineRule="auto"/>
            </w:pPr>
            <w:r>
              <w:rPr>
                <w:rFonts w:ascii="Liberation Serif" w:hAnsi="Liberation Serif"/>
                <w:sz w:val="20"/>
              </w:rPr>
              <w:t>Vādanyāya</w:t>
            </w:r>
          </w:p>
        </w:tc>
        <w:tc>
          <w:tcPr>
            <w:tcW w:type="dxa" w:w="4139"/>
            <w:vAlign w:val="top"/>
            <w:tcMar>
              <w:top w:w="85" w:type="dxa"/>
              <w:left w:w="85" w:type="dxa"/>
              <w:bottom w:w="85" w:type="dxa"/>
              <w:right w:w="85" w:type="dxa"/>
            </w:tcMar>
            <w:shd w:fill="F0F5F6"/>
          </w:tcPr>
          <w:p>
            <w:pPr>
              <w:spacing w:after="60" w:line="245" w:lineRule="auto"/>
            </w:pPr>
            <w:r>
              <w:rPr>
                <w:rFonts w:ascii="Liberation Serif" w:hAnsi="Liberation Serif"/>
                <w:sz w:val="20"/>
              </w:rPr>
              <w:t xml:space="preserve">Оригинальный e-text GRETIL и SARIT-комментарий Śāntarakṣita, Vipañcitārthā: </w:t>
            </w:r>
            <w:hyperlink r:id="rId36">
              <w:r>
                <w:rPr>
                  <w:color w:val="17628B"/>
                  <w:u w:val="single"/>
                </w:rPr>
                <w:t>R005</w:t>
              </w:r>
            </w:hyperlink>
            <w:r>
              <w:rPr>
                <w:rFonts w:ascii="Liberation Serif" w:hAnsi="Liberation Serif"/>
                <w:sz w:val="20"/>
              </w:rPr>
              <w:t xml:space="preserve">, </w:t>
            </w:r>
            <w:hyperlink r:id="rId43">
              <w:r>
                <w:rPr>
                  <w:color w:val="17628B"/>
                  <w:u w:val="single"/>
                </w:rPr>
                <w:t>R017</w:t>
              </w:r>
            </w:hyperlink>
            <w:r>
              <w:rPr>
                <w:rFonts w:ascii="Liberation Serif" w:hAnsi="Liberation Serif"/>
                <w:sz w:val="20"/>
              </w:rPr>
              <w:t>.</w:t>
            </w:r>
          </w:p>
        </w:tc>
        <w:tc>
          <w:tcPr>
            <w:tcW w:type="dxa" w:w="3572"/>
            <w:vAlign w:val="top"/>
            <w:tcMar>
              <w:top w:w="85" w:type="dxa"/>
              <w:left w:w="85" w:type="dxa"/>
              <w:bottom w:w="85" w:type="dxa"/>
              <w:right w:w="85" w:type="dxa"/>
            </w:tcMar>
            <w:shd w:fill="F0F5F6"/>
          </w:tcPr>
          <w:p>
            <w:pPr>
              <w:spacing w:after="60" w:line="245" w:lineRule="auto"/>
            </w:pPr>
            <w:r>
              <w:rPr>
                <w:rFonts w:ascii="Liberation Serif" w:hAnsi="Liberation Serif"/>
                <w:sz w:val="20"/>
              </w:rPr>
              <w:t>Лицензии электронных слоёв не распространяются на исходные печатные сканы.</w:t>
            </w:r>
          </w:p>
        </w:tc>
      </w:tr>
      <w:tr>
        <w:trPr>
          <w:cantSplit/>
        </w:trPr>
        <w:tc>
          <w:tcPr>
            <w:tcW w:type="dxa" w:w="2098"/>
            <w:vAlign w:val="top"/>
            <w:tcMar>
              <w:top w:w="85" w:type="dxa"/>
              <w:left w:w="85" w:type="dxa"/>
              <w:bottom w:w="85" w:type="dxa"/>
              <w:right w:w="85" w:type="dxa"/>
            </w:tcMar>
            <w:shd w:fill="FFFFFF"/>
          </w:tcPr>
          <w:p>
            <w:pPr>
              <w:spacing w:after="60" w:line="245" w:lineRule="auto"/>
            </w:pPr>
            <w:r>
              <w:rPr>
                <w:rFonts w:ascii="Liberation Serif" w:hAnsi="Liberation Serif"/>
                <w:sz w:val="20"/>
              </w:rPr>
              <w:t>Sambandhaparīkṣā</w:t>
            </w:r>
          </w:p>
        </w:tc>
        <w:tc>
          <w:tcPr>
            <w:tcW w:type="dxa" w:w="4139"/>
            <w:vAlign w:val="top"/>
            <w:tcMar>
              <w:top w:w="85" w:type="dxa"/>
              <w:left w:w="85" w:type="dxa"/>
              <w:bottom w:w="85" w:type="dxa"/>
              <w:right w:w="85" w:type="dxa"/>
            </w:tcMar>
            <w:shd w:fill="FFFFFF"/>
          </w:tcPr>
          <w:p>
            <w:pPr>
              <w:spacing w:after="60" w:line="245" w:lineRule="auto"/>
            </w:pPr>
            <w:r>
              <w:rPr>
                <w:rFonts w:ascii="Liberation Serif" w:hAnsi="Liberation Serif"/>
                <w:sz w:val="20"/>
              </w:rPr>
              <w:t xml:space="preserve">Кārikā 1–25 и отдельная версия с Прабхачандрой: </w:t>
            </w:r>
            <w:hyperlink r:id="rId37">
              <w:r>
                <w:rPr>
                  <w:color w:val="17628B"/>
                  <w:u w:val="single"/>
                </w:rPr>
                <w:t>R006</w:t>
              </w:r>
            </w:hyperlink>
            <w:r>
              <w:rPr>
                <w:rFonts w:ascii="Liberation Serif" w:hAnsi="Liberation Serif"/>
                <w:sz w:val="20"/>
              </w:rPr>
              <w:t xml:space="preserve">, </w:t>
            </w:r>
            <w:hyperlink r:id="rId85">
              <w:r>
                <w:rPr>
                  <w:color w:val="17628B"/>
                  <w:u w:val="single"/>
                </w:rPr>
                <w:t>R007</w:t>
              </w:r>
            </w:hyperlink>
            <w:r>
              <w:rPr>
                <w:rFonts w:ascii="Liberation Serif" w:hAnsi="Liberation Serif"/>
                <w:sz w:val="20"/>
              </w:rPr>
              <w:t xml:space="preserve">. Современный английский trial translation и новое издание с Devendrabuddhi: </w:t>
            </w:r>
            <w:hyperlink r:id="rId24">
              <w:r>
                <w:rPr>
                  <w:color w:val="17628B"/>
                  <w:u w:val="single"/>
                </w:rPr>
                <w:t>R011</w:t>
              </w:r>
            </w:hyperlink>
            <w:r>
              <w:rPr>
                <w:rFonts w:ascii="Liberation Serif" w:hAnsi="Liberation Serif"/>
                <w:sz w:val="20"/>
              </w:rPr>
              <w:t xml:space="preserve">, </w:t>
            </w:r>
            <w:hyperlink r:id="rId86">
              <w:r>
                <w:rPr>
                  <w:color w:val="17628B"/>
                  <w:u w:val="single"/>
                </w:rPr>
                <w:t>R026</w:t>
              </w:r>
            </w:hyperlink>
            <w:r>
              <w:rPr>
                <w:rFonts w:ascii="Liberation Serif" w:hAnsi="Liberation Serif"/>
                <w:sz w:val="20"/>
              </w:rPr>
              <w:t>.</w:t>
            </w:r>
          </w:p>
        </w:tc>
        <w:tc>
          <w:tcPr>
            <w:tcW w:type="dxa" w:w="3572"/>
            <w:vAlign w:val="top"/>
            <w:tcMar>
              <w:top w:w="85" w:type="dxa"/>
              <w:left w:w="85" w:type="dxa"/>
              <w:bottom w:w="85" w:type="dxa"/>
              <w:right w:w="85" w:type="dxa"/>
            </w:tcMar>
            <w:shd w:fill="FFFFFF"/>
          </w:tcPr>
          <w:p>
            <w:pPr>
              <w:spacing w:after="60" w:line="245" w:lineRule="auto"/>
            </w:pPr>
            <w:r>
              <w:rPr>
                <w:rFonts w:ascii="Liberation Serif" w:hAnsi="Liberation Serif"/>
                <w:sz w:val="20"/>
              </w:rPr>
              <w:t>Не смешивать комментарий Прабхачандры с SPv / Devendrabuddhi. Бесплатный перевод не имеет установленного разрешения на повторное размещение.</w:t>
            </w:r>
          </w:p>
        </w:tc>
      </w:tr>
      <w:tr>
        <w:trPr>
          <w:cantSplit/>
        </w:trPr>
        <w:tc>
          <w:tcPr>
            <w:tcW w:type="dxa" w:w="2098"/>
            <w:vAlign w:val="top"/>
            <w:tcMar>
              <w:top w:w="85" w:type="dxa"/>
              <w:left w:w="85" w:type="dxa"/>
              <w:bottom w:w="85" w:type="dxa"/>
              <w:right w:w="85" w:type="dxa"/>
            </w:tcMar>
            <w:shd w:fill="F0F5F6"/>
          </w:tcPr>
          <w:p>
            <w:pPr>
              <w:spacing w:after="60" w:line="245" w:lineRule="auto"/>
            </w:pPr>
            <w:r>
              <w:rPr>
                <w:rFonts w:ascii="Liberation Serif" w:hAnsi="Liberation Serif"/>
                <w:sz w:val="20"/>
              </w:rPr>
              <w:t>Saṃtānāntarasiddhi</w:t>
            </w:r>
          </w:p>
        </w:tc>
        <w:tc>
          <w:tcPr>
            <w:tcW w:type="dxa" w:w="4139"/>
            <w:vAlign w:val="top"/>
            <w:tcMar>
              <w:top w:w="85" w:type="dxa"/>
              <w:left w:w="85" w:type="dxa"/>
              <w:bottom w:w="85" w:type="dxa"/>
              <w:right w:w="85" w:type="dxa"/>
            </w:tcMar>
            <w:shd w:fill="F0F5F6"/>
          </w:tcPr>
          <w:p>
            <w:pPr>
              <w:spacing w:after="60" w:line="245" w:lineRule="auto"/>
            </w:pPr>
            <w:r>
              <w:rPr>
                <w:rFonts w:ascii="Liberation Serif" w:hAnsi="Liberation Serif"/>
                <w:sz w:val="20"/>
              </w:rPr>
              <w:t xml:space="preserve">Тибетский D4219 в </w:t>
            </w:r>
            <w:hyperlink r:id="rId29">
              <w:r>
                <w:rPr>
                  <w:color w:val="17628B"/>
                  <w:u w:val="single"/>
                </w:rPr>
                <w:t>R055</w:t>
              </w:r>
            </w:hyperlink>
            <w:r>
              <w:rPr>
                <w:rFonts w:ascii="Liberation Serif" w:hAnsi="Liberation Serif"/>
                <w:sz w:val="20"/>
              </w:rPr>
              <w:t xml:space="preserve">; санскритская реконструкция </w:t>
            </w:r>
            <w:hyperlink r:id="rId38">
              <w:r>
                <w:rPr>
                  <w:color w:val="17628B"/>
                  <w:u w:val="single"/>
                </w:rPr>
                <w:t>R008</w:t>
              </w:r>
            </w:hyperlink>
            <w:r>
              <w:rPr>
                <w:rFonts w:ascii="Liberation Serif" w:hAnsi="Liberation Serif"/>
                <w:sz w:val="20"/>
              </w:rPr>
              <w:t xml:space="preserve">; историческое издание с Vinītadeva и Агван-Дандаром </w:t>
            </w:r>
            <w:hyperlink r:id="rId65">
              <w:r>
                <w:rPr>
                  <w:color w:val="17628B"/>
                  <w:u w:val="single"/>
                </w:rPr>
                <w:t>R081</w:t>
              </w:r>
            </w:hyperlink>
            <w:r>
              <w:rPr>
                <w:rFonts w:ascii="Liberation Serif" w:hAnsi="Liberation Serif"/>
                <w:sz w:val="20"/>
              </w:rPr>
              <w:t>.</w:t>
            </w:r>
          </w:p>
        </w:tc>
        <w:tc>
          <w:tcPr>
            <w:tcW w:type="dxa" w:w="3572"/>
            <w:vAlign w:val="top"/>
            <w:tcMar>
              <w:top w:w="85" w:type="dxa"/>
              <w:left w:w="85" w:type="dxa"/>
              <w:bottom w:w="85" w:type="dxa"/>
              <w:right w:w="85" w:type="dxa"/>
            </w:tcMar>
            <w:shd w:fill="F0F5F6"/>
          </w:tcPr>
          <w:p>
            <w:pPr>
              <w:spacing w:after="60" w:line="245" w:lineRule="auto"/>
            </w:pPr>
            <w:r>
              <w:rPr>
                <w:rFonts w:ascii="Liberation Serif" w:hAnsi="Liberation Serif"/>
                <w:sz w:val="20"/>
              </w:rPr>
              <w:t>Реконструированный санскрит не объявлен независимым оригиналом. HathiTrust-карточка не равна проверенному полному файлу.</w:t>
            </w:r>
          </w:p>
        </w:tc>
      </w:tr>
    </w:tbl>
    <w:p>
      <w:r/>
    </w:p>
    <w:p>
      <w:pPr>
        <w:pStyle w:val="Heading2"/>
      </w:pPr>
      <w:r>
        <w:t>3.7. Поздние индийские трактаты и PVA</w:t>
      </w:r>
    </w:p>
    <w:p>
      <w:r>
        <w:t>Ratnakīrtinibandhāvali и Jñānaśrīmitranibandhāvali — лучшие найденные укрупнённые санскритские машиночитаемые входы в позднюю фазу. В первом файле перечислены десять трактатов, включая Apohasiddhi, две Kṣaṇabhaṅgasiddhi, Vyāptinirṇaya и Santānāntaradūṣaṇa. Это один корпусный доступ, не десять независимых цифровых загрузок. [</w:t>
      </w:r>
      <w:hyperlink r:id="rId50">
        <w:r>
          <w:rPr>
            <w:color w:val="17628B"/>
            <w:u w:val="single"/>
          </w:rPr>
          <w:t>R012</w:t>
        </w:r>
      </w:hyperlink>
      <w:r>
        <w:t xml:space="preserve">, </w:t>
      </w:r>
      <w:hyperlink r:id="rId51">
        <w:r>
          <w:rPr>
            <w:color w:val="17628B"/>
            <w:u w:val="single"/>
          </w:rPr>
          <w:t>R013</w:t>
        </w:r>
      </w:hyperlink>
      <w:r>
        <w:t>.]</w:t>
      </w:r>
    </w:p>
    <w:p>
      <w:r>
        <w:t>Для современной интерпретации apoha полезны полный официальный PDF Ratnakīrti’s Proof of Exclusion (McAllister, 2020; все права сохранены) и платный санскритско-английский Apohaprakaraṇa Джнянашримитры (McCrea / Patil, 2010). Они не заменяют друг друга: это разные авторы и произведения. [</w:t>
      </w:r>
      <w:hyperlink r:id="rId52">
        <w:r>
          <w:rPr>
            <w:color w:val="17628B"/>
            <w:u w:val="single"/>
          </w:rPr>
          <w:t>R028</w:t>
        </w:r>
      </w:hyperlink>
      <w:r>
        <w:t xml:space="preserve">, </w:t>
      </w:r>
      <w:hyperlink r:id="rId56">
        <w:r>
          <w:rPr>
            <w:color w:val="17628B"/>
            <w:u w:val="single"/>
          </w:rPr>
          <w:t>R056</w:t>
        </w:r>
      </w:hyperlink>
      <w:r>
        <w:t>.]</w:t>
      </w:r>
    </w:p>
    <w:p>
      <w:r>
        <w:t>Джитари, Ашока, Tarkabhāṣā и Tarkarahasya дают реальное расширение за пределы наиболее известных корневых трактатов. Лакуны Джитари отмечены на уровне каждой записи: Sarvajñasiddhi — фрагмент, а положительный тег собственного перевода относится только к сохранившемуся открытому тексту. [</w:t>
      </w:r>
      <w:hyperlink r:id="rId16">
        <w:r>
          <w:rPr>
            <w:color w:val="17628B"/>
            <w:u w:val="single"/>
          </w:rPr>
          <w:t>R031</w:t>
        </w:r>
      </w:hyperlink>
      <w:r>
        <w:t xml:space="preserve">, </w:t>
      </w:r>
      <w:hyperlink r:id="rId53">
        <w:r>
          <w:rPr>
            <w:color w:val="17628B"/>
            <w:u w:val="single"/>
          </w:rPr>
          <w:t>R032</w:t>
        </w:r>
      </w:hyperlink>
      <w:r>
        <w:t xml:space="preserve">, </w:t>
      </w:r>
      <w:hyperlink r:id="rId54">
        <w:r>
          <w:rPr>
            <w:color w:val="17628B"/>
            <w:u w:val="single"/>
          </w:rPr>
          <w:t>R033</w:t>
        </w:r>
      </w:hyperlink>
      <w:r>
        <w:t xml:space="preserve">, </w:t>
      </w:r>
      <w:hyperlink r:id="rId17">
        <w:r>
          <w:rPr>
            <w:color w:val="17628B"/>
            <w:u w:val="single"/>
          </w:rPr>
          <w:t>R034</w:t>
        </w:r>
      </w:hyperlink>
      <w:r>
        <w:t xml:space="preserve">, </w:t>
      </w:r>
      <w:hyperlink r:id="rId87">
        <w:r>
          <w:rPr>
            <w:color w:val="17628B"/>
            <w:u w:val="single"/>
          </w:rPr>
          <w:t>R035</w:t>
        </w:r>
      </w:hyperlink>
      <w:r>
        <w:t xml:space="preserve">, </w:t>
      </w:r>
      <w:hyperlink r:id="rId88">
        <w:r>
          <w:rPr>
            <w:color w:val="17628B"/>
            <w:u w:val="single"/>
          </w:rPr>
          <w:t>R036</w:t>
        </w:r>
      </w:hyperlink>
      <w:r>
        <w:t xml:space="preserve">, </w:t>
      </w:r>
      <w:hyperlink r:id="rId55">
        <w:r>
          <w:rPr>
            <w:color w:val="17628B"/>
            <w:u w:val="single"/>
          </w:rPr>
          <w:t>R037</w:t>
        </w:r>
      </w:hyperlink>
      <w:r>
        <w:t xml:space="preserve">, </w:t>
      </w:r>
      <w:hyperlink r:id="rId89">
        <w:r>
          <w:rPr>
            <w:color w:val="17628B"/>
            <w:u w:val="single"/>
          </w:rPr>
          <w:t>R038</w:t>
        </w:r>
      </w:hyperlink>
      <w:r>
        <w:t xml:space="preserve">, </w:t>
      </w:r>
      <w:hyperlink r:id="rId18">
        <w:r>
          <w:rPr>
            <w:color w:val="17628B"/>
            <w:u w:val="single"/>
          </w:rPr>
          <w:t>R039</w:t>
        </w:r>
      </w:hyperlink>
      <w:r>
        <w:t xml:space="preserve">, </w:t>
      </w:r>
      <w:hyperlink r:id="rId23">
        <w:r>
          <w:rPr>
            <w:color w:val="17628B"/>
            <w:u w:val="single"/>
          </w:rPr>
          <w:t>R067</w:t>
        </w:r>
      </w:hyperlink>
      <w:r>
        <w:t>.]</w:t>
      </w:r>
    </w:p>
    <w:p>
      <w:r>
        <w:t>Prajñākaragupta не оставлен лишь ссылкой на портал. Полный большой XML SARIT пока верифицирован только как существующий файл, зато открыты PDF критических изданий и переводов PVA ad PV II 139–146a1 (Moriyama, 2024) и III 161–162 (Kimura, 2025). Статья Miyo 2026 ad III 378 сохранена с неудавшимся открытием PDF. Эти публикации дают точечный научный доступ, но не полный комментарий. [</w:t>
      </w:r>
      <w:hyperlink r:id="rId90">
        <w:r>
          <w:rPr>
            <w:color w:val="17628B"/>
            <w:u w:val="single"/>
          </w:rPr>
          <w:t>R071</w:t>
        </w:r>
      </w:hyperlink>
      <w:r>
        <w:t xml:space="preserve">, </w:t>
      </w:r>
      <w:hyperlink r:id="rId48">
        <w:r>
          <w:rPr>
            <w:color w:val="17628B"/>
            <w:u w:val="single"/>
          </w:rPr>
          <w:t>R073</w:t>
        </w:r>
      </w:hyperlink>
      <w:r>
        <w:t xml:space="preserve">, </w:t>
      </w:r>
      <w:hyperlink r:id="rId49">
        <w:r>
          <w:rPr>
            <w:color w:val="17628B"/>
            <w:u w:val="single"/>
          </w:rPr>
          <w:t>R074</w:t>
        </w:r>
      </w:hyperlink>
      <w:r>
        <w:t xml:space="preserve">, </w:t>
      </w:r>
      <w:hyperlink r:id="rId91">
        <w:r>
          <w:rPr>
            <w:color w:val="17628B"/>
            <w:u w:val="single"/>
          </w:rPr>
          <w:t>R075</w:t>
        </w:r>
      </w:hyperlink>
      <w:r>
        <w:t xml:space="preserve">, </w:t>
      </w:r>
      <w:hyperlink r:id="rId92">
        <w:r>
          <w:rPr>
            <w:color w:val="17628B"/>
            <w:u w:val="single"/>
          </w:rPr>
          <w:t>R088</w:t>
        </w:r>
      </w:hyperlink>
      <w:r>
        <w:t>.]</w:t>
      </w:r>
    </w:p>
    <w:p>
      <w:pPr>
        <w:pStyle w:val="Heading2"/>
      </w:pPr>
      <w:r>
        <w:t>3.8. Межшкольная полемика и поздний тибетский слой</w:t>
      </w:r>
    </w:p>
    <w:p>
      <w:r>
        <w:t>Для первичных полемических текстов нужны не общие обзоры, а Nyāyasūtra / Nyāyabhāṣya, Nyāyavārttikatātparyaṭīkā и доступные части Ślokavārttika с Kāśikā. Последняя содержит конкретную лакуну и не включает весь трактат. GRETIL Tattvasaṃgraha — неожиданно не непрерывный оригинал, а грамматический разбор с переставленными словами; для перевода он не принят как чистая основа. Современный Goodman 2022 даёт выбранные метафизические главы TS/TSP через покупку или институциональный доступ. [</w:t>
      </w:r>
      <w:hyperlink r:id="rId67">
        <w:r>
          <w:rPr>
            <w:color w:val="17628B"/>
            <w:u w:val="single"/>
          </w:rPr>
          <w:t>R051</w:t>
        </w:r>
      </w:hyperlink>
      <w:r>
        <w:t xml:space="preserve">, </w:t>
      </w:r>
      <w:hyperlink r:id="rId70">
        <w:r>
          <w:rPr>
            <w:color w:val="17628B"/>
            <w:u w:val="single"/>
          </w:rPr>
          <w:t>R068</w:t>
        </w:r>
      </w:hyperlink>
      <w:r>
        <w:t xml:space="preserve">, </w:t>
      </w:r>
      <w:hyperlink r:id="rId69">
        <w:r>
          <w:rPr>
            <w:color w:val="17628B"/>
            <w:u w:val="single"/>
          </w:rPr>
          <w:t>R060</w:t>
        </w:r>
      </w:hyperlink>
      <w:r>
        <w:t xml:space="preserve">, </w:t>
      </w:r>
      <w:hyperlink r:id="rId93">
        <w:r>
          <w:rPr>
            <w:color w:val="17628B"/>
            <w:u w:val="single"/>
          </w:rPr>
          <w:t>R059</w:t>
        </w:r>
      </w:hyperlink>
      <w:r>
        <w:t xml:space="preserve">, </w:t>
      </w:r>
      <w:hyperlink r:id="rId94">
        <w:r>
          <w:rPr>
            <w:color w:val="17628B"/>
            <w:u w:val="single"/>
          </w:rPr>
          <w:t>R069</w:t>
        </w:r>
      </w:hyperlink>
      <w:r>
        <w:t xml:space="preserve">, </w:t>
      </w:r>
      <w:hyperlink r:id="rId95">
        <w:r>
          <w:rPr>
            <w:color w:val="17628B"/>
            <w:u w:val="single"/>
          </w:rPr>
          <w:t>R072</w:t>
        </w:r>
      </w:hyperlink>
      <w:r>
        <w:t>.]</w:t>
      </w:r>
    </w:p>
    <w:p>
      <w:r>
        <w:t>Для свободного позднего тибетского чтения особенно удобны тибетский и английский «Меч мудрости» Мипама с CC BY-NC 4.0. Отрывок Горампы также доступен на двух языках, но английская страница включает чужие переводные цитаты: лицензия её собственного перевода не снимает этого ограничения. Для собственного перевода ToS надёжнее отдельный тибетский текст. [</w:t>
      </w:r>
      <w:hyperlink r:id="rId60">
        <w:r>
          <w:rPr>
            <w:color w:val="17628B"/>
            <w:u w:val="single"/>
          </w:rPr>
          <w:t>R053</w:t>
        </w:r>
      </w:hyperlink>
      <w:r>
        <w:t xml:space="preserve">, </w:t>
      </w:r>
      <w:hyperlink r:id="rId61">
        <w:r>
          <w:rPr>
            <w:color w:val="17628B"/>
            <w:u w:val="single"/>
          </w:rPr>
          <w:t>R054</w:t>
        </w:r>
      </w:hyperlink>
      <w:r>
        <w:t xml:space="preserve">, </w:t>
      </w:r>
      <w:hyperlink r:id="rId62">
        <w:r>
          <w:rPr>
            <w:color w:val="17628B"/>
            <w:u w:val="single"/>
          </w:rPr>
          <w:t>R076</w:t>
        </w:r>
      </w:hyperlink>
      <w:r>
        <w:t xml:space="preserve">, </w:t>
      </w:r>
      <w:hyperlink r:id="rId71">
        <w:r>
          <w:rPr>
            <w:color w:val="17628B"/>
            <w:u w:val="single"/>
          </w:rPr>
          <w:t>R077</w:t>
        </w:r>
      </w:hyperlink>
      <w:r>
        <w:t>.]</w:t>
      </w:r>
    </w:p>
    <w:p>
      <w:r>
        <w:t>Для масштабного научного знакомства сохранены защищённые издания: Phya pa в The Roar of a Tibetan Lion, Горампа в Light of Samantabhadra и антология Buddhist Epistemology in the Geluk School. Наличие таких платных или ограниченно открытых маршрутов — часть результата, а не недостаток реестра. [</w:t>
      </w:r>
      <w:hyperlink r:id="rId59">
        <w:r>
          <w:rPr>
            <w:color w:val="17628B"/>
            <w:u w:val="single"/>
          </w:rPr>
          <w:t>R029</w:t>
        </w:r>
      </w:hyperlink>
      <w:r>
        <w:t xml:space="preserve">, </w:t>
      </w:r>
      <w:hyperlink r:id="rId63">
        <w:r>
          <w:rPr>
            <w:color w:val="17628B"/>
            <w:u w:val="single"/>
          </w:rPr>
          <w:t>R078</w:t>
        </w:r>
      </w:hyperlink>
      <w:r>
        <w:t xml:space="preserve">, </w:t>
      </w:r>
      <w:hyperlink r:id="rId64">
        <w:r>
          <w:rPr>
            <w:color w:val="17628B"/>
            <w:u w:val="single"/>
          </w:rPr>
          <w:t>R079</w:t>
        </w:r>
      </w:hyperlink>
      <w:r>
        <w:t>.]</w:t>
      </w:r>
    </w:p>
    <w:p>
      <w:pPr>
        <w:pStyle w:val="Heading2"/>
      </w:pPr>
      <w:r>
        <w:t>3.9. Машиночитаемый слой и навигация</w:t>
      </w:r>
    </w:p>
    <w:p>
      <w:r>
        <w:t>Для дальнейшей загрузки и поиска наиболее практичны item-level SARIT TEI, GRETIL HTML/TEI и два проверенных TXT Esukhia. Приоритет отдаётся реальному файлу и его лицензии, а не названию платформы. CBETA предоставляет китайские XML/PDF, но производное использование требует дополнительного согласования условий. API, IIIF и полный массовый экспорт нужных рукописных изображений BDRC не подтверждены — они остались в G027.</w:t>
      </w:r>
    </w:p>
    <w:p>
      <w:r>
        <w:t>84000 полезен как сверяемый канонический указатель Toh 4203–4268. На момент проверки его 66 позиций были помечены Not Begun: каталог не является набором 66 английских переводов. GRETIL, SARIT и Prajñākaragupta Studies включены по одному разу как инфраструктура; основные находки ведут к конкретным текстам и изданиям. [</w:t>
      </w:r>
      <w:hyperlink r:id="rId96">
        <w:r>
          <w:rPr>
            <w:color w:val="17628B"/>
            <w:u w:val="single"/>
          </w:rPr>
          <w:t>R085</w:t>
        </w:r>
      </w:hyperlink>
      <w:r>
        <w:t xml:space="preserve">, </w:t>
      </w:r>
      <w:hyperlink r:id="rId97">
        <w:r>
          <w:rPr>
            <w:color w:val="17628B"/>
            <w:u w:val="single"/>
          </w:rPr>
          <w:t>R086</w:t>
        </w:r>
      </w:hyperlink>
      <w:r>
        <w:t xml:space="preserve">, </w:t>
      </w:r>
      <w:hyperlink r:id="rId98">
        <w:r>
          <w:rPr>
            <w:color w:val="17628B"/>
            <w:u w:val="single"/>
          </w:rPr>
          <w:t>R087</w:t>
        </w:r>
      </w:hyperlink>
      <w:r>
        <w:t xml:space="preserve">, </w:t>
      </w:r>
      <w:hyperlink r:id="rId92">
        <w:r>
          <w:rPr>
            <w:color w:val="17628B"/>
            <w:u w:val="single"/>
          </w:rPr>
          <w:t>R088</w:t>
        </w:r>
      </w:hyperlink>
      <w:r>
        <w:t>.]</w:t>
      </w:r>
    </w:p>
    <w:p>
      <w:r>
        <w:br w:type="page"/>
      </w:r>
    </w:p>
    <w:p>
      <w:pPr>
        <w:pStyle w:val="Heading1"/>
      </w:pPr>
      <w:r>
        <w:t>4. Карта прав и практического использования</w:t>
      </w:r>
    </w:p>
    <w:p>
      <w:r>
        <w:t>В таблице последовательно разделены четыре слоя: историческое произведение; конкретный перевод, реконструкция или редакция; цифровой файл; условия сайта. Теги ToS относятся только к rights_scope и coverage той же записи. Неизвестные права не уничтожают полезный маршрут доступа, но блокируют автоматическое решение о повторной публикации.</w:t>
      </w:r>
    </w:p>
    <w:tbl>
      <w:tblPr>
        <w:tblW w:type="auto" w:w="0"/>
        <w:jc w:val="center"/>
        <w:tblLayout w:type="fixed"/>
        <w:tblLook w:firstColumn="1" w:firstRow="1" w:lastColumn="0" w:lastRow="0" w:noHBand="0" w:noVBand="1" w:val="04A0"/>
      </w:tblPr>
      <w:tblGrid>
        <w:gridCol w:w="2098"/>
        <w:gridCol w:w="4082"/>
        <w:gridCol w:w="3628"/>
      </w:tblGrid>
      <w:tr>
        <w:trPr>
          <w:tblHeader/>
          <w:cantSplit/>
        </w:trPr>
        <w:tc>
          <w:tcPr>
            <w:tcW w:type="dxa" w:w="2098"/>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Группа</w:t>
            </w:r>
          </w:p>
        </w:tc>
        <w:tc>
          <w:tcPr>
            <w:tcW w:type="dxa" w:w="4082"/>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Что допустимо по найденному основанию</w:t>
            </w:r>
          </w:p>
        </w:tc>
        <w:tc>
          <w:tcPr>
            <w:tcW w:type="dxa" w:w="3628"/>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Где проходит граница</w:t>
            </w:r>
          </w:p>
        </w:tc>
      </w:tr>
      <w:tr>
        <w:trPr>
          <w:cantSplit/>
        </w:trPr>
        <w:tc>
          <w:tcPr>
            <w:tcW w:type="dxa" w:w="2098"/>
            <w:vAlign w:val="top"/>
            <w:tcMar>
              <w:top w:w="85" w:type="dxa"/>
              <w:left w:w="85" w:type="dxa"/>
              <w:bottom w:w="85" w:type="dxa"/>
              <w:right w:w="85" w:type="dxa"/>
            </w:tcMar>
            <w:shd w:fill="F0F5F6"/>
          </w:tcPr>
          <w:p>
            <w:pPr>
              <w:spacing w:after="60" w:line="245" w:lineRule="auto"/>
            </w:pPr>
            <w:r>
              <w:rPr>
                <w:rFonts w:ascii="Liberation Serif" w:hAnsi="Liberation Serif"/>
                <w:sz w:val="20"/>
              </w:rPr>
              <w:t>Public Domain — заявление проекта</w:t>
            </w:r>
          </w:p>
        </w:tc>
        <w:tc>
          <w:tcPr>
            <w:tcW w:type="dxa" w:w="4082"/>
            <w:vAlign w:val="top"/>
            <w:tcMar>
              <w:top w:w="85" w:type="dxa"/>
              <w:left w:w="85" w:type="dxa"/>
              <w:bottom w:w="85" w:type="dxa"/>
              <w:right w:w="85" w:type="dxa"/>
            </w:tcMar>
            <w:shd w:fill="F0F5F6"/>
          </w:tcPr>
          <w:p>
            <w:pPr>
              <w:spacing w:after="60" w:line="245" w:lineRule="auto"/>
            </w:pPr>
            <w:r>
              <w:rPr>
                <w:rFonts w:ascii="Liberation Serif" w:hAnsi="Liberation Serif"/>
                <w:sz w:val="20"/>
              </w:rPr>
              <w:t xml:space="preserve">Esukhia TXT 174–175: чтение, сохранение, текстовый поиск, embeddings и собственный перевод представленных исторических тибетских текстов; </w:t>
            </w:r>
            <w:hyperlink r:id="rId29">
              <w:r>
                <w:rPr>
                  <w:color w:val="17628B"/>
                  <w:u w:val="single"/>
                </w:rPr>
                <w:t>R055</w:t>
              </w:r>
            </w:hyperlink>
            <w:r>
              <w:rPr>
                <w:rFonts w:ascii="Liberation Serif" w:hAnsi="Liberation Serif"/>
                <w:sz w:val="20"/>
              </w:rPr>
              <w:t>.</w:t>
            </w:r>
          </w:p>
        </w:tc>
        <w:tc>
          <w:tcPr>
            <w:tcW w:type="dxa" w:w="3628"/>
            <w:vAlign w:val="top"/>
            <w:tcMar>
              <w:top w:w="85" w:type="dxa"/>
              <w:left w:w="85" w:type="dxa"/>
              <w:bottom w:w="85" w:type="dxa"/>
              <w:right w:w="85" w:type="dxa"/>
            </w:tcMar>
            <w:shd w:fill="F0F5F6"/>
          </w:tcPr>
          <w:p>
            <w:pPr>
              <w:spacing w:after="60" w:line="245" w:lineRule="auto"/>
            </w:pPr>
            <w:r>
              <w:rPr>
                <w:rFonts w:ascii="Liberation Serif" w:hAnsi="Liberation Serif"/>
                <w:sz w:val="20"/>
              </w:rPr>
              <w:t>Это заявление проекта о механической передаче, не CC-лицензия и не Public Domain Mark. Не распространяется на исходные изображения BDRC или все 66 канонических трактатов.</w:t>
            </w:r>
          </w:p>
        </w:tc>
      </w:tr>
      <w:tr>
        <w:trPr>
          <w:cantSplit/>
        </w:trPr>
        <w:tc>
          <w:tcPr>
            <w:tcW w:type="dxa" w:w="2098"/>
            <w:vAlign w:val="top"/>
            <w:tcMar>
              <w:top w:w="85" w:type="dxa"/>
              <w:left w:w="85" w:type="dxa"/>
              <w:bottom w:w="85" w:type="dxa"/>
              <w:right w:w="85" w:type="dxa"/>
            </w:tcMar>
            <w:shd w:fill="FFFFFF"/>
          </w:tcPr>
          <w:p>
            <w:pPr>
              <w:spacing w:after="60" w:line="245" w:lineRule="auto"/>
            </w:pPr>
            <w:r>
              <w:rPr>
                <w:rFonts w:ascii="Liberation Serif" w:hAnsi="Liberation Serif"/>
                <w:sz w:val="20"/>
              </w:rPr>
              <w:t>CC BY 4.0</w:t>
            </w:r>
          </w:p>
        </w:tc>
        <w:tc>
          <w:tcPr>
            <w:tcW w:type="dxa" w:w="4082"/>
            <w:vAlign w:val="top"/>
            <w:tcMar>
              <w:top w:w="85" w:type="dxa"/>
              <w:left w:w="85" w:type="dxa"/>
              <w:bottom w:w="85" w:type="dxa"/>
              <w:right w:w="85" w:type="dxa"/>
            </w:tcMar>
            <w:shd w:fill="FFFFFF"/>
          </w:tcPr>
          <w:p>
            <w:pPr>
              <w:spacing w:after="60" w:line="245" w:lineRule="auto"/>
            </w:pPr>
            <w:r>
              <w:rPr>
                <w:rFonts w:ascii="Liberation Serif" w:hAnsi="Liberation Serif"/>
                <w:sz w:val="20"/>
              </w:rPr>
              <w:t xml:space="preserve">Современное издание PSṭ VI: повторное размещение с атрибуцией; OCR/извлечение, индекс и работа с лицензированным текстом. </w:t>
            </w:r>
            <w:hyperlink r:id="rId47">
              <w:r>
                <w:rPr>
                  <w:color w:val="17628B"/>
                  <w:u w:val="single"/>
                </w:rPr>
                <w:t>R030</w:t>
              </w:r>
            </w:hyperlink>
            <w:r>
              <w:rPr>
                <w:rFonts w:ascii="Liberation Serif" w:hAnsi="Liberation Serif"/>
                <w:sz w:val="20"/>
              </w:rPr>
              <w:t>.</w:t>
            </w:r>
          </w:p>
        </w:tc>
        <w:tc>
          <w:tcPr>
            <w:tcW w:type="dxa" w:w="3628"/>
            <w:vAlign w:val="top"/>
            <w:tcMar>
              <w:top w:w="85" w:type="dxa"/>
              <w:left w:w="85" w:type="dxa"/>
              <w:bottom w:w="85" w:type="dxa"/>
              <w:right w:w="85" w:type="dxa"/>
            </w:tcMar>
            <w:shd w:fill="FFFFFF"/>
          </w:tcPr>
          <w:p>
            <w:pPr>
              <w:spacing w:after="60" w:line="245" w:lineRule="auto"/>
            </w:pPr>
            <w:r>
              <w:rPr>
                <w:rFonts w:ascii="Liberation Serif" w:hAnsi="Liberation Serif"/>
                <w:sz w:val="20"/>
              </w:rPr>
              <w:t>Только этот том и не исключённые компоненты. Для самостоятельного перевода отмечен дипломатический санскрит VI, не весь утраченный оригинал PS.</w:t>
            </w:r>
          </w:p>
        </w:tc>
      </w:tr>
      <w:tr>
        <w:trPr>
          <w:cantSplit/>
        </w:trPr>
        <w:tc>
          <w:tcPr>
            <w:tcW w:type="dxa" w:w="2098"/>
            <w:vAlign w:val="top"/>
            <w:tcMar>
              <w:top w:w="85" w:type="dxa"/>
              <w:left w:w="85" w:type="dxa"/>
              <w:bottom w:w="85" w:type="dxa"/>
              <w:right w:w="85" w:type="dxa"/>
            </w:tcMar>
            <w:shd w:fill="F0F5F6"/>
          </w:tcPr>
          <w:p>
            <w:pPr>
              <w:spacing w:after="60" w:line="245" w:lineRule="auto"/>
            </w:pPr>
            <w:r>
              <w:rPr>
                <w:rFonts w:ascii="Liberation Serif" w:hAnsi="Liberation Serif"/>
                <w:sz w:val="20"/>
              </w:rPr>
              <w:t>CC BY-SA 3.0 / 4.0</w:t>
            </w:r>
          </w:p>
        </w:tc>
        <w:tc>
          <w:tcPr>
            <w:tcW w:type="dxa" w:w="4082"/>
            <w:vAlign w:val="top"/>
            <w:tcMar>
              <w:top w:w="85" w:type="dxa"/>
              <w:left w:w="85" w:type="dxa"/>
              <w:bottom w:w="85" w:type="dxa"/>
              <w:right w:w="85" w:type="dxa"/>
            </w:tcMar>
            <w:shd w:fill="F0F5F6"/>
          </w:tcPr>
          <w:p>
            <w:pPr>
              <w:spacing w:after="60" w:line="245" w:lineRule="auto"/>
            </w:pPr>
            <w:r>
              <w:rPr>
                <w:rFonts w:ascii="Liberation Serif" w:hAnsi="Liberation Serif"/>
                <w:sz w:val="20"/>
              </w:rPr>
              <w:t xml:space="preserve">Конкретные SARIT TEI: атрибуция, сохранение лицензии и ShareAlike для распространяемых адаптаций; </w:t>
            </w:r>
            <w:hyperlink r:id="rId50">
              <w:r>
                <w:rPr>
                  <w:color w:val="17628B"/>
                  <w:u w:val="single"/>
                </w:rPr>
                <w:t>R012</w:t>
              </w:r>
            </w:hyperlink>
            <w:r>
              <w:rPr>
                <w:rFonts w:ascii="Liberation Serif" w:hAnsi="Liberation Serif"/>
                <w:sz w:val="20"/>
              </w:rPr>
              <w:t xml:space="preserve">, </w:t>
            </w:r>
            <w:hyperlink r:id="rId51">
              <w:r>
                <w:rPr>
                  <w:color w:val="17628B"/>
                  <w:u w:val="single"/>
                </w:rPr>
                <w:t>R013</w:t>
              </w:r>
            </w:hyperlink>
            <w:r>
              <w:rPr>
                <w:rFonts w:ascii="Liberation Serif" w:hAnsi="Liberation Serif"/>
                <w:sz w:val="20"/>
              </w:rPr>
              <w:t xml:space="preserve">, </w:t>
            </w:r>
            <w:hyperlink r:id="rId13">
              <w:r>
                <w:rPr>
                  <w:color w:val="17628B"/>
                  <w:u w:val="single"/>
                </w:rPr>
                <w:t>R014</w:t>
              </w:r>
            </w:hyperlink>
            <w:r>
              <w:rPr>
                <w:rFonts w:ascii="Liberation Serif" w:hAnsi="Liberation Serif"/>
                <w:sz w:val="20"/>
              </w:rPr>
              <w:t xml:space="preserve">, </w:t>
            </w:r>
            <w:hyperlink r:id="rId14">
              <w:r>
                <w:rPr>
                  <w:color w:val="17628B"/>
                  <w:u w:val="single"/>
                </w:rPr>
                <w:t>R016</w:t>
              </w:r>
            </w:hyperlink>
            <w:r>
              <w:rPr>
                <w:rFonts w:ascii="Liberation Serif" w:hAnsi="Liberation Serif"/>
                <w:sz w:val="20"/>
              </w:rPr>
              <w:t xml:space="preserve">, </w:t>
            </w:r>
            <w:hyperlink r:id="rId16">
              <w:r>
                <w:rPr>
                  <w:color w:val="17628B"/>
                  <w:u w:val="single"/>
                </w:rPr>
                <w:t>R031</w:t>
              </w:r>
            </w:hyperlink>
            <w:r>
              <w:rPr>
                <w:rFonts w:ascii="Liberation Serif" w:hAnsi="Liberation Serif"/>
                <w:sz w:val="20"/>
              </w:rPr>
              <w:t xml:space="preserve">, </w:t>
            </w:r>
            <w:hyperlink r:id="rId23">
              <w:r>
                <w:rPr>
                  <w:color w:val="17628B"/>
                  <w:u w:val="single"/>
                </w:rPr>
                <w:t>R067</w:t>
              </w:r>
            </w:hyperlink>
            <w:r>
              <w:rPr>
                <w:rFonts w:ascii="Liberation Serif" w:hAnsi="Liberation Serif"/>
                <w:sz w:val="20"/>
              </w:rPr>
              <w:t xml:space="preserve">, </w:t>
            </w:r>
            <w:hyperlink r:id="rId70">
              <w:r>
                <w:rPr>
                  <w:color w:val="17628B"/>
                  <w:u w:val="single"/>
                </w:rPr>
                <w:t>R068</w:t>
              </w:r>
            </w:hyperlink>
            <w:r>
              <w:rPr>
                <w:rFonts w:ascii="Liberation Serif" w:hAnsi="Liberation Serif"/>
                <w:sz w:val="20"/>
              </w:rPr>
              <w:t>.</w:t>
            </w:r>
          </w:p>
        </w:tc>
        <w:tc>
          <w:tcPr>
            <w:tcW w:type="dxa" w:w="3628"/>
            <w:vAlign w:val="top"/>
            <w:tcMar>
              <w:top w:w="85" w:type="dxa"/>
              <w:left w:w="85" w:type="dxa"/>
              <w:bottom w:w="85" w:type="dxa"/>
              <w:right w:w="85" w:type="dxa"/>
            </w:tcMar>
            <w:shd w:fill="F0F5F6"/>
          </w:tcPr>
          <w:p>
            <w:pPr>
              <w:spacing w:after="60" w:line="245" w:lineRule="auto"/>
            </w:pPr>
            <w:r>
              <w:rPr>
                <w:rFonts w:ascii="Liberation Serif" w:hAnsi="Liberation Serif"/>
                <w:sz w:val="20"/>
              </w:rPr>
              <w:t>Не автоматически сканы печатных основ и сторонний аппарат. Лицензии разных файлов проверяются раздельно; версия 3.0 не переписывается как 4.0.</w:t>
            </w:r>
          </w:p>
        </w:tc>
      </w:tr>
      <w:tr>
        <w:trPr>
          <w:cantSplit/>
        </w:trPr>
        <w:tc>
          <w:tcPr>
            <w:tcW w:type="dxa" w:w="2098"/>
            <w:vAlign w:val="top"/>
            <w:tcMar>
              <w:top w:w="85" w:type="dxa"/>
              <w:left w:w="85" w:type="dxa"/>
              <w:bottom w:w="85" w:type="dxa"/>
              <w:right w:w="85" w:type="dxa"/>
            </w:tcMar>
            <w:shd w:fill="FFFFFF"/>
          </w:tcPr>
          <w:p>
            <w:pPr>
              <w:spacing w:after="60" w:line="245" w:lineRule="auto"/>
            </w:pPr>
            <w:r>
              <w:rPr>
                <w:rFonts w:ascii="Liberation Serif" w:hAnsi="Liberation Serif"/>
                <w:sz w:val="20"/>
              </w:rPr>
              <w:t>CC BY-NC-SA 4.0</w:t>
            </w:r>
          </w:p>
        </w:tc>
        <w:tc>
          <w:tcPr>
            <w:tcW w:type="dxa" w:w="4082"/>
            <w:vAlign w:val="top"/>
            <w:tcMar>
              <w:top w:w="85" w:type="dxa"/>
              <w:left w:w="85" w:type="dxa"/>
              <w:bottom w:w="85" w:type="dxa"/>
              <w:right w:w="85" w:type="dxa"/>
            </w:tcMar>
            <w:shd w:fill="FFFFFF"/>
          </w:tcPr>
          <w:p>
            <w:pPr>
              <w:spacing w:after="60" w:line="245" w:lineRule="auto"/>
            </w:pPr>
            <w:r>
              <w:rPr>
                <w:rFonts w:ascii="Liberation Serif" w:hAnsi="Liberation Serif"/>
                <w:sz w:val="20"/>
              </w:rPr>
              <w:t xml:space="preserve">Проверенные GRETIL e-text: некоммерческое повторное использование, атрибуция и ShareAlike. </w:t>
            </w:r>
            <w:hyperlink r:id="rId11">
              <w:r>
                <w:rPr>
                  <w:color w:val="17628B"/>
                  <w:u w:val="single"/>
                </w:rPr>
                <w:t>R001</w:t>
              </w:r>
            </w:hyperlink>
            <w:r>
              <w:rPr>
                <w:rFonts w:ascii="Liberation Serif" w:hAnsi="Liberation Serif"/>
                <w:sz w:val="20"/>
              </w:rPr>
              <w:t xml:space="preserve">, </w:t>
            </w:r>
            <w:hyperlink r:id="rId34">
              <w:r>
                <w:rPr>
                  <w:color w:val="17628B"/>
                  <w:u w:val="single"/>
                </w:rPr>
                <w:t>R003</w:t>
              </w:r>
            </w:hyperlink>
            <w:r>
              <w:rPr>
                <w:rFonts w:ascii="Liberation Serif" w:hAnsi="Liberation Serif"/>
                <w:sz w:val="20"/>
              </w:rPr>
              <w:t xml:space="preserve">, </w:t>
            </w:r>
            <w:hyperlink r:id="rId21">
              <w:r>
                <w:rPr>
                  <w:color w:val="17628B"/>
                  <w:u w:val="single"/>
                </w:rPr>
                <w:t>R064</w:t>
              </w:r>
            </w:hyperlink>
            <w:r>
              <w:rPr>
                <w:rFonts w:ascii="Liberation Serif" w:hAnsi="Liberation Serif"/>
                <w:sz w:val="20"/>
              </w:rPr>
              <w:t xml:space="preserve">, </w:t>
            </w:r>
            <w:hyperlink r:id="rId22">
              <w:r>
                <w:rPr>
                  <w:color w:val="17628B"/>
                  <w:u w:val="single"/>
                </w:rPr>
                <w:t>R066</w:t>
              </w:r>
            </w:hyperlink>
            <w:r>
              <w:rPr>
                <w:rFonts w:ascii="Liberation Serif" w:hAnsi="Liberation Serif"/>
                <w:sz w:val="20"/>
              </w:rPr>
              <w:t>.</w:t>
            </w:r>
          </w:p>
        </w:tc>
        <w:tc>
          <w:tcPr>
            <w:tcW w:type="dxa" w:w="3628"/>
            <w:vAlign w:val="top"/>
            <w:tcMar>
              <w:top w:w="85" w:type="dxa"/>
              <w:left w:w="85" w:type="dxa"/>
              <w:bottom w:w="85" w:type="dxa"/>
              <w:right w:w="85" w:type="dxa"/>
            </w:tcMar>
            <w:shd w:fill="FFFFFF"/>
          </w:tcPr>
          <w:p>
            <w:pPr>
              <w:spacing w:after="60" w:line="245" w:lineRule="auto"/>
            </w:pPr>
            <w:r>
              <w:rPr>
                <w:rFonts w:ascii="Liberation Serif" w:hAnsi="Liberation Serif"/>
                <w:sz w:val="20"/>
              </w:rPr>
              <w:t>Условие NC сохраняется при публикации ToS; будущая коммерциализация требует повторной оценки. Реконструкции не становятся независимыми оригиналами.</w:t>
            </w:r>
          </w:p>
        </w:tc>
      </w:tr>
      <w:tr>
        <w:trPr>
          <w:cantSplit/>
        </w:trPr>
        <w:tc>
          <w:tcPr>
            <w:tcW w:type="dxa" w:w="2098"/>
            <w:vAlign w:val="top"/>
            <w:tcMar>
              <w:top w:w="85" w:type="dxa"/>
              <w:left w:w="85" w:type="dxa"/>
              <w:bottom w:w="85" w:type="dxa"/>
              <w:right w:w="85" w:type="dxa"/>
            </w:tcMar>
            <w:shd w:fill="F0F5F6"/>
          </w:tcPr>
          <w:p>
            <w:pPr>
              <w:spacing w:after="60" w:line="245" w:lineRule="auto"/>
            </w:pPr>
            <w:r>
              <w:rPr>
                <w:rFonts w:ascii="Liberation Serif" w:hAnsi="Liberation Serif"/>
                <w:sz w:val="20"/>
              </w:rPr>
              <w:t>CC BY-NC 4.0</w:t>
            </w:r>
          </w:p>
        </w:tc>
        <w:tc>
          <w:tcPr>
            <w:tcW w:type="dxa" w:w="4082"/>
            <w:vAlign w:val="top"/>
            <w:tcMar>
              <w:top w:w="85" w:type="dxa"/>
              <w:left w:w="85" w:type="dxa"/>
              <w:bottom w:w="85" w:type="dxa"/>
              <w:right w:w="85" w:type="dxa"/>
            </w:tcMar>
            <w:shd w:fill="F0F5F6"/>
          </w:tcPr>
          <w:p>
            <w:pPr>
              <w:spacing w:after="60" w:line="245" w:lineRule="auto"/>
            </w:pPr>
            <w:r>
              <w:rPr>
                <w:rFonts w:ascii="Liberation Serif" w:hAnsi="Liberation Serif"/>
                <w:sz w:val="20"/>
              </w:rPr>
              <w:t xml:space="preserve">Текстовые страницы Мипама и тибетский отрывок Горампы: некоммерческое использование с атрибуцией. </w:t>
            </w:r>
            <w:hyperlink r:id="rId60">
              <w:r>
                <w:rPr>
                  <w:color w:val="17628B"/>
                  <w:u w:val="single"/>
                </w:rPr>
                <w:t>R053</w:t>
              </w:r>
            </w:hyperlink>
            <w:r>
              <w:rPr>
                <w:rFonts w:ascii="Liberation Serif" w:hAnsi="Liberation Serif"/>
                <w:sz w:val="20"/>
              </w:rPr>
              <w:t xml:space="preserve">, </w:t>
            </w:r>
            <w:hyperlink r:id="rId61">
              <w:r>
                <w:rPr>
                  <w:color w:val="17628B"/>
                  <w:u w:val="single"/>
                </w:rPr>
                <w:t>R054</w:t>
              </w:r>
            </w:hyperlink>
            <w:r>
              <w:rPr>
                <w:rFonts w:ascii="Liberation Serif" w:hAnsi="Liberation Serif"/>
                <w:sz w:val="20"/>
              </w:rPr>
              <w:t xml:space="preserve">, </w:t>
            </w:r>
            <w:hyperlink r:id="rId71">
              <w:r>
                <w:rPr>
                  <w:color w:val="17628B"/>
                  <w:u w:val="single"/>
                </w:rPr>
                <w:t>R077</w:t>
              </w:r>
            </w:hyperlink>
            <w:r>
              <w:rPr>
                <w:rFonts w:ascii="Liberation Serif" w:hAnsi="Liberation Serif"/>
                <w:sz w:val="20"/>
              </w:rPr>
              <w:t>.</w:t>
            </w:r>
          </w:p>
        </w:tc>
        <w:tc>
          <w:tcPr>
            <w:tcW w:type="dxa" w:w="3628"/>
            <w:vAlign w:val="top"/>
            <w:tcMar>
              <w:top w:w="85" w:type="dxa"/>
              <w:left w:w="85" w:type="dxa"/>
              <w:bottom w:w="85" w:type="dxa"/>
              <w:right w:w="85" w:type="dxa"/>
            </w:tcMar>
            <w:shd w:fill="F0F5F6"/>
          </w:tcPr>
          <w:p>
            <w:pPr>
              <w:spacing w:after="60" w:line="245" w:lineRule="auto"/>
            </w:pPr>
            <w:r>
              <w:rPr>
                <w:rFonts w:ascii="Liberation Serif" w:hAnsi="Liberation Serif"/>
                <w:sz w:val="20"/>
              </w:rPr>
              <w:t xml:space="preserve">Фото третьих сторон не включены. В </w:t>
            </w:r>
            <w:hyperlink r:id="rId62">
              <w:r>
                <w:rPr>
                  <w:color w:val="17628B"/>
                  <w:u w:val="single"/>
                </w:rPr>
                <w:t>R076</w:t>
              </w:r>
            </w:hyperlink>
            <w:r>
              <w:rPr>
                <w:rFonts w:ascii="Liberation Serif" w:hAnsi="Liberation Serif"/>
                <w:sz w:val="20"/>
              </w:rPr>
              <w:t xml:space="preserve"> отдельно проверяются заимствованные переводы; зеркалирование всей страницы не разрешается одним общим тегом.</w:t>
            </w:r>
          </w:p>
        </w:tc>
      </w:tr>
      <w:tr>
        <w:trPr>
          <w:cantSplit/>
        </w:trPr>
        <w:tc>
          <w:tcPr>
            <w:tcW w:type="dxa" w:w="2098"/>
            <w:vAlign w:val="top"/>
            <w:tcMar>
              <w:top w:w="85" w:type="dxa"/>
              <w:left w:w="85" w:type="dxa"/>
              <w:bottom w:w="85" w:type="dxa"/>
              <w:right w:w="85" w:type="dxa"/>
            </w:tcMar>
            <w:shd w:fill="FFFFFF"/>
          </w:tcPr>
          <w:p>
            <w:pPr>
              <w:spacing w:after="60" w:line="245" w:lineRule="auto"/>
            </w:pPr>
            <w:r>
              <w:rPr>
                <w:rFonts w:ascii="Liberation Serif" w:hAnsi="Liberation Serif"/>
                <w:sz w:val="20"/>
              </w:rPr>
              <w:t>CBETA: особые условия и смешанные уведомления</w:t>
            </w:r>
          </w:p>
        </w:tc>
        <w:tc>
          <w:tcPr>
            <w:tcW w:type="dxa" w:w="4082"/>
            <w:vAlign w:val="top"/>
            <w:tcMar>
              <w:top w:w="85" w:type="dxa"/>
              <w:left w:w="85" w:type="dxa"/>
              <w:bottom w:w="85" w:type="dxa"/>
              <w:right w:w="85" w:type="dxa"/>
            </w:tcMar>
            <w:shd w:fill="FFFFFF"/>
          </w:tcPr>
          <w:p>
            <w:pPr>
              <w:spacing w:after="60" w:line="245" w:lineRule="auto"/>
            </w:pPr>
            <w:r>
              <w:rPr>
                <w:rFonts w:ascii="Liberation Serif" w:hAnsi="Liberation Serif"/>
                <w:sz w:val="20"/>
              </w:rPr>
              <w:t xml:space="preserve">Неизменённое некоммерческое распространение конкретных открытых файлов при сохранении уведомлений; </w:t>
            </w:r>
            <w:hyperlink r:id="rId19">
              <w:r>
                <w:rPr>
                  <w:color w:val="17628B"/>
                  <w:u w:val="single"/>
                </w:rPr>
                <w:t>R040</w:t>
              </w:r>
            </w:hyperlink>
            <w:r>
              <w:rPr>
                <w:rFonts w:ascii="Liberation Serif" w:hAnsi="Liberation Serif"/>
                <w:sz w:val="20"/>
              </w:rPr>
              <w:t xml:space="preserve">, </w:t>
            </w:r>
            <w:hyperlink r:id="rId26">
              <w:r>
                <w:rPr>
                  <w:color w:val="17628B"/>
                  <w:u w:val="single"/>
                </w:rPr>
                <w:t>R041</w:t>
              </w:r>
            </w:hyperlink>
            <w:r>
              <w:rPr>
                <w:rFonts w:ascii="Liberation Serif" w:hAnsi="Liberation Serif"/>
                <w:sz w:val="20"/>
              </w:rPr>
              <w:t xml:space="preserve">, </w:t>
            </w:r>
            <w:hyperlink r:id="rId74">
              <w:r>
                <w:rPr>
                  <w:color w:val="17628B"/>
                  <w:u w:val="single"/>
                </w:rPr>
                <w:t>R042</w:t>
              </w:r>
            </w:hyperlink>
            <w:r>
              <w:rPr>
                <w:rFonts w:ascii="Liberation Serif" w:hAnsi="Liberation Serif"/>
                <w:sz w:val="20"/>
              </w:rPr>
              <w:t xml:space="preserve">, </w:t>
            </w:r>
            <w:hyperlink r:id="rId27">
              <w:r>
                <w:rPr>
                  <w:color w:val="17628B"/>
                  <w:u w:val="single"/>
                </w:rPr>
                <w:t>R043</w:t>
              </w:r>
            </w:hyperlink>
            <w:r>
              <w:rPr>
                <w:rFonts w:ascii="Liberation Serif" w:hAnsi="Liberation Serif"/>
                <w:sz w:val="20"/>
              </w:rPr>
              <w:t xml:space="preserve">, </w:t>
            </w:r>
            <w:hyperlink r:id="rId66">
              <w:r>
                <w:rPr>
                  <w:color w:val="17628B"/>
                  <w:u w:val="single"/>
                </w:rPr>
                <w:t>R048</w:t>
              </w:r>
            </w:hyperlink>
            <w:r>
              <w:rPr>
                <w:rFonts w:ascii="Liberation Serif" w:hAnsi="Liberation Serif"/>
                <w:sz w:val="20"/>
              </w:rPr>
              <w:t>.</w:t>
            </w:r>
          </w:p>
        </w:tc>
        <w:tc>
          <w:tcPr>
            <w:tcW w:type="dxa" w:w="3628"/>
            <w:vAlign w:val="top"/>
            <w:tcMar>
              <w:top w:w="85" w:type="dxa"/>
              <w:left w:w="85" w:type="dxa"/>
              <w:bottom w:w="85" w:type="dxa"/>
              <w:right w:w="85" w:type="dxa"/>
            </w:tcMar>
            <w:shd w:fill="FFFFFF"/>
          </w:tcPr>
          <w:p>
            <w:pPr>
              <w:spacing w:after="60" w:line="245" w:lineRule="auto"/>
            </w:pPr>
            <w:r>
              <w:rPr>
                <w:rFonts w:ascii="Liberation Serif" w:hAnsi="Liberation Serif"/>
                <w:sz w:val="20"/>
              </w:rPr>
              <w:t>Для XML одновременно встречаются CC BY-NC-SA и формулировки о неизменности содержания. Производные версии, публичный индекс, embeddings и перевод оставлены на review.</w:t>
            </w:r>
          </w:p>
        </w:tc>
      </w:tr>
      <w:tr>
        <w:trPr>
          <w:cantSplit/>
        </w:trPr>
        <w:tc>
          <w:tcPr>
            <w:tcW w:type="dxa" w:w="2098"/>
            <w:vAlign w:val="top"/>
            <w:tcMar>
              <w:top w:w="85" w:type="dxa"/>
              <w:left w:w="85" w:type="dxa"/>
              <w:bottom w:w="85" w:type="dxa"/>
              <w:right w:w="85" w:type="dxa"/>
            </w:tcMar>
            <w:shd w:fill="F0F5F6"/>
          </w:tcPr>
          <w:p>
            <w:pPr>
              <w:spacing w:after="60" w:line="245" w:lineRule="auto"/>
            </w:pPr>
            <w:r>
              <w:rPr>
                <w:rFonts w:ascii="Liberation Serif" w:hAnsi="Liberation Serif"/>
                <w:sz w:val="20"/>
              </w:rPr>
              <w:t>Бесплатно, но без открытой лицензии</w:t>
            </w:r>
          </w:p>
        </w:tc>
        <w:tc>
          <w:tcPr>
            <w:tcW w:type="dxa" w:w="4082"/>
            <w:vAlign w:val="top"/>
            <w:tcMar>
              <w:top w:w="85" w:type="dxa"/>
              <w:left w:w="85" w:type="dxa"/>
              <w:bottom w:w="85" w:type="dxa"/>
              <w:right w:w="85" w:type="dxa"/>
            </w:tcMar>
            <w:shd w:fill="F0F5F6"/>
          </w:tcPr>
          <w:p>
            <w:pPr>
              <w:spacing w:after="60" w:line="245" w:lineRule="auto"/>
            </w:pPr>
            <w:r>
              <w:rPr>
                <w:rFonts w:ascii="Liberation Serif" w:hAnsi="Liberation Serif"/>
                <w:sz w:val="20"/>
              </w:rPr>
              <w:t xml:space="preserve">Официальные PDF HB-перевода, Apohasiddhi, Phya pa, PVA-фрагментов: читать и получать исследовательскую копию в заявленном объёме. </w:t>
            </w:r>
            <w:hyperlink r:id="rId82">
              <w:r>
                <w:rPr>
                  <w:color w:val="17628B"/>
                  <w:u w:val="single"/>
                </w:rPr>
                <w:t>R027</w:t>
              </w:r>
            </w:hyperlink>
            <w:r>
              <w:rPr>
                <w:rFonts w:ascii="Liberation Serif" w:hAnsi="Liberation Serif"/>
                <w:sz w:val="20"/>
              </w:rPr>
              <w:t xml:space="preserve">, </w:t>
            </w:r>
            <w:hyperlink r:id="rId52">
              <w:r>
                <w:rPr>
                  <w:color w:val="17628B"/>
                  <w:u w:val="single"/>
                </w:rPr>
                <w:t>R028</w:t>
              </w:r>
            </w:hyperlink>
            <w:r>
              <w:rPr>
                <w:rFonts w:ascii="Liberation Serif" w:hAnsi="Liberation Serif"/>
                <w:sz w:val="20"/>
              </w:rPr>
              <w:t xml:space="preserve">, </w:t>
            </w:r>
            <w:hyperlink r:id="rId59">
              <w:r>
                <w:rPr>
                  <w:color w:val="17628B"/>
                  <w:u w:val="single"/>
                </w:rPr>
                <w:t>R029</w:t>
              </w:r>
            </w:hyperlink>
            <w:r>
              <w:rPr>
                <w:rFonts w:ascii="Liberation Serif" w:hAnsi="Liberation Serif"/>
                <w:sz w:val="20"/>
              </w:rPr>
              <w:t xml:space="preserve">, </w:t>
            </w:r>
            <w:hyperlink r:id="rId48">
              <w:r>
                <w:rPr>
                  <w:color w:val="17628B"/>
                  <w:u w:val="single"/>
                </w:rPr>
                <w:t>R073</w:t>
              </w:r>
            </w:hyperlink>
            <w:r>
              <w:rPr>
                <w:rFonts w:ascii="Liberation Serif" w:hAnsi="Liberation Serif"/>
                <w:sz w:val="20"/>
              </w:rPr>
              <w:t xml:space="preserve">, </w:t>
            </w:r>
            <w:hyperlink r:id="rId49">
              <w:r>
                <w:rPr>
                  <w:color w:val="17628B"/>
                  <w:u w:val="single"/>
                </w:rPr>
                <w:t>R074</w:t>
              </w:r>
            </w:hyperlink>
            <w:r>
              <w:rPr>
                <w:rFonts w:ascii="Liberation Serif" w:hAnsi="Liberation Serif"/>
                <w:sz w:val="20"/>
              </w:rPr>
              <w:t>.</w:t>
            </w:r>
          </w:p>
        </w:tc>
        <w:tc>
          <w:tcPr>
            <w:tcW w:type="dxa" w:w="3628"/>
            <w:vAlign w:val="top"/>
            <w:tcMar>
              <w:top w:w="85" w:type="dxa"/>
              <w:left w:w="85" w:type="dxa"/>
              <w:bottom w:w="85" w:type="dxa"/>
              <w:right w:w="85" w:type="dxa"/>
            </w:tcMar>
            <w:shd w:fill="F0F5F6"/>
          </w:tcPr>
          <w:p>
            <w:pPr>
              <w:spacing w:after="60" w:line="245" w:lineRule="auto"/>
            </w:pPr>
            <w:r>
              <w:rPr>
                <w:rFonts w:ascii="Liberation Serif" w:hAnsi="Liberation Serif"/>
                <w:sz w:val="20"/>
              </w:rPr>
              <w:t>All rights reserved / отсутствие лицензии не отменяется кнопкой Download или меткой Open Access. Зеркалирование, производные публикации и массовый индекс не разрешены автоматически.</w:t>
            </w:r>
          </w:p>
        </w:tc>
      </w:tr>
      <w:tr>
        <w:trPr>
          <w:cantSplit/>
        </w:trPr>
        <w:tc>
          <w:tcPr>
            <w:tcW w:type="dxa" w:w="2098"/>
            <w:vAlign w:val="top"/>
            <w:tcMar>
              <w:top w:w="85" w:type="dxa"/>
              <w:left w:w="85" w:type="dxa"/>
              <w:bottom w:w="85" w:type="dxa"/>
              <w:right w:w="85" w:type="dxa"/>
            </w:tcMar>
            <w:shd w:fill="FFFFFF"/>
          </w:tcPr>
          <w:p>
            <w:pPr>
              <w:spacing w:after="60" w:line="245" w:lineRule="auto"/>
            </w:pPr>
            <w:r>
              <w:rPr>
                <w:rFonts w:ascii="Liberation Serif" w:hAnsi="Liberation Serif"/>
                <w:sz w:val="20"/>
              </w:rPr>
              <w:t>Покупка, preview, каталог</w:t>
            </w:r>
          </w:p>
        </w:tc>
        <w:tc>
          <w:tcPr>
            <w:tcW w:type="dxa" w:w="4082"/>
            <w:vAlign w:val="top"/>
            <w:tcMar>
              <w:top w:w="85" w:type="dxa"/>
              <w:left w:w="85" w:type="dxa"/>
              <w:bottom w:w="85" w:type="dxa"/>
              <w:right w:w="85" w:type="dxa"/>
            </w:tcMar>
            <w:shd w:fill="FFFFFF"/>
          </w:tcPr>
          <w:p>
            <w:pPr>
              <w:spacing w:after="60" w:line="245" w:lineRule="auto"/>
            </w:pPr>
            <w:r>
              <w:rPr>
                <w:rFonts w:ascii="Liberation Serif" w:hAnsi="Liberation Serif"/>
                <w:sz w:val="20"/>
              </w:rPr>
              <w:t xml:space="preserve">Издательские страницы и библиотечные карточки: внешняя ссылка и собственная библиографическая карточка с проверенными фактами. </w:t>
            </w:r>
            <w:hyperlink r:id="rId31">
              <w:r>
                <w:rPr>
                  <w:color w:val="17628B"/>
                  <w:u w:val="single"/>
                </w:rPr>
                <w:t>R058</w:t>
              </w:r>
            </w:hyperlink>
            <w:r>
              <w:rPr>
                <w:rFonts w:ascii="Liberation Serif" w:hAnsi="Liberation Serif"/>
                <w:sz w:val="20"/>
              </w:rPr>
              <w:t xml:space="preserve">, </w:t>
            </w:r>
            <w:hyperlink r:id="rId63">
              <w:r>
                <w:rPr>
                  <w:color w:val="17628B"/>
                  <w:u w:val="single"/>
                </w:rPr>
                <w:t>R078</w:t>
              </w:r>
            </w:hyperlink>
            <w:r>
              <w:rPr>
                <w:rFonts w:ascii="Liberation Serif" w:hAnsi="Liberation Serif"/>
                <w:sz w:val="20"/>
              </w:rPr>
              <w:t xml:space="preserve">, </w:t>
            </w:r>
            <w:hyperlink r:id="rId64">
              <w:r>
                <w:rPr>
                  <w:color w:val="17628B"/>
                  <w:u w:val="single"/>
                </w:rPr>
                <w:t>R079</w:t>
              </w:r>
            </w:hyperlink>
            <w:r>
              <w:rPr>
                <w:rFonts w:ascii="Liberation Serif" w:hAnsi="Liberation Serif"/>
                <w:sz w:val="20"/>
              </w:rPr>
              <w:t xml:space="preserve">, </w:t>
            </w:r>
            <w:hyperlink r:id="rId79">
              <w:r>
                <w:rPr>
                  <w:color w:val="17628B"/>
                  <w:u w:val="single"/>
                </w:rPr>
                <w:t>R080</w:t>
              </w:r>
            </w:hyperlink>
            <w:r>
              <w:rPr>
                <w:rFonts w:ascii="Liberation Serif" w:hAnsi="Liberation Serif"/>
                <w:sz w:val="20"/>
              </w:rPr>
              <w:t xml:space="preserve">, </w:t>
            </w:r>
            <w:hyperlink r:id="rId73">
              <w:r>
                <w:rPr>
                  <w:color w:val="17628B"/>
                  <w:u w:val="single"/>
                </w:rPr>
                <w:t>R083</w:t>
              </w:r>
            </w:hyperlink>
            <w:r>
              <w:rPr>
                <w:rFonts w:ascii="Liberation Serif" w:hAnsi="Liberation Serif"/>
                <w:sz w:val="20"/>
              </w:rPr>
              <w:t xml:space="preserve">, </w:t>
            </w:r>
            <w:hyperlink r:id="rId32">
              <w:r>
                <w:rPr>
                  <w:color w:val="17628B"/>
                  <w:u w:val="single"/>
                </w:rPr>
                <w:t>R084</w:t>
              </w:r>
            </w:hyperlink>
            <w:r>
              <w:rPr>
                <w:rFonts w:ascii="Liberation Serif" w:hAnsi="Liberation Serif"/>
                <w:sz w:val="20"/>
              </w:rPr>
              <w:t>.</w:t>
            </w:r>
          </w:p>
        </w:tc>
        <w:tc>
          <w:tcPr>
            <w:tcW w:type="dxa" w:w="3628"/>
            <w:vAlign w:val="top"/>
            <w:tcMar>
              <w:top w:w="85" w:type="dxa"/>
              <w:left w:w="85" w:type="dxa"/>
              <w:bottom w:w="85" w:type="dxa"/>
              <w:right w:w="85" w:type="dxa"/>
            </w:tcMar>
            <w:shd w:fill="FFFFFF"/>
          </w:tcPr>
          <w:p>
            <w:pPr>
              <w:spacing w:after="60" w:line="245" w:lineRule="auto"/>
            </w:pPr>
            <w:r>
              <w:rPr>
                <w:rFonts w:ascii="Liberation Serif" w:hAnsi="Liberation Serif"/>
                <w:sz w:val="20"/>
              </w:rPr>
              <w:t>Ни покупка книги, ни наличие карточки не дают права публиковать полный файл. Конкретная активная выдача/CDL в сеансе не подтверждена.</w:t>
            </w:r>
          </w:p>
        </w:tc>
      </w:tr>
    </w:tbl>
    <w:p>
      <w:r/>
    </w:p>
    <w:p>
      <w:pPr>
        <w:pStyle w:val="Heading2"/>
      </w:pPr>
      <w:r>
        <w:t>4.1. Где возможен собственный перевод ToS</w:t>
      </w:r>
    </w:p>
    <w:p>
      <w:r>
        <w:t>Наиболее чистый найденный исторический слой — тибетские TXT Esukhia в фактически открытых томах 174–175. Перевод с этой основы является новым переводом тибетской передачи; его нельзя представлять как перевод полностью сохранившегося санскритского оригинала Дигнаги. Разметку, версию файла и номер Tohoku следует сохранять в ссылке на источник. [</w:t>
      </w:r>
      <w:hyperlink r:id="rId29">
        <w:r>
          <w:rPr>
            <w:color w:val="17628B"/>
            <w:u w:val="single"/>
          </w:rPr>
          <w:t>R055</w:t>
        </w:r>
      </w:hyperlink>
      <w:r>
        <w:t>.]</w:t>
      </w:r>
    </w:p>
    <w:p>
      <w:r>
        <w:t>На санскрите подходят лицензированные текстовые слои конкретных GRETIL/SARIT файлов — лишь в той мере, в какой они передают доступный исторический текст, а не неразрешённую реконструкцию. Для единственного листа PVini это означает перевод фрагмента; для неполной Sarvajñasiddhi Джитари — только сохранившихся частей. Современное издание PSṭ VI позволяет работать с конкретным открытым дипломатическим слоем. [</w:t>
      </w:r>
      <w:hyperlink r:id="rId76">
        <w:r>
          <w:rPr>
            <w:color w:val="17628B"/>
            <w:u w:val="single"/>
          </w:rPr>
          <w:t>R009</w:t>
        </w:r>
      </w:hyperlink>
      <w:r>
        <w:t xml:space="preserve">, </w:t>
      </w:r>
      <w:hyperlink r:id="rId55">
        <w:r>
          <w:rPr>
            <w:color w:val="17628B"/>
            <w:u w:val="single"/>
          </w:rPr>
          <w:t>R037</w:t>
        </w:r>
      </w:hyperlink>
      <w:r>
        <w:t xml:space="preserve">, </w:t>
      </w:r>
      <w:hyperlink r:id="rId47">
        <w:r>
          <w:rPr>
            <w:color w:val="17628B"/>
            <w:u w:val="single"/>
          </w:rPr>
          <w:t>R030</w:t>
        </w:r>
      </w:hyperlink>
      <w:r>
        <w:t>.]</w:t>
      </w:r>
    </w:p>
    <w:p>
      <w:r>
        <w:t>Тибетские Мипам и Горампа дают дополнительные NC-основы в пределах опубликованного текста или отрывка. Английские переводы не используются как доказательство свободы оригинала. Для реконструкций PS I, Hetubindu старой редакции, Saṃtānāntarasiddhi на восстановленном санскрите, современных защищённых переводов и непроверенных больших XML безусловный OWN_TRANSLATION_POSSIBLE не выставлен. [</w:t>
      </w:r>
      <w:hyperlink r:id="rId61">
        <w:r>
          <w:rPr>
            <w:color w:val="17628B"/>
            <w:u w:val="single"/>
          </w:rPr>
          <w:t>R054</w:t>
        </w:r>
      </w:hyperlink>
      <w:r>
        <w:t xml:space="preserve">, </w:t>
      </w:r>
      <w:hyperlink r:id="rId71">
        <w:r>
          <w:rPr>
            <w:color w:val="17628B"/>
            <w:u w:val="single"/>
          </w:rPr>
          <w:t>R077</w:t>
        </w:r>
      </w:hyperlink>
      <w:r>
        <w:t xml:space="preserve">, </w:t>
      </w:r>
      <w:hyperlink r:id="rId24">
        <w:r>
          <w:rPr>
            <w:color w:val="17628B"/>
            <w:u w:val="single"/>
          </w:rPr>
          <w:t>R010</w:t>
        </w:r>
      </w:hyperlink>
      <w:r>
        <w:t xml:space="preserve">, </w:t>
      </w:r>
      <w:hyperlink r:id="rId35">
        <w:r>
          <w:rPr>
            <w:color w:val="17628B"/>
            <w:u w:val="single"/>
          </w:rPr>
          <w:t>R004</w:t>
        </w:r>
      </w:hyperlink>
      <w:r>
        <w:t xml:space="preserve">, </w:t>
      </w:r>
      <w:hyperlink r:id="rId38">
        <w:r>
          <w:rPr>
            <w:color w:val="17628B"/>
            <w:u w:val="single"/>
          </w:rPr>
          <w:t>R008</w:t>
        </w:r>
      </w:hyperlink>
      <w:r>
        <w:t xml:space="preserve">, </w:t>
      </w:r>
      <w:hyperlink r:id="rId90">
        <w:r>
          <w:rPr>
            <w:color w:val="17628B"/>
            <w:u w:val="single"/>
          </w:rPr>
          <w:t>R071</w:t>
        </w:r>
      </w:hyperlink>
      <w:r>
        <w:t xml:space="preserve">, </w:t>
      </w:r>
      <w:hyperlink r:id="rId95">
        <w:r>
          <w:rPr>
            <w:color w:val="17628B"/>
            <w:u w:val="single"/>
          </w:rPr>
          <w:t>R072</w:t>
        </w:r>
      </w:hyperlink>
      <w:r>
        <w:t>.]</w:t>
      </w:r>
    </w:p>
    <w:p>
      <w:pPr>
        <w:pStyle w:val="Heading2"/>
      </w:pPr>
      <w:r>
        <w:t>4.2. OCR, публичный индекс и embeddings — разные операции</w:t>
      </w:r>
    </w:p>
    <w:p>
      <w:r>
        <w:t>OCR_OK отмечен только там, где проверенная лицензия конкретного цифрового слоя позволяет такую переработку: наглядный пример — открытое издание PSṭ VI. Для уже готовых XML/TXT OCR обычно не требуется. Разрешение на чтение скана Columbia или каталог рукописи не использовано как доказательство права публиковать её OCR. [</w:t>
      </w:r>
      <w:hyperlink r:id="rId47">
        <w:r>
          <w:rPr>
            <w:color w:val="17628B"/>
            <w:u w:val="single"/>
          </w:rPr>
          <w:t>R030</w:t>
        </w:r>
      </w:hyperlink>
      <w:r>
        <w:t xml:space="preserve">, </w:t>
      </w:r>
      <w:hyperlink r:id="rId77">
        <w:r>
          <w:rPr>
            <w:color w:val="17628B"/>
            <w:u w:val="single"/>
          </w:rPr>
          <w:t>R070</w:t>
        </w:r>
      </w:hyperlink>
      <w:r>
        <w:t xml:space="preserve">, </w:t>
      </w:r>
      <w:hyperlink r:id="rId84">
        <w:r>
          <w:rPr>
            <w:color w:val="17628B"/>
            <w:u w:val="single"/>
          </w:rPr>
          <w:t>R063</w:t>
        </w:r>
      </w:hyperlink>
      <w:r>
        <w:t>.]</w:t>
      </w:r>
    </w:p>
    <w:p>
      <w:r>
        <w:t>FULLTEXT_INDEX_OK и EMBEDDINGS_OK для CC/PD-текстов — явно обозначенный исследовательский вывод из прав на воспроизведение и переработку лицензированного текстового слоя, а не цитата о нейросетях из условий сайта. Они не разрешают публиковать защищённые изображения, обходить ограничения сервиса, выдавать полный платный текст пользователям или переносить лицензию на чужой материал. Обучение моделей и лицензирование весов отдельно не оценивались.</w:t>
      </w:r>
    </w:p>
    <w:p>
      <w:r>
        <w:t xml:space="preserve">Когда рядом стоят положительный тег и RIGHTS_REVIEW_REQUIRED, автоматическое решение должно останавливаться на границе компонента. Например, в CBETA положительный вывод касается неизменённой NC-копии; в </w:t>
      </w:r>
      <w:hyperlink r:id="rId62">
        <w:r>
          <w:rPr>
            <w:color w:val="17628B"/>
            <w:u w:val="single"/>
          </w:rPr>
          <w:t>R076</w:t>
        </w:r>
      </w:hyperlink>
      <w:r>
        <w:t xml:space="preserve"> — собственного перевода Lotsawa House без чужих переводных цитат и иллюстрации. За этими границами требуется ручная оценка.</w:t>
      </w:r>
    </w:p>
    <w:p>
      <w:pPr>
        <w:pStyle w:val="Heading1"/>
      </w:pPr>
      <w:r>
        <w:t>5. Характерные правовые и текстологические тонкости</w:t>
      </w:r>
    </w:p>
    <w:p>
      <w:pPr>
        <w:pStyle w:val="Heading2"/>
      </w:pPr>
      <w:r>
        <w:t>5.1. Реконструкция — не найденный оригинал</w:t>
      </w:r>
    </w:p>
    <w:p>
      <w:r>
        <w:t>У данной строки особенно опасна подмена вида источника. Санскрит PS I реконструирован из фрагментов, тибетской передачи и комментария; старые HB и Saṃtānāntarasiddhi также имеют реконструкционный слой. Даже свободная лицензия электронной передачи не делает все восстановленные чтения исторически засвидетельствованными. В реестре сохранено разделение work, edition и цифрового объекта, а спорные основания собственного перевода ограничены. [</w:t>
      </w:r>
      <w:hyperlink r:id="rId24">
        <w:r>
          <w:rPr>
            <w:color w:val="17628B"/>
            <w:u w:val="single"/>
          </w:rPr>
          <w:t>R010</w:t>
        </w:r>
      </w:hyperlink>
      <w:r>
        <w:t xml:space="preserve">, </w:t>
      </w:r>
      <w:hyperlink r:id="rId35">
        <w:r>
          <w:rPr>
            <w:color w:val="17628B"/>
            <w:u w:val="single"/>
          </w:rPr>
          <w:t>R004</w:t>
        </w:r>
      </w:hyperlink>
      <w:r>
        <w:t xml:space="preserve">, </w:t>
      </w:r>
      <w:hyperlink r:id="rId38">
        <w:r>
          <w:rPr>
            <w:color w:val="17628B"/>
            <w:u w:val="single"/>
          </w:rPr>
          <w:t>R008</w:t>
        </w:r>
      </w:hyperlink>
      <w:r>
        <w:t xml:space="preserve">, </w:t>
      </w:r>
      <w:hyperlink r:id="rId41">
        <w:r>
          <w:rPr>
            <w:color w:val="17628B"/>
            <w:u w:val="single"/>
          </w:rPr>
          <w:t>R022</w:t>
        </w:r>
      </w:hyperlink>
      <w:r>
        <w:t>.]</w:t>
      </w:r>
    </w:p>
    <w:p>
      <w:pPr>
        <w:pStyle w:val="Heading2"/>
      </w:pPr>
      <w:r>
        <w:t>5.2. Открытый доступ не равен открытой лицензии</w:t>
      </w:r>
    </w:p>
    <w:p>
      <w:r>
        <w:t>Три особенно полезных академических PDF — A Splash of the Logical Reason, Ratnakīrti’s Proof of Exclusion и The Roar of a Tibetan Lion — доступны целиком, но имеют уведомления о сохранении всех прав. У PSṭ VI, напротив, установлена CC BY 4.0. Разницу нельзя угадать по одному домену austriaca.at: её пришлось устанавливать по конкретному тому. [</w:t>
      </w:r>
      <w:hyperlink r:id="rId82">
        <w:r>
          <w:rPr>
            <w:color w:val="17628B"/>
            <w:u w:val="single"/>
          </w:rPr>
          <w:t>R027</w:t>
        </w:r>
      </w:hyperlink>
      <w:r>
        <w:t xml:space="preserve">, </w:t>
      </w:r>
      <w:hyperlink r:id="rId52">
        <w:r>
          <w:rPr>
            <w:color w:val="17628B"/>
            <w:u w:val="single"/>
          </w:rPr>
          <w:t>R028</w:t>
        </w:r>
      </w:hyperlink>
      <w:r>
        <w:t xml:space="preserve">, </w:t>
      </w:r>
      <w:hyperlink r:id="rId59">
        <w:r>
          <w:rPr>
            <w:color w:val="17628B"/>
            <w:u w:val="single"/>
          </w:rPr>
          <w:t>R029</w:t>
        </w:r>
      </w:hyperlink>
      <w:r>
        <w:t xml:space="preserve">, </w:t>
      </w:r>
      <w:hyperlink r:id="rId47">
        <w:r>
          <w:rPr>
            <w:color w:val="17628B"/>
            <w:u w:val="single"/>
          </w:rPr>
          <w:t>R030</w:t>
        </w:r>
      </w:hyperlink>
      <w:r>
        <w:t>.]</w:t>
      </w:r>
    </w:p>
    <w:p>
      <w:r>
        <w:t>Та же осторожность нужна для J-STAGE. Бесплатно открытый критический текст и перевод PVA не получили автоматически лицензии на публичную переработку. Портал серии используется как навигация, но правовой вывод делается по отдельной статье. [</w:t>
      </w:r>
      <w:hyperlink r:id="rId48">
        <w:r>
          <w:rPr>
            <w:color w:val="17628B"/>
            <w:u w:val="single"/>
          </w:rPr>
          <w:t>R073</w:t>
        </w:r>
      </w:hyperlink>
      <w:r>
        <w:t xml:space="preserve">, </w:t>
      </w:r>
      <w:hyperlink r:id="rId49">
        <w:r>
          <w:rPr>
            <w:color w:val="17628B"/>
            <w:u w:val="single"/>
          </w:rPr>
          <w:t>R074</w:t>
        </w:r>
      </w:hyperlink>
      <w:r>
        <w:t xml:space="preserve">, </w:t>
      </w:r>
      <w:hyperlink r:id="rId92">
        <w:r>
          <w:rPr>
            <w:color w:val="17628B"/>
            <w:u w:val="single"/>
          </w:rPr>
          <w:t>R088</w:t>
        </w:r>
      </w:hyperlink>
      <w:r>
        <w:t>.]</w:t>
      </w:r>
    </w:p>
    <w:p>
      <w:pPr>
        <w:pStyle w:val="Heading2"/>
      </w:pPr>
      <w:r>
        <w:t>5.3. Открытый e-text, защищённая печатная основа и чужие изображения</w:t>
      </w:r>
    </w:p>
    <w:p>
      <w:r>
        <w:t>SARIT и GRETIL сохраняют сведения об исходных изданиях. Эти сведения не равнозначны разрешению сканировать и распространять всю исходную книгу. Наиболее явный смешанный случай — Vākyapadīya: электронный файл с CC BY-SA соседствует с ©1977 Franz Steiner Verlag для печатной основы. В этом случае безусловные зеркалирование и собственный перевод не рекомендованы. [</w:t>
      </w:r>
      <w:hyperlink r:id="rId68">
        <w:r>
          <w:rPr>
            <w:color w:val="17628B"/>
            <w:u w:val="single"/>
          </w:rPr>
          <w:t>R052</w:t>
        </w:r>
      </w:hyperlink>
      <w:r>
        <w:t>.]</w:t>
      </w:r>
    </w:p>
    <w:p>
      <w:r>
        <w:t>У Lotsawa House отдельно указаны изображения Himalayan Art Resources; текстовая лицензия на них не перенесена. У Esukhia открытым является TXT, а не любой соответствующий ему скан. Для BDRC предметно проверенный rights statement конкретной серии изображений ещё нужен. [</w:t>
      </w:r>
      <w:hyperlink r:id="rId60">
        <w:r>
          <w:rPr>
            <w:color w:val="17628B"/>
            <w:u w:val="single"/>
          </w:rPr>
          <w:t>R053</w:t>
        </w:r>
      </w:hyperlink>
      <w:r>
        <w:t xml:space="preserve">, </w:t>
      </w:r>
      <w:hyperlink r:id="rId62">
        <w:r>
          <w:rPr>
            <w:color w:val="17628B"/>
            <w:u w:val="single"/>
          </w:rPr>
          <w:t>R076</w:t>
        </w:r>
      </w:hyperlink>
      <w:r>
        <w:t xml:space="preserve">, </w:t>
      </w:r>
      <w:hyperlink r:id="rId29">
        <w:r>
          <w:rPr>
            <w:color w:val="17628B"/>
            <w:u w:val="single"/>
          </w:rPr>
          <w:t>R055</w:t>
        </w:r>
      </w:hyperlink>
      <w:r>
        <w:t>; G027.]</w:t>
      </w:r>
    </w:p>
    <w:p>
      <w:pPr>
        <w:pStyle w:val="Heading2"/>
      </w:pPr>
      <w:r>
        <w:t>5.4. Версия, полнота и языковой слой важнее знакомого названия</w:t>
      </w:r>
    </w:p>
    <w:p>
      <w:r>
        <w:t>В GRETIL одна PV исключает главу I; грамматический Tattvasaṃgraha переставляет слова; Ślokavārttika представлен только выбранными разделами с лакуной; русский PDF IOM содержит не перевод, а предисловие/оглавление. Эти объекты сохранены, потому что полезны, но ни один не назван тем полным текстом, который пользователь мог бы ожидать по заголовку. [</w:t>
      </w:r>
      <w:hyperlink r:id="rId11">
        <w:r>
          <w:rPr>
            <w:color w:val="17628B"/>
            <w:u w:val="single"/>
          </w:rPr>
          <w:t>R001</w:t>
        </w:r>
      </w:hyperlink>
      <w:r>
        <w:t xml:space="preserve">, </w:t>
      </w:r>
      <w:hyperlink r:id="rId93">
        <w:r>
          <w:rPr>
            <w:color w:val="17628B"/>
            <w:u w:val="single"/>
          </w:rPr>
          <w:t>R059</w:t>
        </w:r>
      </w:hyperlink>
      <w:r>
        <w:t xml:space="preserve">, </w:t>
      </w:r>
      <w:hyperlink r:id="rId69">
        <w:r>
          <w:rPr>
            <w:color w:val="17628B"/>
            <w:u w:val="single"/>
          </w:rPr>
          <w:t>R060</w:t>
        </w:r>
      </w:hyperlink>
      <w:r>
        <w:t xml:space="preserve">, </w:t>
      </w:r>
      <w:hyperlink r:id="rId80">
        <w:r>
          <w:rPr>
            <w:color w:val="17628B"/>
            <w:u w:val="single"/>
          </w:rPr>
          <w:t>R061</w:t>
        </w:r>
      </w:hyperlink>
      <w:r>
        <w:t xml:space="preserve">, </w:t>
      </w:r>
      <w:hyperlink r:id="rId81">
        <w:r>
          <w:rPr>
            <w:color w:val="17628B"/>
            <w:u w:val="single"/>
          </w:rPr>
          <w:t>R062</w:t>
        </w:r>
      </w:hyperlink>
      <w:r>
        <w:t>.]</w:t>
      </w:r>
    </w:p>
    <w:p>
      <w:r>
        <w:t>Различаются и комментарийные слои: Прабхачандра к SP — не Devendrabuddhi; Dharmottarapradīpa — не просто иной формат Nyāyabindu; разные китайские переводы Nyāyamukha не слиты в один. Такие различия определяют и филологическую работу, и права конкретной версии. [</w:t>
      </w:r>
      <w:hyperlink r:id="rId85">
        <w:r>
          <w:rPr>
            <w:color w:val="17628B"/>
            <w:u w:val="single"/>
          </w:rPr>
          <w:t>R007</w:t>
        </w:r>
      </w:hyperlink>
      <w:r>
        <w:t xml:space="preserve">, </w:t>
      </w:r>
      <w:hyperlink r:id="rId86">
        <w:r>
          <w:rPr>
            <w:color w:val="17628B"/>
            <w:u w:val="single"/>
          </w:rPr>
          <w:t>R026</w:t>
        </w:r>
      </w:hyperlink>
      <w:r>
        <w:t xml:space="preserve">, </w:t>
      </w:r>
      <w:hyperlink r:id="rId13">
        <w:r>
          <w:rPr>
            <w:color w:val="17628B"/>
            <w:u w:val="single"/>
          </w:rPr>
          <w:t>R014</w:t>
        </w:r>
      </w:hyperlink>
      <w:r>
        <w:t xml:space="preserve">, </w:t>
      </w:r>
      <w:hyperlink r:id="rId19">
        <w:r>
          <w:rPr>
            <w:color w:val="17628B"/>
            <w:u w:val="single"/>
          </w:rPr>
          <w:t>R040</w:t>
        </w:r>
      </w:hyperlink>
      <w:r>
        <w:t xml:space="preserve">, </w:t>
      </w:r>
      <w:hyperlink r:id="rId26">
        <w:r>
          <w:rPr>
            <w:color w:val="17628B"/>
            <w:u w:val="single"/>
          </w:rPr>
          <w:t>R041</w:t>
        </w:r>
      </w:hyperlink>
      <w:r>
        <w:t>.]</w:t>
      </w:r>
    </w:p>
    <w:p>
      <w:pPr>
        <w:pStyle w:val="Heading2"/>
      </w:pPr>
      <w:r>
        <w:t>5.5. Старые издания и публичный международный проект</w:t>
      </w:r>
    </w:p>
    <w:p>
      <w:r>
        <w:t>Издания 1889, 1903, 1916, 1918 и 1930/1932 существенно улучшают доступ, но универсальный статус Public Domain для скана, перевода и современного переиздания не установлен. Реестр не выводит глобальное разрешение только из даты публикации или американской метки Full view. Особенно важно не переносить предполагаемую свободу старого перевода на редакционный аппарат переиздания 1995. [</w:t>
      </w:r>
      <w:hyperlink r:id="rId77">
        <w:r>
          <w:rPr>
            <w:color w:val="17628B"/>
            <w:u w:val="single"/>
          </w:rPr>
          <w:t>R070</w:t>
        </w:r>
      </w:hyperlink>
      <w:r>
        <w:t xml:space="preserve">, </w:t>
      </w:r>
      <w:hyperlink r:id="rId80">
        <w:r>
          <w:rPr>
            <w:color w:val="17628B"/>
            <w:u w:val="single"/>
          </w:rPr>
          <w:t>R061</w:t>
        </w:r>
      </w:hyperlink>
      <w:r>
        <w:t xml:space="preserve">, </w:t>
      </w:r>
      <w:hyperlink r:id="rId81">
        <w:r>
          <w:rPr>
            <w:color w:val="17628B"/>
            <w:u w:val="single"/>
          </w:rPr>
          <w:t>R062</w:t>
        </w:r>
      </w:hyperlink>
      <w:r>
        <w:t xml:space="preserve">, </w:t>
      </w:r>
      <w:hyperlink r:id="rId65">
        <w:r>
          <w:rPr>
            <w:color w:val="17628B"/>
            <w:u w:val="single"/>
          </w:rPr>
          <w:t>R081</w:t>
        </w:r>
      </w:hyperlink>
      <w:r>
        <w:t xml:space="preserve">, </w:t>
      </w:r>
      <w:hyperlink r:id="rId78">
        <w:r>
          <w:rPr>
            <w:color w:val="17628B"/>
            <w:u w:val="single"/>
          </w:rPr>
          <w:t>R082</w:t>
        </w:r>
      </w:hyperlink>
      <w:r>
        <w:t xml:space="preserve">, </w:t>
      </w:r>
      <w:hyperlink r:id="rId79">
        <w:r>
          <w:rPr>
            <w:color w:val="17628B"/>
            <w:u w:val="single"/>
          </w:rPr>
          <w:t>R080</w:t>
        </w:r>
      </w:hyperlink>
      <w:r>
        <w:t>.]</w:t>
      </w:r>
    </w:p>
    <w:p>
      <w:r>
        <w:t>Подтверждённых отдельных лицензий CC BY-ND или CC BY-NC-ND в этом наборе не выявлено. Требование неизменённого распространения относится к специальным формулировкам CBETA и не переименовано в несуществующую ND-лицензию. Для NC-слоёв нынешняя некоммерческая модель ToS полезна, но не отменяет атрибуцию, ShareAlike там, где он указан, и сохранение лицензионных уведомлений.</w:t>
      </w:r>
    </w:p>
    <w:p>
      <w:r>
        <w:br w:type="page"/>
      </w:r>
    </w:p>
    <w:p>
      <w:pPr>
        <w:pStyle w:val="Heading1"/>
      </w:pPr>
      <w:r>
        <w:t>6. Пробелы и дальнейший поиск</w:t>
      </w:r>
    </w:p>
    <w:p>
      <w:r>
        <w:t>Лист gaps содержит 28 конкретных записей, а не общий список сайтов. В нём разведены непроверенная идентичность, неполное покрытие произведения, отсутствие проверенного полного файла, техническая неудача открытия и неопределённые права. Отсутствие проверенного цифрового входа нигде не объявлено отсутствием самого произведения.</w:t>
      </w:r>
    </w:p>
    <w:tbl>
      <w:tblPr>
        <w:tblW w:type="auto" w:w="0"/>
        <w:jc w:val="center"/>
        <w:tblLayout w:type="fixed"/>
        <w:tblLook w:firstColumn="1" w:firstRow="1" w:lastColumn="0" w:lastRow="0" w:noHBand="0" w:noVBand="1" w:val="04A0"/>
      </w:tblPr>
      <w:tblGrid>
        <w:gridCol w:w="1871"/>
        <w:gridCol w:w="5726"/>
        <w:gridCol w:w="2211"/>
      </w:tblGrid>
      <w:tr>
        <w:trPr>
          <w:tblHeader/>
          <w:cantSplit/>
        </w:trPr>
        <w:tc>
          <w:tcPr>
            <w:tcW w:type="dxa" w:w="1871"/>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Блок пробелов</w:t>
            </w:r>
          </w:p>
        </w:tc>
        <w:tc>
          <w:tcPr>
            <w:tcW w:type="dxa" w:w="5726"/>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Что не закрыто</w:t>
            </w:r>
          </w:p>
        </w:tc>
        <w:tc>
          <w:tcPr>
            <w:tcW w:type="dxa" w:w="2211"/>
            <w:vAlign w:val="top"/>
            <w:tcMar>
              <w:top w:w="85" w:type="dxa"/>
              <w:left w:w="85" w:type="dxa"/>
              <w:bottom w:w="85" w:type="dxa"/>
              <w:right w:w="85" w:type="dxa"/>
            </w:tcMar>
            <w:shd w:fill="173E52"/>
          </w:tcPr>
          <w:p>
            <w:pPr>
              <w:spacing w:after="60" w:line="245" w:lineRule="auto"/>
            </w:pPr>
            <w:r>
              <w:rPr>
                <w:rFonts w:ascii="Liberation Serif" w:hAnsi="Liberation Serif"/>
                <w:b/>
                <w:color w:val="FFFFFF"/>
                <w:sz w:val="20"/>
              </w:rPr>
              <w:t>Gaps</w:t>
            </w:r>
          </w:p>
        </w:tc>
      </w:tr>
      <w:tr>
        <w:trPr>
          <w:cantSplit/>
        </w:trPr>
        <w:tc>
          <w:tcPr>
            <w:tcW w:type="dxa" w:w="1871"/>
            <w:vAlign w:val="top"/>
            <w:tcMar>
              <w:top w:w="85" w:type="dxa"/>
              <w:left w:w="85" w:type="dxa"/>
              <w:bottom w:w="85" w:type="dxa"/>
              <w:right w:w="85" w:type="dxa"/>
            </w:tcMar>
            <w:shd w:fill="F0F5F6"/>
          </w:tcPr>
          <w:p>
            <w:pPr>
              <w:spacing w:after="60" w:line="245" w:lineRule="auto"/>
            </w:pPr>
            <w:r>
              <w:rPr>
                <w:rFonts w:ascii="Liberation Serif" w:hAnsi="Liberation Serif"/>
                <w:sz w:val="20"/>
              </w:rPr>
              <w:t>Дигнага и ранняя передача</w:t>
            </w:r>
          </w:p>
        </w:tc>
        <w:tc>
          <w:tcPr>
            <w:tcW w:type="dxa" w:w="5726"/>
            <w:vAlign w:val="top"/>
            <w:tcMar>
              <w:top w:w="85" w:type="dxa"/>
              <w:left w:w="85" w:type="dxa"/>
              <w:bottom w:w="85" w:type="dxa"/>
              <w:right w:w="85" w:type="dxa"/>
            </w:tcMar>
            <w:shd w:fill="F0F5F6"/>
          </w:tcPr>
          <w:p>
            <w:pPr>
              <w:spacing w:after="60" w:line="245" w:lineRule="auto"/>
            </w:pPr>
            <w:r>
              <w:rPr>
                <w:rFonts w:ascii="Liberation Serif" w:hAnsi="Liberation Serif"/>
                <w:sz w:val="20"/>
              </w:rPr>
              <w:t>Полный сверенный PS по двум тибетским версиям; PSṭ III–V и факсимиле кодекса; Sanskrit Nyāyamukha; фрагменты Vasubandhu и Īśvarasena; ранний Yogācārabhūmi-раздел.</w:t>
            </w:r>
          </w:p>
        </w:tc>
        <w:tc>
          <w:tcPr>
            <w:tcW w:type="dxa" w:w="2211"/>
            <w:vAlign w:val="top"/>
            <w:tcMar>
              <w:top w:w="85" w:type="dxa"/>
              <w:left w:w="85" w:type="dxa"/>
              <w:bottom w:w="85" w:type="dxa"/>
              <w:right w:w="85" w:type="dxa"/>
            </w:tcMar>
            <w:shd w:fill="F0F5F6"/>
          </w:tcPr>
          <w:p>
            <w:pPr>
              <w:spacing w:after="60" w:line="245" w:lineRule="auto"/>
            </w:pPr>
            <w:r>
              <w:rPr>
                <w:rFonts w:ascii="Liberation Serif" w:hAnsi="Liberation Serif"/>
                <w:sz w:val="20"/>
              </w:rPr>
              <w:t>G002, G003, G006, G007, G008, G009</w:t>
            </w:r>
          </w:p>
        </w:tc>
      </w:tr>
      <w:tr>
        <w:trPr>
          <w:cantSplit/>
        </w:trPr>
        <w:tc>
          <w:tcPr>
            <w:tcW w:type="dxa" w:w="1871"/>
            <w:vAlign w:val="top"/>
            <w:tcMar>
              <w:top w:w="85" w:type="dxa"/>
              <w:left w:w="85" w:type="dxa"/>
              <w:bottom w:w="85" w:type="dxa"/>
              <w:right w:w="85" w:type="dxa"/>
            </w:tcMar>
            <w:shd w:fill="FFFFFF"/>
          </w:tcPr>
          <w:p>
            <w:pPr>
              <w:spacing w:after="60" w:line="245" w:lineRule="auto"/>
            </w:pPr>
            <w:r>
              <w:rPr>
                <w:rFonts w:ascii="Liberation Serif" w:hAnsi="Liberation Serif"/>
                <w:sz w:val="20"/>
              </w:rPr>
              <w:t>Дхармакирти и индийские комментарии</w:t>
            </w:r>
          </w:p>
        </w:tc>
        <w:tc>
          <w:tcPr>
            <w:tcW w:type="dxa" w:w="5726"/>
            <w:vAlign w:val="top"/>
            <w:tcMar>
              <w:top w:w="85" w:type="dxa"/>
              <w:left w:w="85" w:type="dxa"/>
              <w:bottom w:w="85" w:type="dxa"/>
              <w:right w:w="85" w:type="dxa"/>
            </w:tcMar>
            <w:shd w:fill="FFFFFF"/>
          </w:tcPr>
          <w:p>
            <w:pPr>
              <w:spacing w:after="60" w:line="245" w:lineRule="auto"/>
            </w:pPr>
            <w:r>
              <w:rPr>
                <w:rFonts w:ascii="Liberation Serif" w:hAnsi="Liberation Serif"/>
                <w:sz w:val="20"/>
              </w:rPr>
              <w:t>Полный цифровой PViniṭ; Gilgit HB; большие SARIT PVA/TSP; Devendrabuddhi, Śākyabuddhi и дальнейшие ветви; самостоятельные малые трактаты Dharmottara.</w:t>
            </w:r>
          </w:p>
        </w:tc>
        <w:tc>
          <w:tcPr>
            <w:tcW w:type="dxa" w:w="2211"/>
            <w:vAlign w:val="top"/>
            <w:tcMar>
              <w:top w:w="85" w:type="dxa"/>
              <w:left w:w="85" w:type="dxa"/>
              <w:bottom w:w="85" w:type="dxa"/>
              <w:right w:w="85" w:type="dxa"/>
            </w:tcMar>
            <w:shd w:fill="FFFFFF"/>
          </w:tcPr>
          <w:p>
            <w:pPr>
              <w:spacing w:after="60" w:line="245" w:lineRule="auto"/>
            </w:pPr>
            <w:r>
              <w:rPr>
                <w:rFonts w:ascii="Liberation Serif" w:hAnsi="Liberation Serif"/>
                <w:sz w:val="20"/>
              </w:rPr>
              <w:t>G004, G005, G010, G011, G012, G013</w:t>
            </w:r>
          </w:p>
        </w:tc>
      </w:tr>
      <w:tr>
        <w:trPr>
          <w:cantSplit/>
        </w:trPr>
        <w:tc>
          <w:tcPr>
            <w:tcW w:type="dxa" w:w="1871"/>
            <w:vAlign w:val="top"/>
            <w:tcMar>
              <w:top w:w="85" w:type="dxa"/>
              <w:left w:w="85" w:type="dxa"/>
              <w:bottom w:w="85" w:type="dxa"/>
              <w:right w:w="85" w:type="dxa"/>
            </w:tcMar>
            <w:shd w:fill="F0F5F6"/>
          </w:tcPr>
          <w:p>
            <w:pPr>
              <w:spacing w:after="60" w:line="245" w:lineRule="auto"/>
            </w:pPr>
            <w:r>
              <w:rPr>
                <w:rFonts w:ascii="Liberation Serif" w:hAnsi="Liberation Serif"/>
                <w:sz w:val="20"/>
              </w:rPr>
              <w:t>Полемические и китайские родственники</w:t>
            </w:r>
          </w:p>
        </w:tc>
        <w:tc>
          <w:tcPr>
            <w:tcW w:type="dxa" w:w="5726"/>
            <w:vAlign w:val="top"/>
            <w:tcMar>
              <w:top w:w="85" w:type="dxa"/>
              <w:left w:w="85" w:type="dxa"/>
              <w:bottom w:w="85" w:type="dxa"/>
              <w:right w:w="85" w:type="dxa"/>
            </w:tcMar>
            <w:shd w:fill="F0F5F6"/>
          </w:tcPr>
          <w:p>
            <w:pPr>
              <w:spacing w:after="60" w:line="245" w:lineRule="auto"/>
            </w:pPr>
            <w:r>
              <w:rPr>
                <w:rFonts w:ascii="Liberation Serif" w:hAnsi="Liberation Serif"/>
                <w:sz w:val="20"/>
              </w:rPr>
              <w:t>Полный Uddyotakara; недостающие apoha/nirālambana-разделы Kumārila; поздняя yinming; английский Nyāyapraveśa и санскритские свидетели.</w:t>
            </w:r>
          </w:p>
        </w:tc>
        <w:tc>
          <w:tcPr>
            <w:tcW w:type="dxa" w:w="2211"/>
            <w:vAlign w:val="top"/>
            <w:tcMar>
              <w:top w:w="85" w:type="dxa"/>
              <w:left w:w="85" w:type="dxa"/>
              <w:bottom w:w="85" w:type="dxa"/>
              <w:right w:w="85" w:type="dxa"/>
            </w:tcMar>
            <w:shd w:fill="F0F5F6"/>
          </w:tcPr>
          <w:p>
            <w:pPr>
              <w:spacing w:after="60" w:line="245" w:lineRule="auto"/>
            </w:pPr>
            <w:r>
              <w:rPr>
                <w:rFonts w:ascii="Liberation Serif" w:hAnsi="Liberation Serif"/>
                <w:sz w:val="20"/>
              </w:rPr>
              <w:t>G014, G015, G019, G020</w:t>
            </w:r>
          </w:p>
        </w:tc>
      </w:tr>
      <w:tr>
        <w:trPr>
          <w:cantSplit/>
        </w:trPr>
        <w:tc>
          <w:tcPr>
            <w:tcW w:type="dxa" w:w="1871"/>
            <w:vAlign w:val="top"/>
            <w:tcMar>
              <w:top w:w="85" w:type="dxa"/>
              <w:left w:w="85" w:type="dxa"/>
              <w:bottom w:w="85" w:type="dxa"/>
              <w:right w:w="85" w:type="dxa"/>
            </w:tcMar>
            <w:shd w:fill="FFFFFF"/>
          </w:tcPr>
          <w:p>
            <w:pPr>
              <w:spacing w:after="60" w:line="245" w:lineRule="auto"/>
            </w:pPr>
            <w:r>
              <w:rPr>
                <w:rFonts w:ascii="Liberation Serif" w:hAnsi="Liberation Serif"/>
                <w:sz w:val="20"/>
              </w:rPr>
              <w:t>Тибетские продолжения</w:t>
            </w:r>
          </w:p>
        </w:tc>
        <w:tc>
          <w:tcPr>
            <w:tcW w:type="dxa" w:w="5726"/>
            <w:vAlign w:val="top"/>
            <w:tcMar>
              <w:top w:w="85" w:type="dxa"/>
              <w:left w:w="85" w:type="dxa"/>
              <w:bottom w:w="85" w:type="dxa"/>
              <w:right w:w="85" w:type="dxa"/>
            </w:tcMar>
            <w:shd w:fill="FFFFFF"/>
          </w:tcPr>
          <w:p>
            <w:pPr>
              <w:spacing w:after="60" w:line="245" w:lineRule="auto"/>
            </w:pPr>
            <w:r>
              <w:rPr>
                <w:rFonts w:ascii="Liberation Serif" w:hAnsi="Liberation Serif"/>
                <w:sz w:val="20"/>
              </w:rPr>
              <w:t>Полные Tshad ma rigs gter и комментарий Горампы; Jamyang Loter Wangpo; полный Mun sel / ’Od zer. Внепериодность не является причиной исключения.</w:t>
            </w:r>
          </w:p>
        </w:tc>
        <w:tc>
          <w:tcPr>
            <w:tcW w:type="dxa" w:w="2211"/>
            <w:vAlign w:val="top"/>
            <w:tcMar>
              <w:top w:w="85" w:type="dxa"/>
              <w:left w:w="85" w:type="dxa"/>
              <w:bottom w:w="85" w:type="dxa"/>
              <w:right w:w="85" w:type="dxa"/>
            </w:tcMar>
            <w:shd w:fill="FFFFFF"/>
          </w:tcPr>
          <w:p>
            <w:pPr>
              <w:spacing w:after="60" w:line="245" w:lineRule="auto"/>
            </w:pPr>
            <w:r>
              <w:rPr>
                <w:rFonts w:ascii="Liberation Serif" w:hAnsi="Liberation Serif"/>
                <w:sz w:val="20"/>
              </w:rPr>
              <w:t>G016, G017, G018</w:t>
            </w:r>
          </w:p>
        </w:tc>
      </w:tr>
      <w:tr>
        <w:trPr>
          <w:cantSplit/>
        </w:trPr>
        <w:tc>
          <w:tcPr>
            <w:tcW w:type="dxa" w:w="1871"/>
            <w:vAlign w:val="top"/>
            <w:tcMar>
              <w:top w:w="85" w:type="dxa"/>
              <w:left w:w="85" w:type="dxa"/>
              <w:bottom w:w="85" w:type="dxa"/>
              <w:right w:w="85" w:type="dxa"/>
            </w:tcMar>
            <w:shd w:fill="F0F5F6"/>
          </w:tcPr>
          <w:p>
            <w:pPr>
              <w:spacing w:after="60" w:line="245" w:lineRule="auto"/>
            </w:pPr>
            <w:r>
              <w:rPr>
                <w:rFonts w:ascii="Liberation Serif" w:hAnsi="Liberation Serif"/>
                <w:sz w:val="20"/>
              </w:rPr>
              <w:t>Чтение, загрузка и права</w:t>
            </w:r>
          </w:p>
        </w:tc>
        <w:tc>
          <w:tcPr>
            <w:tcW w:type="dxa" w:w="5726"/>
            <w:vAlign w:val="top"/>
            <w:tcMar>
              <w:top w:w="85" w:type="dxa"/>
              <w:left w:w="85" w:type="dxa"/>
              <w:bottom w:w="85" w:type="dxa"/>
              <w:right w:w="85" w:type="dxa"/>
            </w:tcMar>
            <w:shd w:fill="F0F5F6"/>
          </w:tcPr>
          <w:p>
            <w:pPr>
              <w:spacing w:after="60" w:line="245" w:lineRule="auto"/>
            </w:pPr>
            <w:r>
              <w:rPr>
                <w:rFonts w:ascii="Liberation Serif" w:hAnsi="Liberation Serif"/>
                <w:sz w:val="20"/>
              </w:rPr>
              <w:t>Полные старые русский/английский NB-переводы; неоткрывшиеся Hathi/Columbia/Pind/Miyo файлы; полный Tucci и Hattori; условия CBETA, печатные основы e-text, BDRC/IIIF.</w:t>
            </w:r>
          </w:p>
        </w:tc>
        <w:tc>
          <w:tcPr>
            <w:tcW w:type="dxa" w:w="2211"/>
            <w:vAlign w:val="top"/>
            <w:tcMar>
              <w:top w:w="85" w:type="dxa"/>
              <w:left w:w="85" w:type="dxa"/>
              <w:bottom w:w="85" w:type="dxa"/>
              <w:right w:w="85" w:type="dxa"/>
            </w:tcMar>
            <w:shd w:fill="F0F5F6"/>
          </w:tcPr>
          <w:p>
            <w:pPr>
              <w:spacing w:after="60" w:line="245" w:lineRule="auto"/>
            </w:pPr>
            <w:r>
              <w:rPr>
                <w:rFonts w:ascii="Liberation Serif" w:hAnsi="Liberation Serif"/>
                <w:sz w:val="20"/>
              </w:rPr>
              <w:t>G021, G022, G023, G024, G025, G026, G027</w:t>
            </w:r>
          </w:p>
        </w:tc>
      </w:tr>
      <w:tr>
        <w:trPr>
          <w:cantSplit/>
        </w:trPr>
        <w:tc>
          <w:tcPr>
            <w:tcW w:type="dxa" w:w="1871"/>
            <w:vAlign w:val="top"/>
            <w:tcMar>
              <w:top w:w="85" w:type="dxa"/>
              <w:left w:w="85" w:type="dxa"/>
              <w:bottom w:w="85" w:type="dxa"/>
              <w:right w:w="85" w:type="dxa"/>
            </w:tcMar>
            <w:shd w:fill="FFFFFF"/>
          </w:tcPr>
          <w:p>
            <w:pPr>
              <w:spacing w:after="60" w:line="245" w:lineRule="auto"/>
            </w:pPr>
            <w:r>
              <w:rPr>
                <w:rFonts w:ascii="Liberation Serif" w:hAnsi="Liberation Serif"/>
                <w:sz w:val="20"/>
              </w:rPr>
              <w:t>Неустановленная идентичность</w:t>
            </w:r>
          </w:p>
        </w:tc>
        <w:tc>
          <w:tcPr>
            <w:tcW w:type="dxa" w:w="5726"/>
            <w:vAlign w:val="top"/>
            <w:tcMar>
              <w:top w:w="85" w:type="dxa"/>
              <w:left w:w="85" w:type="dxa"/>
              <w:bottom w:w="85" w:type="dxa"/>
              <w:right w:w="85" w:type="dxa"/>
            </w:tcMar>
            <w:shd w:fill="FFFFFF"/>
          </w:tcPr>
          <w:p>
            <w:pPr>
              <w:spacing w:after="60" w:line="245" w:lineRule="auto"/>
            </w:pPr>
            <w:r>
              <w:rPr>
                <w:rFonts w:ascii="Liberation Serif" w:hAnsi="Liberation Serif"/>
                <w:sz w:val="20"/>
              </w:rPr>
              <w:t>Pramāṇāntarbhāva издания 1969 против сходного названия в корпусе Ратнакирти; малые сочинения, приписанные Дигнаге по слабой навигации.</w:t>
            </w:r>
          </w:p>
        </w:tc>
        <w:tc>
          <w:tcPr>
            <w:tcW w:type="dxa" w:w="2211"/>
            <w:vAlign w:val="top"/>
            <w:tcMar>
              <w:top w:w="85" w:type="dxa"/>
              <w:left w:w="85" w:type="dxa"/>
              <w:bottom w:w="85" w:type="dxa"/>
              <w:right w:w="85" w:type="dxa"/>
            </w:tcMar>
            <w:shd w:fill="FFFFFF"/>
          </w:tcPr>
          <w:p>
            <w:pPr>
              <w:spacing w:after="60" w:line="245" w:lineRule="auto"/>
            </w:pPr>
            <w:r>
              <w:rPr>
                <w:rFonts w:ascii="Liberation Serif" w:hAnsi="Liberation Serif"/>
                <w:sz w:val="20"/>
              </w:rPr>
              <w:t>G001, G028</w:t>
            </w:r>
          </w:p>
        </w:tc>
      </w:tr>
    </w:tbl>
    <w:p>
      <w:r/>
    </w:p>
    <w:p>
      <w:pPr>
        <w:pStyle w:val="Heading2"/>
      </w:pPr>
      <w:r>
        <w:t>Восемь целевых направлений</w:t>
      </w:r>
    </w:p>
    <w:p>
      <w:r>
        <w:t>1. Дигнага, главы и версии. Искать PS / vṛtti по D4203–D4204 и P5700/P5702, отдельно фиксируя переводчиков, главу и редакцию. Для Hattori и Tucci начинать с установленных библиотечных записей, не с перепечатки неизвестного загрузчика. Критерий завершения — читаемый полный нужный слой и установленное основание его использования. [</w:t>
      </w:r>
      <w:hyperlink r:id="rId32">
        <w:r>
          <w:rPr>
            <w:color w:val="17628B"/>
            <w:u w:val="single"/>
          </w:rPr>
          <w:t>R084</w:t>
        </w:r>
      </w:hyperlink>
      <w:r>
        <w:t xml:space="preserve">, </w:t>
      </w:r>
      <w:hyperlink r:id="rId73">
        <w:r>
          <w:rPr>
            <w:color w:val="17628B"/>
            <w:u w:val="single"/>
          </w:rPr>
          <w:t>R083</w:t>
        </w:r>
      </w:hyperlink>
      <w:r>
        <w:t>; G002, G023.]</w:t>
      </w:r>
    </w:p>
    <w:p>
      <w:r>
        <w:t>2. Джинендрабуддхи и рукопись. Проверить последние STTAR-выпуски глав III–V, item-level фотографии кодекса и ограничения учреждения. Не переносить CC BY тома VI на будущий или иной том. Одновременно извлечь точно локализованные фрагменты Vasubandhu из открытой главы VI. [</w:t>
      </w:r>
      <w:hyperlink r:id="rId47">
        <w:r>
          <w:rPr>
            <w:color w:val="17628B"/>
            <w:u w:val="single"/>
          </w:rPr>
          <w:t>R030</w:t>
        </w:r>
      </w:hyperlink>
      <w:r>
        <w:t>; G003, G007.]</w:t>
      </w:r>
    </w:p>
    <w:p>
      <w:r>
        <w:t>3. Санскрит Дхармакирти. Довести до фактического открытия официальные файлы нового HB 2016, его фотографические дополнения и PVini I–III; установить, какой файл является текстом, какой — аппаратом, какой — изображением. Для PViniṭ искать главы и свидетели, а не только название автора. [</w:t>
      </w:r>
      <w:hyperlink r:id="rId39">
        <w:r>
          <w:rPr>
            <w:color w:val="17628B"/>
            <w:u w:val="single"/>
          </w:rPr>
          <w:t>R020</w:t>
        </w:r>
      </w:hyperlink>
      <w:r>
        <w:t xml:space="preserve">, </w:t>
      </w:r>
      <w:hyperlink r:id="rId40">
        <w:r>
          <w:rPr>
            <w:color w:val="17628B"/>
            <w:u w:val="single"/>
          </w:rPr>
          <w:t>R021</w:t>
        </w:r>
      </w:hyperlink>
      <w:r>
        <w:t xml:space="preserve">, </w:t>
      </w:r>
      <w:hyperlink r:id="rId41">
        <w:r>
          <w:rPr>
            <w:color w:val="17628B"/>
            <w:u w:val="single"/>
          </w:rPr>
          <w:t>R022</w:t>
        </w:r>
      </w:hyperlink>
      <w:r>
        <w:t xml:space="preserve">, </w:t>
      </w:r>
      <w:hyperlink r:id="rId46">
        <w:r>
          <w:rPr>
            <w:color w:val="17628B"/>
            <w:u w:val="single"/>
          </w:rPr>
          <w:t>R025</w:t>
        </w:r>
      </w:hyperlink>
      <w:r>
        <w:t>; G004, G005.]</w:t>
      </w:r>
    </w:p>
    <w:p>
      <w:r>
        <w:t>4. Полная индийская экзегеза. Получить читаемые большие XML PVA/TSP с их TEI-header; затем пройти собственные канонические записи Devendrabuddhi и Śākyabuddhi, а также отдельные трактаты Dharmottara. Серийные статьи PVA полезно добавлять только при появлении нового переведённого участка, а не по одному файлу на каждую страницу. [</w:t>
      </w:r>
      <w:hyperlink r:id="rId90">
        <w:r>
          <w:rPr>
            <w:color w:val="17628B"/>
            <w:u w:val="single"/>
          </w:rPr>
          <w:t>R071</w:t>
        </w:r>
      </w:hyperlink>
      <w:r>
        <w:t xml:space="preserve">, </w:t>
      </w:r>
      <w:hyperlink r:id="rId95">
        <w:r>
          <w:rPr>
            <w:color w:val="17628B"/>
            <w:u w:val="single"/>
          </w:rPr>
          <w:t>R072</w:t>
        </w:r>
      </w:hyperlink>
      <w:r>
        <w:t xml:space="preserve">, </w:t>
      </w:r>
      <w:hyperlink r:id="rId48">
        <w:r>
          <w:rPr>
            <w:color w:val="17628B"/>
            <w:u w:val="single"/>
          </w:rPr>
          <w:t>R073</w:t>
        </w:r>
      </w:hyperlink>
      <w:r>
        <w:t xml:space="preserve">, </w:t>
      </w:r>
      <w:hyperlink r:id="rId49">
        <w:r>
          <w:rPr>
            <w:color w:val="17628B"/>
            <w:u w:val="single"/>
          </w:rPr>
          <w:t>R074</w:t>
        </w:r>
      </w:hyperlink>
      <w:r>
        <w:t>; G010–G013.]</w:t>
      </w:r>
    </w:p>
    <w:p>
      <w:r>
        <w:t>5. Полемика, которая сохраняет ранние аргументы. Найти полный Nyāyavārttika Uddyotakara и релевантные разделы Kumārila; уточнить раннюю hetuvidyā в Yogācārabhūmi. Это даст не «ещё всю Nyāya/Mīmāṃsā», а конкретные места входящей и ответной трансмиссии. [</w:t>
      </w:r>
      <w:hyperlink r:id="rId67">
        <w:r>
          <w:rPr>
            <w:color w:val="17628B"/>
            <w:u w:val="single"/>
          </w:rPr>
          <w:t>R051</w:t>
        </w:r>
      </w:hyperlink>
      <w:r>
        <w:t xml:space="preserve">, </w:t>
      </w:r>
      <w:hyperlink r:id="rId69">
        <w:r>
          <w:rPr>
            <w:color w:val="17628B"/>
            <w:u w:val="single"/>
          </w:rPr>
          <w:t>R060</w:t>
        </w:r>
      </w:hyperlink>
      <w:r>
        <w:t xml:space="preserve">, </w:t>
      </w:r>
      <w:hyperlink r:id="rId70">
        <w:r>
          <w:rPr>
            <w:color w:val="17628B"/>
            <w:u w:val="single"/>
          </w:rPr>
          <w:t>R068</w:t>
        </w:r>
      </w:hyperlink>
      <w:r>
        <w:t>; G009, G014, G015.]</w:t>
      </w:r>
    </w:p>
    <w:p>
      <w:r>
        <w:t>6. Китайские и японские комментарии. Сопоставить T1628/T1629/T1630 и T1840 по каноническим идентификаторам, затем проверить прямые поздние комментарии и английское издание Nyāyapraveśa. Отдельная задача — согласовать текущую CC-формулировку CBETA со старой оговоркой о неизменности текста. [</w:t>
      </w:r>
      <w:hyperlink r:id="rId19">
        <w:r>
          <w:rPr>
            <w:color w:val="17628B"/>
            <w:u w:val="single"/>
          </w:rPr>
          <w:t>R040</w:t>
        </w:r>
      </w:hyperlink>
      <w:r>
        <w:t xml:space="preserve">, </w:t>
      </w:r>
      <w:hyperlink r:id="rId26">
        <w:r>
          <w:rPr>
            <w:color w:val="17628B"/>
            <w:u w:val="single"/>
          </w:rPr>
          <w:t>R041</w:t>
        </w:r>
      </w:hyperlink>
      <w:r>
        <w:t xml:space="preserve">, </w:t>
      </w:r>
      <w:hyperlink r:id="rId57">
        <w:r>
          <w:rPr>
            <w:color w:val="17628B"/>
            <w:u w:val="single"/>
          </w:rPr>
          <w:t>R045</w:t>
        </w:r>
      </w:hyperlink>
      <w:r>
        <w:t xml:space="preserve">, </w:t>
      </w:r>
      <w:hyperlink r:id="rId58">
        <w:r>
          <w:rPr>
            <w:color w:val="17628B"/>
            <w:u w:val="single"/>
          </w:rPr>
          <w:t>R046</w:t>
        </w:r>
      </w:hyperlink>
      <w:r>
        <w:t>; G019, G020, G025.]</w:t>
      </w:r>
    </w:p>
    <w:p>
      <w:r>
        <w:t>7. Тибетская рецепция за XV веком. Полный Tshad ma rigs gter с Горампой и поздними mchan ’grel искать по W20402/MW4CN11888; отдельно проверить Jamyang Loter Wangpo и полный Phya pa. Антология 2025 и издание Агван-Дандара уже задают конкретные произведения, а не только общую тему «тибетская логика». [</w:t>
      </w:r>
      <w:hyperlink r:id="rId62">
        <w:r>
          <w:rPr>
            <w:color w:val="17628B"/>
            <w:u w:val="single"/>
          </w:rPr>
          <w:t>R076</w:t>
        </w:r>
      </w:hyperlink>
      <w:r>
        <w:t xml:space="preserve">, </w:t>
      </w:r>
      <w:hyperlink r:id="rId64">
        <w:r>
          <w:rPr>
            <w:color w:val="17628B"/>
            <w:u w:val="single"/>
          </w:rPr>
          <w:t>R079</w:t>
        </w:r>
      </w:hyperlink>
      <w:r>
        <w:t xml:space="preserve">, </w:t>
      </w:r>
      <w:hyperlink r:id="rId65">
        <w:r>
          <w:rPr>
            <w:color w:val="17628B"/>
            <w:u w:val="single"/>
          </w:rPr>
          <w:t>R081</w:t>
        </w:r>
      </w:hyperlink>
      <w:r>
        <w:t>; G016–G018.]</w:t>
      </w:r>
    </w:p>
    <w:p>
      <w:r>
        <w:t>8. Старые переводы и изображения. Проверить полные русский NB/NBT 1903 и английский Buddhist Logic II, открыть заявленные Hathi full-view и Columbia PDF, установить юрисдикционно применимые права. Для BDRC требуются конкретный image-instance, manifest и access status; регистрация или библиотечная выдача не должны предполагаться по общей рекламе сервиса. [</w:t>
      </w:r>
      <w:hyperlink r:id="rId80">
        <w:r>
          <w:rPr>
            <w:color w:val="17628B"/>
            <w:u w:val="single"/>
          </w:rPr>
          <w:t>R061</w:t>
        </w:r>
      </w:hyperlink>
      <w:r>
        <w:t xml:space="preserve">, </w:t>
      </w:r>
      <w:hyperlink r:id="rId77">
        <w:r>
          <w:rPr>
            <w:color w:val="17628B"/>
            <w:u w:val="single"/>
          </w:rPr>
          <w:t>R070</w:t>
        </w:r>
      </w:hyperlink>
      <w:r>
        <w:t xml:space="preserve">, </w:t>
      </w:r>
      <w:hyperlink r:id="rId79">
        <w:r>
          <w:rPr>
            <w:color w:val="17628B"/>
            <w:u w:val="single"/>
          </w:rPr>
          <w:t>R080</w:t>
        </w:r>
      </w:hyperlink>
      <w:r>
        <w:t xml:space="preserve">, </w:t>
      </w:r>
      <w:hyperlink r:id="rId65">
        <w:r>
          <w:rPr>
            <w:color w:val="17628B"/>
            <w:u w:val="single"/>
          </w:rPr>
          <w:t>R081</w:t>
        </w:r>
      </w:hyperlink>
      <w:r>
        <w:t xml:space="preserve">, </w:t>
      </w:r>
      <w:hyperlink r:id="rId78">
        <w:r>
          <w:rPr>
            <w:color w:val="17628B"/>
            <w:u w:val="single"/>
          </w:rPr>
          <w:t>R082</w:t>
        </w:r>
      </w:hyperlink>
      <w:r>
        <w:t>; G021, G022, G027.]</w:t>
      </w:r>
    </w:p>
    <w:p>
      <w:pPr>
        <w:pStyle w:val="Heading2"/>
      </w:pPr>
      <w:r>
        <w:t>Кандидаты, не превращённые в установленные объекты</w:t>
      </w:r>
    </w:p>
    <w:p>
      <w:r>
        <w:t>G028 сохраняет Hastavālaprakaraṇa, Yogāvatāra и предполагаемые утраченные parīkṣā Дигнаги как unverified_candidate: навигационная подсказка найдена, но авторство, границы и непосредственный корпусный статус не подтверждены сильным источником в этом запуске. G001 сохраняет иную проблему: сам электронный Pramāṇāntarbhāva и лицензия обнаружены, но пустой author в TEI не позволяет без проверки приписать его Ратнакирти.</w:t>
      </w:r>
    </w:p>
    <w:p>
      <w:r>
        <w:t>Непроверенные загрузки современных переводов на открытых платформах не использованы как законные полнотекстовые пути: надпись CC0 от неизвестного загрузчика не доказывает прав на книгу Hattori. Wikipedia и другие слабые страницы не являются источниками доступа, библиографических выводов или прав в итоговых файлах. Для рабочих ссылок сохранены подтверждённые каталоги, издатели и проекты.</w:t>
      </w:r>
    </w:p>
    <w:p>
      <w:pPr>
        <w:pStyle w:val="Heading1"/>
      </w:pPr>
      <w:r>
        <w:t>7. Итоговая оценка</w:t>
      </w:r>
    </w:p>
    <w:p>
      <w:r>
        <w:t>Ядро T2-35 покрыто достаточно хорошо для начала работы: главные произведения Дигнаги и все семь трактатов Дхармакирти получили хотя бы один конкретный маршрут к тексту, переводу, изданию или каталогу. Особенно сильны санскритские электронные тексты, позднеиндийские авторские собрания, отдельные комментарийные линии и китайские канонические передачи. Неравномерность остаётся у полного PS, рукописных изображений, больших комментариев и старых полных переводов.</w:t>
      </w:r>
    </w:p>
    <w:p>
      <w:r>
        <w:t>Наиболее свободный слой — исторические тибетские TXT Esukhia, лицензированные SARIT/GRETIL e-text и современное CC BY-издание PSṭ VI. Наиболее заметные ограничения — современные реконструкции, защищённые переводы и научный аппарат, неодинаковые права сканов, непроверенные крупные XML и сервисы, не открывшиеся инструментом. Бесплатный доступ найден шире, чем право на повторное размещение.</w:t>
      </w:r>
    </w:p>
    <w:p>
      <w:r>
        <w:t>Пакет пригоден для передачи Codex как исследовательский материал: 89 уникальных record_id, 32 поля registry, отдельные verification_status / coverage / rights_scope и 28 адресных gaps. Для библиографических карточек и внешних ссылок работа может продолжаться сразу; публичное зеркалирование, индексация и собственные переводы должны отбираться по конкретной записи и её доказательствам, а не по древности автора или названию репозитория.</w:t>
      </w:r>
    </w:p>
    <w:p>
      <w:r>
        <w:t>Исходный DR и мастер-строка не изменены. Историческое ядро T2-35 сохранено; ранние и поздние произведения добавлены как документированная корпусная и трансмиссионная периферия, а не как новый хронологический узел.</w:t>
      </w:r>
    </w:p>
    <w:sectPr w:rsidR="00FC693F" w:rsidRPr="0006063C" w:rsidSect="00034616">
      <w:headerReference w:type="default" r:id="rId9"/>
      <w:footerReference w:type="default" r:id="rId10"/>
      <w:pgSz w:w="11906" w:h="16838"/>
      <w:pgMar w:top="964" w:right="1020" w:bottom="935"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T2-35 · A/5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TREE OF SOPHIA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color w:val="2032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b/>
      <w:bCs/>
      <w:color w:val="173E52"/>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b/>
      <w:bCs/>
      <w:color w:val="236B6B"/>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DejaVu Sans" w:hAnsi="DejaVu Sans"/>
      <w:b/>
      <w:bCs/>
      <w:color w:val="17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4" w:lineRule="auto" w:before="0"/>
      <w:contextualSpacing/>
    </w:pPr>
    <w:rPr>
      <w:rFonts w:asciiTheme="majorHAnsi" w:eastAsiaTheme="majorEastAsia" w:hAnsiTheme="majorHAnsi" w:cstheme="majorBidi" w:ascii="DejaVu Sans" w:hAnsi="DejaVu Sans"/>
      <w:b/>
      <w:color w:val="173E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DejaVu Sans" w:hAnsi="DejaVu Sans"/>
      <w:b w:val="0"/>
      <w:i/>
      <w:iCs/>
      <w:color w:val="5472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erif" w:hAnsi="Liberation Serif"/>
      <w:color w:val="20323D"/>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6174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retil.sub.uni-goettingen.de/gretil/1_sanskr/6_sastra/3_phil/buddh/dhkprvku.htm" TargetMode="External"/><Relationship Id="rId12" Type="http://schemas.openxmlformats.org/officeDocument/2006/relationships/hyperlink" Target="https://austriaca.at/7865-1inhalt" TargetMode="External"/><Relationship Id="rId13" Type="http://schemas.openxmlformats.org/officeDocument/2006/relationships/hyperlink" Target="https://github.com/sarit/SARIT-corpus/blob/master/dharmottarapradipa.xml" TargetMode="External"/><Relationship Id="rId14" Type="http://schemas.openxmlformats.org/officeDocument/2006/relationships/hyperlink" Target="https://github.com/sarit/SARIT-corpus/blob/master/pramanavarttikavrtti.xml" TargetMode="External"/><Relationship Id="rId15" Type="http://schemas.openxmlformats.org/officeDocument/2006/relationships/hyperlink" Target="https://github.com/sarit/SARIT-corpus/blob/master/pramanavarttikasvavrttitika.xml" TargetMode="External"/><Relationship Id="rId16" Type="http://schemas.openxmlformats.org/officeDocument/2006/relationships/hyperlink" Target="https://github.com/sarit/SARIT-corpus/blob/master/tarkabhasa.xml" TargetMode="External"/><Relationship Id="rId17" Type="http://schemas.openxmlformats.org/officeDocument/2006/relationships/hyperlink" Target="https://github.com/sarit/SARIT-corpus/blob/master/jitari-isvaravadimatapariksa.xml" TargetMode="External"/><Relationship Id="rId18" Type="http://schemas.openxmlformats.org/officeDocument/2006/relationships/hyperlink" Target="https://github.com/sarit/SARIT-corpus/blob/master/vadasthana.xml" TargetMode="External"/><Relationship Id="rId19" Type="http://schemas.openxmlformats.org/officeDocument/2006/relationships/hyperlink" Target="https://dlbs.liberal.ntu.edu.tw/FULLTEXT/sutra/chi_pdf/sutra15/T32n1628.pdf" TargetMode="External"/><Relationship Id="rId20" Type="http://schemas.openxmlformats.org/officeDocument/2006/relationships/hyperlink" Target="https://raw.githubusercontent.com/cbeta-org/xml-p5/master/T/T32/T32n1632.xml" TargetMode="External"/><Relationship Id="rId21" Type="http://schemas.openxmlformats.org/officeDocument/2006/relationships/hyperlink" Target="https://gretil.sub.uni-goettingen.de/gretil/corpustei/transformations/html/sa_arcaTa-hetubinduTIkA-edsanghavi.htm.htm" TargetMode="External"/><Relationship Id="rId22" Type="http://schemas.openxmlformats.org/officeDocument/2006/relationships/hyperlink" Target="https://gretil.sub.uni-goettingen.de/gretil/corpustei/transformations/html/sa_durvekamizra-hetubinduTIkAloka.htm.htm" TargetMode="External"/><Relationship Id="rId23" Type="http://schemas.openxmlformats.org/officeDocument/2006/relationships/hyperlink" Target="https://github.com/sarit/SARIT-corpus/blob/master/avayavinirakarana.xml" TargetMode="External"/><Relationship Id="rId24" Type="http://schemas.openxmlformats.org/officeDocument/2006/relationships/hyperlink" Target="https://www.oeaw.ac.at/en/ikga/digital/steinkellner-repository" TargetMode="External"/><Relationship Id="rId25" Type="http://schemas.openxmlformats.org/officeDocument/2006/relationships/hyperlink" Target="https://utheses.univie.ac.at/detail/7464" TargetMode="External"/><Relationship Id="rId26" Type="http://schemas.openxmlformats.org/officeDocument/2006/relationships/hyperlink" Target="https://buddhism.lib.ntu.edu.tw/FULLTEXT/sutra/chi_pdf/sutra15/T32n1629.pdf" TargetMode="External"/><Relationship Id="rId27" Type="http://schemas.openxmlformats.org/officeDocument/2006/relationships/hyperlink" Target="https://raw.githubusercontent.com/cbeta-org/xml-p5/master/T/T31/T31n1624.xml" TargetMode="External"/><Relationship Id="rId28" Type="http://schemas.openxmlformats.org/officeDocument/2006/relationships/hyperlink" Target="https://link.springer.com/article/10.1007/s10781-014-9263-2" TargetMode="External"/><Relationship Id="rId29" Type="http://schemas.openxmlformats.org/officeDocument/2006/relationships/hyperlink" Target="https://raw.githubusercontent.com/Esukhia/derge-tengyur/master/text/174_&#3930;&#3921;&#3851;&#3928;&#3853;_&#3909;&#3962;.txt" TargetMode="External"/><Relationship Id="rId30" Type="http://schemas.openxmlformats.org/officeDocument/2006/relationships/hyperlink" Target="https://link.springer.com/book/10.1007/978-94-009-2899-2" TargetMode="External"/><Relationship Id="rId31" Type="http://schemas.openxmlformats.org/officeDocument/2006/relationships/hyperlink" Target="https://global.oup.com/academic/product/dignagas-investigation-of-the-percept-9780190623708" TargetMode="External"/><Relationship Id="rId32" Type="http://schemas.openxmlformats.org/officeDocument/2006/relationships/hyperlink" Target="https://search.worldcat.org/title/Dignaga-on-perception-:-being-the-Pratyaksapariccheda-of-Dignaga's-Pramanasamuccaya-from-the-Sanskrit-fragments-and-the-Tibetan-versions/oclc/316091547" TargetMode="External"/><Relationship Id="rId33" Type="http://schemas.openxmlformats.org/officeDocument/2006/relationships/hyperlink" Target="https://gretil.sub.uni-goettingen.de/gretil/corpustei/transformations/html/sa_dharmakIrti-pramANavArttisvavRtti.htm" TargetMode="External"/><Relationship Id="rId34" Type="http://schemas.openxmlformats.org/officeDocument/2006/relationships/hyperlink" Target="https://gretil.sub.uni-goettingen.de/gretil/1_sanskr/6_sastra/3_phil/buddh/dhknyayu.htm" TargetMode="External"/><Relationship Id="rId35" Type="http://schemas.openxmlformats.org/officeDocument/2006/relationships/hyperlink" Target="https://gretil.sub.uni-goettingen.de/gretil/corpustei/transformations/html/sa_dharmakIrti-hetubindu.htm" TargetMode="External"/><Relationship Id="rId36" Type="http://schemas.openxmlformats.org/officeDocument/2006/relationships/hyperlink" Target="https://gretil.sub.uni-goettingen.de/gretil/corpustei/transformations/html/sa_dharmakIrti-vAdanyAya-alt.htm" TargetMode="External"/><Relationship Id="rId37" Type="http://schemas.openxmlformats.org/officeDocument/2006/relationships/hyperlink" Target="https://gretil.sub.uni-goettingen.de/gretil/1_sanskr/6_sastra/3_phil/buddh/dhksparu.htm" TargetMode="External"/><Relationship Id="rId38" Type="http://schemas.openxmlformats.org/officeDocument/2006/relationships/hyperlink" Target="https://gretil.sub.uni-goettingen.de/gretil/corpustei/transformations/html/sa_dharmakIrti-saMtAnAntarasiddhi.htm" TargetMode="External"/><Relationship Id="rId39" Type="http://schemas.openxmlformats.org/officeDocument/2006/relationships/hyperlink" Target="https://www.oeaw.ac.at/en/ikga/publikationen/reihen/sanskrit-texts-from-the-tibetan-autonomous-region-sttar/dharmakirtis-pramanaviniscaya-1" TargetMode="External"/><Relationship Id="rId40" Type="http://schemas.openxmlformats.org/officeDocument/2006/relationships/hyperlink" Target="https://www.oeaw.ac.at/en/ikga/publikationen/reihen/sanskrit-texts-from-the-tibetan-autonomous-region-sttar/dharmakirtis-pramanaviniscaya" TargetMode="External"/><Relationship Id="rId41" Type="http://schemas.openxmlformats.org/officeDocument/2006/relationships/hyperlink" Target="https://www.oeaw.ac.at/en/ikga/publikationen/reihen/sanskrit-texts-from-the-tibetan-autonomous-region-sttar/dharmakirtis-hetubindu" TargetMode="External"/><Relationship Id="rId42" Type="http://schemas.openxmlformats.org/officeDocument/2006/relationships/hyperlink" Target="https://github.com/sarit/SARIT-corpus/blob/master/dharmottaratippanaka.xml" TargetMode="External"/><Relationship Id="rId43" Type="http://schemas.openxmlformats.org/officeDocument/2006/relationships/hyperlink" Target="https://github.com/sarit/SARIT-corpus/blob/master/vadanyayatika.xml" TargetMode="External"/><Relationship Id="rId44" Type="http://schemas.openxmlformats.org/officeDocument/2006/relationships/hyperlink" Target="https://www.oeaw.ac.at/en/ikga/publikationen/reihen/sanskrit-texts-from-the-tibetan-autonomous-region-sttar/jinendrabuddhis-pramanasamuccayatika-1" TargetMode="External"/><Relationship Id="rId45" Type="http://schemas.openxmlformats.org/officeDocument/2006/relationships/hyperlink" Target="https://www.oeaw.ac.at/en/ikga/publikationen/reihen/sanskrit-texts-from-the-tibetan-autonomous-region-sttar/jinendrabuddhis-pramanasamuccayatika" TargetMode="External"/><Relationship Id="rId46" Type="http://schemas.openxmlformats.org/officeDocument/2006/relationships/hyperlink" Target="https://www.oeaw.ac.at/en/ikga/publikationen/sachgebiete/buddhismusstudien/dharmottaras-pramanaviniscayatika-chapter-3" TargetMode="External"/><Relationship Id="rId47" Type="http://schemas.openxmlformats.org/officeDocument/2006/relationships/hyperlink" Target="https://e-book.fwf.ac.at/detail/o:1870" TargetMode="External"/><Relationship Id="rId48" Type="http://schemas.openxmlformats.org/officeDocument/2006/relationships/hyperlink" Target="https://www.jstage.jst.go.jp/article/prajnakaragupta/4/0/4_55/_article" TargetMode="External"/><Relationship Id="rId49" Type="http://schemas.openxmlformats.org/officeDocument/2006/relationships/hyperlink" Target="https://www.jstage.jst.go.jp/article/prajnakaragupta/5/0/5_123/_article/-char/en" TargetMode="External"/><Relationship Id="rId50" Type="http://schemas.openxmlformats.org/officeDocument/2006/relationships/hyperlink" Target="https://github.com/sarit/SARIT-corpus/blob/master/ratnakirti-nibandhavali.xml" TargetMode="External"/><Relationship Id="rId51" Type="http://schemas.openxmlformats.org/officeDocument/2006/relationships/hyperlink" Target="https://github.com/sarit/SARIT-corpus/blob/master/jnanasrimitra-nibandhavali.xml" TargetMode="External"/><Relationship Id="rId52" Type="http://schemas.openxmlformats.org/officeDocument/2006/relationships/hyperlink" Target="https://austriaca.at/0xc1aa5572%200x003b4c71.pdf" TargetMode="External"/><Relationship Id="rId53" Type="http://schemas.openxmlformats.org/officeDocument/2006/relationships/hyperlink" Target="https://github.com/sarit/SARIT-corpus/blob/master/tarkarahasya.xml" TargetMode="External"/><Relationship Id="rId54" Type="http://schemas.openxmlformats.org/officeDocument/2006/relationships/hyperlink" Target="https://github.com/sarit/SARIT-corpus/blob/master/samanyadusana.xml" TargetMode="External"/><Relationship Id="rId55" Type="http://schemas.openxmlformats.org/officeDocument/2006/relationships/hyperlink" Target="https://github.com/sarit/SARIT-corpus/blob/master/jitari-sarvajnasiddhi.xml" TargetMode="External"/><Relationship Id="rId56" Type="http://schemas.openxmlformats.org/officeDocument/2006/relationships/hyperlink" Target="https://cup.columbia.edu/book/buddhist-philosophy-of-language-in-india/9780231150941/" TargetMode="External"/><Relationship Id="rId57" Type="http://schemas.openxmlformats.org/officeDocument/2006/relationships/hyperlink" Target="https://raw.githubusercontent.com/cbeta-org/xml-p5/master/T/T32/T32n1630.xml" TargetMode="External"/><Relationship Id="rId58" Type="http://schemas.openxmlformats.org/officeDocument/2006/relationships/hyperlink" Target="https://raw.githubusercontent.com/cbeta-org/xml-p5/master/T/T44/T44n1840.xml" TargetMode="External"/><Relationship Id="rId59" Type="http://schemas.openxmlformats.org/officeDocument/2006/relationships/hyperlink" Target="https://austriaca.at/8335-8inhalt" TargetMode="External"/><Relationship Id="rId60" Type="http://schemas.openxmlformats.org/officeDocument/2006/relationships/hyperlink" Target="https://www.lotsawahouse.org/tibetan-masters/mipham/sword-of-wisdom" TargetMode="External"/><Relationship Id="rId61" Type="http://schemas.openxmlformats.org/officeDocument/2006/relationships/hyperlink" Target="https://www.lotsawahouse.org/bo/tibetan-masters/mipham/sword-of-wisdom" TargetMode="External"/><Relationship Id="rId62" Type="http://schemas.openxmlformats.org/officeDocument/2006/relationships/hyperlink" Target="https://www.lotsawahouse.org/tibetan-masters/gorampa-sonam-senge/on-knowable-objects" TargetMode="External"/><Relationship Id="rId63" Type="http://schemas.openxmlformats.org/officeDocument/2006/relationships/hyperlink" Target="https://www.simonandschuster.com/books/Light-of-Samantabhadra/42nd-Sakya-Trizin-Ratna-Vajra/The-Khenpo-Appey-Collection-of-Sakya-Classics/9781614297512" TargetMode="External"/><Relationship Id="rId64" Type="http://schemas.openxmlformats.org/officeDocument/2006/relationships/hyperlink" Target="https://www.simonandschuster.com/books/Buddhist-Epistemology-in-the-Geluk-School/Jonathan-Samuels/Library-of-Tibetan-Classics/9780861714605" TargetMode="External"/><Relationship Id="rId65" Type="http://schemas.openxmlformats.org/officeDocument/2006/relationships/hyperlink" Target="https://catalog.hathitrust.org/Record/012154218" TargetMode="External"/><Relationship Id="rId66" Type="http://schemas.openxmlformats.org/officeDocument/2006/relationships/hyperlink" Target="https://raw.githubusercontent.com/cbeta-org/xml-p5/master/T/T32/T32n1633.xml" TargetMode="External"/><Relationship Id="rId67" Type="http://schemas.openxmlformats.org/officeDocument/2006/relationships/hyperlink" Target="https://github.com/sarit/SARIT-corpus/blob/master/vatsyayana-nyayabhasya.xml" TargetMode="External"/><Relationship Id="rId68" Type="http://schemas.openxmlformats.org/officeDocument/2006/relationships/hyperlink" Target="https://github.com/sarit/SARIT-corpus/blob/master/bhartrhari-vakyapadiya.xml" TargetMode="External"/><Relationship Id="rId69" Type="http://schemas.openxmlformats.org/officeDocument/2006/relationships/hyperlink" Target="https://gretil.sub.uni-goettingen.de/gretil/corpustei/transformations/html/sa_kumArila-mImAMsazlokavArttika-comm.htm.htm" TargetMode="External"/><Relationship Id="rId70" Type="http://schemas.openxmlformats.org/officeDocument/2006/relationships/hyperlink" Target="https://github.com/sarit/SARIT-corpus/blob/master/nyayavarttikatatparyatika.xml" TargetMode="External"/><Relationship Id="rId71" Type="http://schemas.openxmlformats.org/officeDocument/2006/relationships/hyperlink" Target="https://www.lotsawahouse.org/bo/tibetan-masters/gorampa-sonam-senge/on-knowable-objects" TargetMode="External"/><Relationship Id="rId72" Type="http://schemas.openxmlformats.org/officeDocument/2006/relationships/hyperlink" Target="https://books.google.com/books/about/Buddhist_Formal_Logic.html?id=ijQBEgAAQBAJ" TargetMode="External"/><Relationship Id="rId73" Type="http://schemas.openxmlformats.org/officeDocument/2006/relationships/hyperlink" Target="https://search.worldcat.org/title/The-Nyayamukha-of-Dignaga-:-the-oldest-Buddhist-text-on-logic-after-Chinese-and-Tibetan-materials/oclc/257883100" TargetMode="External"/><Relationship Id="rId74" Type="http://schemas.openxmlformats.org/officeDocument/2006/relationships/hyperlink" Target="https://dlbs.liberal.ntu.edu.tw/BDLM/sutra/html/T31/T31n1619.htm" TargetMode="External"/><Relationship Id="rId75" Type="http://schemas.openxmlformats.org/officeDocument/2006/relationships/hyperlink" Target="https://raw.githubusercontent.com/cbeta-org/xml-p5/master/T/T31/T31n1625.xml" TargetMode="External"/><Relationship Id="rId76" Type="http://schemas.openxmlformats.org/officeDocument/2006/relationships/hyperlink" Target="https://gretil.sub.uni-goettingen.de/gretil/corpustei/transformations/html/sa_dharmakIrti-pramANavinizcaya-fragment.htm" TargetMode="External"/><Relationship Id="rId77" Type="http://schemas.openxmlformats.org/officeDocument/2006/relationships/hyperlink" Target="https://www.columbia.edu/cu/lweb/digital/collections/cul/texts/ldpd_6769882_000/" TargetMode="External"/><Relationship Id="rId78" Type="http://schemas.openxmlformats.org/officeDocument/2006/relationships/hyperlink" Target="https://catalog.hathitrust.org/Record/011261499" TargetMode="External"/><Relationship Id="rId79" Type="http://schemas.openxmlformats.org/officeDocument/2006/relationships/hyperlink" Target="https://catalog.hathitrust.org/Record/102923656" TargetMode="External"/><Relationship Id="rId80" Type="http://schemas.openxmlformats.org/officeDocument/2006/relationships/hyperlink" Target="https://www.orientalstudies.ru/rus/index.php?Itemid=75&amp;option=com_publications&amp;pub=1031" TargetMode="External"/><Relationship Id="rId81" Type="http://schemas.openxmlformats.org/officeDocument/2006/relationships/hyperlink" Target="https://www.orientalstudies.ru/rus/index.php?Itemid=75&amp;option=com_publications&amp;pub=305" TargetMode="External"/><Relationship Id="rId82" Type="http://schemas.openxmlformats.org/officeDocument/2006/relationships/hyperlink" Target="https://austriaca.at/9228-2inhalt" TargetMode="External"/><Relationship Id="rId83" Type="http://schemas.openxmlformats.org/officeDocument/2006/relationships/hyperlink" Target="https://gretil.sub.uni-goettingen.de/gretil/corpustei/transformations/html/sa_arcaTa-hetubinduTIkA.htm.htm" TargetMode="External"/><Relationship Id="rId84" Type="http://schemas.openxmlformats.org/officeDocument/2006/relationships/hyperlink" Target="https://unora.unior.it/handle/11574/205885" TargetMode="External"/><Relationship Id="rId85" Type="http://schemas.openxmlformats.org/officeDocument/2006/relationships/hyperlink" Target="https://gretil.sub.uni-goettingen.de/gretil/corpustei/transformations/html/sa_dharmakIrti-saMbandhaparIkSA-comm.htm" TargetMode="External"/><Relationship Id="rId86" Type="http://schemas.openxmlformats.org/officeDocument/2006/relationships/hyperlink" Target="https://www.oeaw.ac.at/en/ikga/publikationen/reihen/sanskrit-texts-from-the-tibetan-autonomous-region-sttar/dharmakirtis-sp-and-devendrabuddhis-spv" TargetMode="External"/><Relationship Id="rId87" Type="http://schemas.openxmlformats.org/officeDocument/2006/relationships/hyperlink" Target="https://github.com/sarit/SARIT-corpus/blob/master/jitari-jatinirakrti.xml" TargetMode="External"/><Relationship Id="rId88" Type="http://schemas.openxmlformats.org/officeDocument/2006/relationships/hyperlink" Target="https://github.com/sarit/SARIT-corpus/blob/master/jitari-nairatmyasiddhi.xml" TargetMode="External"/><Relationship Id="rId89" Type="http://schemas.openxmlformats.org/officeDocument/2006/relationships/hyperlink" Target="https://github.com/sarit/SARIT-corpus/blob/master/jitari-vedapramanyasiddhi.xml" TargetMode="External"/><Relationship Id="rId90" Type="http://schemas.openxmlformats.org/officeDocument/2006/relationships/hyperlink" Target="https://github.com/sarit/SARIT-corpus/blob/master/pramanavarttikalankarabhasya.xml" TargetMode="External"/><Relationship Id="rId91" Type="http://schemas.openxmlformats.org/officeDocument/2006/relationships/hyperlink" Target="https://www.jstage.jst.go.jp/article/prajnakaragupta/6/0/6_153/_article/-char/en" TargetMode="External"/><Relationship Id="rId92" Type="http://schemas.openxmlformats.org/officeDocument/2006/relationships/hyperlink" Target="https://www.jstage.jst.go.jp/browse/prajnakaragupta/_pubinfo/-char/en" TargetMode="External"/><Relationship Id="rId93" Type="http://schemas.openxmlformats.org/officeDocument/2006/relationships/hyperlink" Target="https://gretil.sub.uni-goettingen.de/gretil/corpustei/transformations/html/sa_zAntarakSita-tattvasaMgraha.htm.htm" TargetMode="External"/><Relationship Id="rId94" Type="http://schemas.openxmlformats.org/officeDocument/2006/relationships/hyperlink" Target="https://academic.oup.com/book/41380" TargetMode="External"/><Relationship Id="rId95" Type="http://schemas.openxmlformats.org/officeDocument/2006/relationships/hyperlink" Target="https://github.com/sarit/SARIT-corpus/blob/master/tattvasangrahapanjika.xml" TargetMode="External"/><Relationship Id="rId96" Type="http://schemas.openxmlformats.org/officeDocument/2006/relationships/hyperlink" Target="https://84000.co/canon/epistemology-and-logic" TargetMode="External"/><Relationship Id="rId97" Type="http://schemas.openxmlformats.org/officeDocument/2006/relationships/hyperlink" Target="https://github.com/sarit/SARIT-corpus" TargetMode="External"/><Relationship Id="rId98" Type="http://schemas.openxmlformats.org/officeDocument/2006/relationships/hyperlink" Target="https://gretil.sub.uni-goettingen.de/greti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T2-35</dc:title>
  <dc:subject>Буддийская логика и эпистемология: корпус, законный доступ и права</dc:subject>
  <dc:creator>ToS</dc:creator>
  <cp:keywords>T2-35; Dignāga; Dharmakīrti; corpus; rights; pramāṇa</cp:keywords>
  <dc:description>generated by python-docx</dc:description>
  <cp:lastModifiedBy/>
  <cp:revision>1</cp:revision>
  <dcterms:created xsi:type="dcterms:W3CDTF">2013-12-23T23:15:00Z</dcterms:created>
  <dcterms:modified xsi:type="dcterms:W3CDTF">2013-12-23T23:15:00Z</dcterms:modified>
  <cp:category/>
</cp:coreProperties>
</file>