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rPr>
          <w:b w:val="0"/>
        </w:rPr>
        <w:t>T2-21  |  Латинский Запад раннего Средневековья</w:t>
        <w:br/>
        <w:t>и каролингско-оттоновская школьность</w:t>
      </w:r>
    </w:p>
    <w:p>
      <w:r>
        <w:rPr>
          <w:b w:val="0"/>
        </w:rPr>
      </w:r>
      <w:r>
        <w:rPr>
          <w:b/>
        </w:rPr>
        <w:t>83 записи о путях доступа · около 65 произведений и корпусных семейств · 24 позиции gaps</w:t>
      </w:r>
      <w:r>
        <w:rPr>
          <w:b w:val="0"/>
        </w:rPr>
      </w:r>
    </w:p>
    <w:p>
      <w:r>
        <w:rPr>
          <w:b w:val="0"/>
        </w:rPr>
        <w:t>Исследовательский пакет объединяет оригинальные тексты, переводы, старые и современные издания, рукописные свидетели и машиночитаемые входы. Самый свободный слой неоднороден: открытое издание глосс, отдельные TEI-тексты, лицензированные изображения и исторические издания с территориальными оговорками. Бесплатное чтение большей части найденного материала не превращено в разрешение на зеркалирование.</w:t>
      </w:r>
    </w:p>
    <w:p>
      <w:pPr>
        <w:pStyle w:val="Heading1"/>
      </w:pPr>
      <w:r>
        <w:t>1. Паспорт</w:t>
      </w:r>
    </w:p>
    <w:p>
      <w:r>
        <w:rPr>
          <w:b w:val="0"/>
        </w:rPr>
      </w:r>
      <w:r>
        <w:rPr>
          <w:b/>
        </w:rPr>
        <w:t>Строка:</w:t>
      </w:r>
      <w:r>
        <w:rPr>
          <w:b w:val="0"/>
        </w:rPr>
        <w:t xml:space="preserve"> T2-21, Таблица II, запуск 21. </w:t>
      </w:r>
      <w:r>
        <w:rPr>
          <w:b/>
        </w:rPr>
        <w:t>Исходный статус:</w:t>
      </w:r>
      <w:r>
        <w:rPr>
          <w:b w:val="0"/>
        </w:rPr>
        <w:t xml:space="preserve"> B; уверенность мастер-строки — 5. </w:t>
      </w:r>
      <w:r>
        <w:rPr>
          <w:b/>
        </w:rPr>
        <w:t>Исторические границы:</w:t>
      </w:r>
      <w:r>
        <w:rPr>
          <w:b w:val="0"/>
        </w:rPr>
        <w:t xml:space="preserve"> формирование VI–IX вв.; фиксация и передача VI–X вв.; канонизация и комментарий VIII–XI вв. Рабочее историческое ядро — приблизительно 500–1000 гг. ID, статус и границы строки сохранены.</w:t>
      </w:r>
    </w:p>
    <w:p>
      <w:r>
        <w:rPr>
          <w:b w:val="0"/>
        </w:rPr>
      </w:r>
      <w:r>
        <w:rPr>
          <w:b/>
        </w:rPr>
        <w:t>Исходный документ:</w:t>
      </w:r>
      <w:r>
        <w:rPr>
          <w:b w:val="0"/>
        </w:rPr>
        <w:t xml:space="preserve"> «ToS Deep Research: T2-21 — Латинский Запад раннего Средневековья и каролингско-оттоновская школьность», прикреплённый файл «ToS Deep Research_ T2-21 — Латинский Запад раннего Средневековья и каролингско-оттоновская школьност(1).docx». Использованы прежде всего разделы 1–6, 12–14 и 16: паспорт, корпусные якоря, свидетели, входящие и исходящие трансмиссии. Задания о графах и будущих подисследованиях из DR не выполнялись.</w:t>
      </w:r>
    </w:p>
    <w:p>
      <w:r>
        <w:rPr>
          <w:b w:val="0"/>
        </w:rPr>
      </w:r>
      <w:r>
        <w:rPr>
          <w:b/>
        </w:rPr>
        <w:t>Дата проверки:</w:t>
      </w:r>
      <w:r>
        <w:rPr>
          <w:b w:val="0"/>
        </w:rPr>
        <w:t xml:space="preserve"> 4 сентября 2026 г. </w:t>
      </w:r>
      <w:r>
        <w:rPr>
          <w:b/>
        </w:rPr>
        <w:t>Языки поиска:</w:t>
      </w:r>
      <w:r>
        <w:rPr>
          <w:b w:val="0"/>
        </w:rPr>
        <w:t xml:space="preserve"> латинские названия и варианты, русский, английский, немецкий, французский и итальянский. Греческие произведения искались также по латинизированным названиям, переводчикам и номерам Corpus Christianorum; это не равнозначно сплошному поиску всех греческих оригиналов.</w:t>
      </w:r>
    </w:p>
    <w:p>
      <w:r>
        <w:rPr>
          <w:b w:val="0"/>
        </w:rPr>
      </w:r>
      <w:r>
        <w:rPr>
          <w:b/>
        </w:rPr>
        <w:t>Ядро:</w:t>
      </w:r>
      <w:r>
        <w:rPr>
          <w:b w:val="0"/>
        </w:rPr>
        <w:t xml:space="preserve"> боэциевская философия и школьная логика; Кассиодор и Исидор; научно-календарный корпус Беды; педагогические сочинения Алкуина и Храбана; Эриугена и его греко-латинская линия; Categoriae decem и глоссы; нормативная correctio, учёная переписка и Герберт. Рукопись рассматривалась как отдельный свидетель, а не как синоним произведения.</w:t>
      </w:r>
    </w:p>
    <w:p>
      <w:r>
        <w:rPr>
          <w:b w:val="0"/>
        </w:rPr>
        <w:t>Для доступа использованы официальные библиотеки и репозитории, университетские текстовые проекты, издательские страницы, Project Gutenberg, Wikisource, Internet Archive с институциональным происхождением сканов, Google Books и JSTOR. Для идентификации — каталоги, издательские описания, критические серии, CELT и исследовательский проект Huygens. Для прав — item-level уведомления, лицензии репозиториев и явно применимые условия учреждений; каталог ссылок и поисковый сниппет таким доказательством не считались.</w:t>
      </w:r>
    </w:p>
    <w:p>
      <w:r>
        <w:rPr>
          <w:b w:val="0"/>
        </w:rPr>
        <w:t xml:space="preserve">В XLSX сохранены 32 заданных поля. В отчёте сокращение </w:t>
      </w:r>
      <w:r>
        <w:rPr>
          <w:b/>
        </w:rPr>
        <w:t>R001</w:t>
      </w:r>
      <w:r>
        <w:rPr>
          <w:b w:val="0"/>
        </w:rPr>
        <w:t xml:space="preserve"> означает </w:t>
      </w:r>
      <w:r>
        <w:rPr>
          <w:b/>
        </w:rPr>
        <w:t>T2-21-R001</w:t>
      </w:r>
      <w:r>
        <w:rPr>
          <w:b w:val="0"/>
        </w:rPr>
        <w:t>; полные идентификаторы стоят в первом столбце registry. Лист gaps содержит конкретные кандидаты и следующие шаги. Неуверенно подтверждённые цифровые входы Ноткера и русского De fide catholica оставлены как unverified_candidate, а не превращены в установленные полнотекстовые объекты. Ссылок на Wikipedia в поставке нет.</w:t>
      </w:r>
    </w:p>
    <w:p>
      <w:r>
        <w:rPr>
          <w:b w:val="0"/>
        </w:rPr>
        <w:t>Проверка имела несколько уровней: открытая карточка; читаемый HTML или сырой XML; полученный PDF; полученный IIIF Manifest. Наличие download-кнопки отдельно от успешного получения файла отражено в verification_status и notes. Полистная сверка каждого многосотстраничного тома не проводилась. Регистрация, покупки и обращения к владельцам не выполнялись; конкретная доступная сессия Controlled Digital Lending не подтверждена.</w:t>
      </w:r>
    </w:p>
    <w:p>
      <w:pPr>
        <w:pStyle w:val="Heading1"/>
      </w:pPr>
      <w:r>
        <w:t>2. Охват корпуса</w:t>
      </w:r>
    </w:p>
    <w:p>
      <w:pPr>
        <w:pStyle w:val="Heading2"/>
      </w:pPr>
      <w:r>
        <w:t>От исходного DR к расширенному реестру</w:t>
      </w:r>
    </w:p>
    <w:p>
      <w:r>
        <w:rPr>
          <w:b w:val="0"/>
        </w:rPr>
        <w:t>Из DR сохранены Consolatio, Opuscula sacra и логический корпус Боэция; Institutiones; Etymologiae, Sententiae и De natura rerum Исидора; De natura rerum, De temporibus и De temporum ratione Беды; грамматика, риторика и диалектика Алкуина; De institutione clericorum и De universo Храбана; De praedestinatione и Periphyseon Эриугены, его переводы и комментарии; Categoriae decem, осерские глоссы, Герберт и Admonitio generalis. Три материальных якоря DR — Cod. Sang. 199, Cod. Sang. 882 и Cotton MS Vespasian B VI — получили самостоятельные записи.</w:t>
      </w:r>
    </w:p>
    <w:p>
      <w:r>
        <w:rPr>
          <w:b w:val="0"/>
        </w:rPr>
        <w:t>Веб-поиск добавил боэциевские арифметику и музыку; более широкий школьный том Алкуина с De vera philosophia, De orthographia, De ratione animae и De virtutibus et vitiis; научный том Беды со школьными трактатами; De computo Храбана; переписку Алкуина, Лупа и Герберта; полемические тексты Лупа и переводной сборник спора о предопределении; фрагмент Liber glossarum. Добавлены конкретные свидетели Кёльна, Лёвена, Санкт-Галлена, Парижа и Монтекассино. Корпус переводов Эриугены расширен до Quaestiones ad Thalassium, а его комментарий к Иоанну отделён от гомилии.</w:t>
      </w:r>
    </w:p>
    <w:p>
      <w:pPr>
        <w:pStyle w:val="Source"/>
      </w:pPr>
      <w:r>
        <w:t xml:space="preserve">Источники: </w:t>
      </w:r>
      <w:hyperlink r:id="rId11">
        <w:r>
          <w:rPr>
            <w:color w:val="176575"/>
            <w:u w:val="single"/>
          </w:rPr>
          <w:t>R029</w:t>
        </w:r>
      </w:hyperlink>
      <w:r>
        <w:t xml:space="preserve">  ·  </w:t>
      </w:r>
      <w:hyperlink r:id="rId12">
        <w:r>
          <w:rPr>
            <w:color w:val="176575"/>
            <w:u w:val="single"/>
          </w:rPr>
          <w:t>R033</w:t>
        </w:r>
      </w:hyperlink>
      <w:r>
        <w:t xml:space="preserve">  ·  </w:t>
      </w:r>
      <w:hyperlink r:id="rId13">
        <w:r>
          <w:rPr>
            <w:color w:val="176575"/>
            <w:u w:val="single"/>
          </w:rPr>
          <w:t>R035</w:t>
        </w:r>
      </w:hyperlink>
      <w:r>
        <w:t xml:space="preserve">  ·  </w:t>
      </w:r>
      <w:hyperlink r:id="rId14">
        <w:r>
          <w:rPr>
            <w:color w:val="176575"/>
            <w:u w:val="single"/>
          </w:rPr>
          <w:t>R043</w:t>
        </w:r>
      </w:hyperlink>
      <w:r>
        <w:t xml:space="preserve">  ·  </w:t>
      </w:r>
      <w:hyperlink r:id="rId15">
        <w:r>
          <w:rPr>
            <w:color w:val="176575"/>
            <w:u w:val="single"/>
          </w:rPr>
          <w:t>R047</w:t>
        </w:r>
      </w:hyperlink>
      <w:r>
        <w:t xml:space="preserve">  ·  </w:t>
      </w:r>
      <w:hyperlink r:id="rId16">
        <w:r>
          <w:rPr>
            <w:color w:val="176575"/>
            <w:u w:val="single"/>
          </w:rPr>
          <w:t>R050</w:t>
        </w:r>
      </w:hyperlink>
      <w:r>
        <w:t xml:space="preserve">  ·  </w:t>
      </w:r>
      <w:hyperlink r:id="rId17">
        <w:r>
          <w:rPr>
            <w:color w:val="176575"/>
            <w:u w:val="single"/>
          </w:rPr>
          <w:t>R054</w:t>
        </w:r>
      </w:hyperlink>
      <w:r>
        <w:t xml:space="preserve">  ·  </w:t>
      </w:r>
      <w:hyperlink r:id="rId18">
        <w:r>
          <w:rPr>
            <w:color w:val="176575"/>
            <w:u w:val="single"/>
          </w:rPr>
          <w:t>R055</w:t>
        </w:r>
      </w:hyperlink>
      <w:r>
        <w:t xml:space="preserve">  ·  </w:t>
      </w:r>
      <w:hyperlink r:id="rId19">
        <w:r>
          <w:rPr>
            <w:color w:val="176575"/>
            <w:u w:val="single"/>
          </w:rPr>
          <w:t>R056</w:t>
        </w:r>
      </w:hyperlink>
      <w:r>
        <w:t xml:space="preserve">  ·  </w:t>
      </w:r>
      <w:hyperlink r:id="rId20">
        <w:r>
          <w:rPr>
            <w:color w:val="176575"/>
            <w:u w:val="single"/>
          </w:rPr>
          <w:t>R057</w:t>
        </w:r>
      </w:hyperlink>
      <w:r>
        <w:t xml:space="preserve">  ·  </w:t>
      </w:r>
      <w:hyperlink r:id="rId21">
        <w:r>
          <w:rPr>
            <w:color w:val="176575"/>
            <w:u w:val="single"/>
          </w:rPr>
          <w:t>R061</w:t>
        </w:r>
      </w:hyperlink>
      <w:r>
        <w:t xml:space="preserve">  ·  </w:t>
      </w:r>
      <w:hyperlink r:id="rId22">
        <w:r>
          <w:rPr>
            <w:color w:val="176575"/>
            <w:u w:val="single"/>
          </w:rPr>
          <w:t>R064</w:t>
        </w:r>
      </w:hyperlink>
      <w:r>
        <w:t xml:space="preserve">  ·  </w:t>
      </w:r>
      <w:hyperlink r:id="rId23">
        <w:r>
          <w:rPr>
            <w:color w:val="176575"/>
            <w:u w:val="single"/>
          </w:rPr>
          <w:t>R069</w:t>
        </w:r>
      </w:hyperlink>
    </w:p>
    <w:p>
      <w:pPr>
        <w:pStyle w:val="Heading2"/>
      </w:pPr>
      <w:r>
        <w:t>Поиск назад: не вся Античность, а конкретные входящие тексты</w:t>
      </w:r>
    </w:p>
    <w:p>
      <w:r>
        <w:rPr>
          <w:b w:val="0"/>
        </w:rPr>
      </w:r>
      <w:r>
        <w:rPr>
          <w:b/>
        </w:rPr>
        <w:t>Грамматико-энциклопедический вход</w:t>
      </w:r>
      <w:r>
        <w:rPr>
          <w:b w:val="0"/>
        </w:rPr>
        <w:t xml:space="preserve"> представлен Донатом, Присцианом и De nuptiis Марциана Капеллы: это прямо названные школьные авторитеты и тексты, к которым относятся каролингские учебники и комментарии. Cod. Sang. 882 позволяет видеть Доната, Гонората, Евтихия, Диомеда и первую книгу Исидора в одном материальном сборнике. Порфирий и аристотелевская логика учтены через боэциевские переводы и комментарии, но полный Organon не объявлен одинаково доступным во всех школах VIII–X вв.</w:t>
      </w:r>
    </w:p>
    <w:p>
      <w:r>
        <w:rPr>
          <w:b w:val="0"/>
        </w:rPr>
      </w:r>
      <w:r>
        <w:rPr>
          <w:b/>
        </w:rPr>
        <w:t>Августиновский вход</w:t>
      </w:r>
      <w:r>
        <w:rPr>
          <w:b w:val="0"/>
        </w:rPr>
        <w:t xml:space="preserve"> дополнен De doctrina christiana, De Trinitate, De praedestinatione sanctorum и De dono perseverantiae. Связи конкретны: христианское чтение и свободные искусства; категориальный язык тринитарной теологии; источники каролингского спора о предопределении. Найденные старые английские переводы помогают читать эти сочинения, но не заменяют латинской основы собственного перевода ToS.</w:t>
      </w:r>
    </w:p>
    <w:p>
      <w:r>
        <w:rPr>
          <w:b w:val="0"/>
        </w:rPr>
      </w:r>
      <w:r>
        <w:rPr>
          <w:b/>
        </w:rPr>
        <w:t>Греческий вход в Эриугену</w:t>
      </w:r>
      <w:r>
        <w:rPr>
          <w:b w:val="0"/>
        </w:rPr>
        <w:t xml:space="preserve"> включает Божественные имена и Небесную иерархию Псевдо-Дионисия, De hominis opificio Григория Нисского, Ambigua и Quaestiones ad Thalassium Максима. Для Максима найдены критические греко-латинские издания, содержащие перевод Эриугены; для Григория — старый английский перевод и библиографически подтверждённый, но не полученный цифровой вход в латинский De imagine. «Предшественник» здесь означает также источник более позднего автора внутри VI–XI вв., а не обязательно сочинение ранее 500 г.</w:t>
      </w:r>
    </w:p>
    <w:p>
      <w:pPr>
        <w:pStyle w:val="Source"/>
      </w:pPr>
      <w:r>
        <w:t xml:space="preserve">Источники: </w:t>
      </w:r>
      <w:hyperlink r:id="rId24">
        <w:r>
          <w:rPr>
            <w:color w:val="176575"/>
            <w:u w:val="single"/>
          </w:rPr>
          <w:t>R027</w:t>
        </w:r>
      </w:hyperlink>
      <w:r>
        <w:t xml:space="preserve">  ·  </w:t>
      </w:r>
      <w:hyperlink r:id="rId25">
        <w:r>
          <w:rPr>
            <w:color w:val="176575"/>
            <w:u w:val="single"/>
          </w:rPr>
          <w:t>R044</w:t>
        </w:r>
      </w:hyperlink>
      <w:r>
        <w:t xml:space="preserve">  ·  </w:t>
      </w:r>
      <w:hyperlink r:id="rId26">
        <w:r>
          <w:rPr>
            <w:color w:val="176575"/>
            <w:u w:val="single"/>
          </w:rPr>
          <w:t>R045</w:t>
        </w:r>
      </w:hyperlink>
      <w:r>
        <w:t xml:space="preserve">  ·  </w:t>
      </w:r>
      <w:hyperlink r:id="rId27">
        <w:r>
          <w:rPr>
            <w:color w:val="176575"/>
            <w:u w:val="single"/>
          </w:rPr>
          <w:t>R046</w:t>
        </w:r>
      </w:hyperlink>
      <w:r>
        <w:t xml:space="preserve">  ·  </w:t>
      </w:r>
      <w:hyperlink r:id="rId15">
        <w:r>
          <w:rPr>
            <w:color w:val="176575"/>
            <w:u w:val="single"/>
          </w:rPr>
          <w:t>R047</w:t>
        </w:r>
      </w:hyperlink>
      <w:r>
        <w:t xml:space="preserve">  ·  </w:t>
      </w:r>
      <w:hyperlink r:id="rId28">
        <w:r>
          <w:rPr>
            <w:color w:val="176575"/>
            <w:u w:val="single"/>
          </w:rPr>
          <w:t>R048</w:t>
        </w:r>
      </w:hyperlink>
      <w:r>
        <w:t xml:space="preserve">  ·  </w:t>
      </w:r>
      <w:hyperlink r:id="rId29">
        <w:r>
          <w:rPr>
            <w:color w:val="176575"/>
            <w:u w:val="single"/>
          </w:rPr>
          <w:t>R070</w:t>
        </w:r>
      </w:hyperlink>
      <w:r>
        <w:t xml:space="preserve">  ·  </w:t>
      </w:r>
      <w:hyperlink r:id="rId30">
        <w:r>
          <w:rPr>
            <w:color w:val="176575"/>
            <w:u w:val="single"/>
          </w:rPr>
          <w:t>R071</w:t>
        </w:r>
      </w:hyperlink>
      <w:r>
        <w:t xml:space="preserve">  ·  </w:t>
      </w:r>
      <w:hyperlink r:id="rId31">
        <w:r>
          <w:rPr>
            <w:color w:val="176575"/>
            <w:u w:val="single"/>
          </w:rPr>
          <w:t>R072</w:t>
        </w:r>
      </w:hyperlink>
      <w:r>
        <w:t xml:space="preserve">  ·  </w:t>
      </w:r>
      <w:hyperlink r:id="rId32">
        <w:r>
          <w:rPr>
            <w:color w:val="176575"/>
            <w:u w:val="single"/>
          </w:rPr>
          <w:t>R073</w:t>
        </w:r>
      </w:hyperlink>
      <w:r>
        <w:t xml:space="preserve">  ·  </w:t>
      </w:r>
      <w:hyperlink r:id="rId33">
        <w:r>
          <w:rPr>
            <w:color w:val="176575"/>
            <w:u w:val="single"/>
          </w:rPr>
          <w:t>R077</w:t>
        </w:r>
      </w:hyperlink>
      <w:r>
        <w:t xml:space="preserve">  ·  </w:t>
      </w:r>
      <w:hyperlink r:id="rId34">
        <w:r>
          <w:rPr>
            <w:color w:val="176575"/>
            <w:u w:val="single"/>
          </w:rPr>
          <w:t>R078</w:t>
        </w:r>
      </w:hyperlink>
      <w:r>
        <w:t xml:space="preserve">  ·  </w:t>
      </w:r>
      <w:hyperlink r:id="rId35">
        <w:r>
          <w:rPr>
            <w:color w:val="176575"/>
            <w:u w:val="single"/>
          </w:rPr>
          <w:t>R079</w:t>
        </w:r>
      </w:hyperlink>
      <w:r>
        <w:t xml:space="preserve">  ·  </w:t>
      </w:r>
      <w:hyperlink r:id="rId36">
        <w:r>
          <w:rPr>
            <w:color w:val="176575"/>
            <w:u w:val="single"/>
          </w:rPr>
          <w:t>R081</w:t>
        </w:r>
      </w:hyperlink>
    </w:p>
    <w:p>
      <w:pPr>
        <w:pStyle w:val="Heading2"/>
      </w:pPr>
      <w:r>
        <w:t>Поиск вперёд: комментарий, сокращение, учебник, перевод</w:t>
      </w:r>
    </w:p>
    <w:p>
      <w:r>
        <w:rPr>
          <w:b w:val="0"/>
        </w:rPr>
      </w:r>
      <w:r>
        <w:rPr>
          <w:b/>
        </w:rPr>
        <w:t>Clavis physicae Гонория</w:t>
      </w:r>
      <w:r>
        <w:rPr>
          <w:b w:val="0"/>
        </w:rPr>
        <w:t xml:space="preserve"> включена как переработка и сохранение Periphyseon, а не по общей неоплатонической близости. Проверенный библиотечный вход охватывает первую часть, главы 1–315; продолжение вынесено в gaps. </w:t>
      </w:r>
      <w:r>
        <w:rPr>
          <w:b/>
        </w:rPr>
        <w:t>Glosae super Boetium Вильгельма Коншского</w:t>
      </w:r>
      <w:r>
        <w:rPr>
          <w:b w:val="0"/>
        </w:rPr>
        <w:t xml:space="preserve"> — непосредственный комментарий к Consolatio XII века. </w:t>
      </w:r>
      <w:r>
        <w:rPr>
          <w:b/>
        </w:rPr>
        <w:t>Didascalicon Гуго Сен-Викторского</w:t>
      </w:r>
      <w:r>
        <w:rPr>
          <w:b w:val="0"/>
        </w:rPr>
        <w:t xml:space="preserve"> продолжает линию организации чтения, священного и светского знания, представленную Кассиодором и Исидором. </w:t>
      </w:r>
      <w:r>
        <w:rPr>
          <w:b/>
        </w:rPr>
        <w:t>Boece Чосера</w:t>
      </w:r>
      <w:r>
        <w:rPr>
          <w:b w:val="0"/>
        </w:rPr>
        <w:t xml:space="preserve"> — прямой позднесредневековый перевод Consolatio.</w:t>
      </w:r>
    </w:p>
    <w:p>
      <w:r>
        <w:rPr>
          <w:b w:val="0"/>
        </w:rPr>
        <w:t>Отдельный путь сохранения — использование комментария Эриугены к Иоанну в Glossa ordinaria XII века, отмеченное издателем критического текста. Поздние Royal MS 12 D IV, Leuven Ms. 1585 и рукопись Храбана Casin. 132 показывают передачу корпуса, но дата изготовления свидетеля не превращена в дату сочинения. Из первых двух исходят также конкретные входы к Хельперику и позднему фрагменту Categoriae decem.</w:t>
      </w:r>
    </w:p>
    <w:p>
      <w:pPr>
        <w:pStyle w:val="Source"/>
      </w:pPr>
      <w:r>
        <w:t xml:space="preserve">Источники: </w:t>
      </w:r>
      <w:hyperlink r:id="rId37">
        <w:r>
          <w:rPr>
            <w:color w:val="176575"/>
            <w:u w:val="single"/>
          </w:rPr>
          <w:t>R032</w:t>
        </w:r>
      </w:hyperlink>
      <w:r>
        <w:t xml:space="preserve">  ·  </w:t>
      </w:r>
      <w:hyperlink r:id="rId38">
        <w:r>
          <w:rPr>
            <w:color w:val="176575"/>
            <w:u w:val="single"/>
          </w:rPr>
          <w:t>R042</w:t>
        </w:r>
      </w:hyperlink>
      <w:r>
        <w:t xml:space="preserve">  ·  </w:t>
      </w:r>
      <w:hyperlink r:id="rId16">
        <w:r>
          <w:rPr>
            <w:color w:val="176575"/>
            <w:u w:val="single"/>
          </w:rPr>
          <w:t>R050</w:t>
        </w:r>
      </w:hyperlink>
      <w:r>
        <w:t xml:space="preserve">  ·  </w:t>
      </w:r>
      <w:hyperlink r:id="rId39">
        <w:r>
          <w:rPr>
            <w:color w:val="176575"/>
            <w:u w:val="single"/>
          </w:rPr>
          <w:t>R051</w:t>
        </w:r>
      </w:hyperlink>
      <w:r>
        <w:t xml:space="preserve">  ·  </w:t>
      </w:r>
      <w:hyperlink r:id="rId40">
        <w:r>
          <w:rPr>
            <w:color w:val="176575"/>
            <w:u w:val="single"/>
          </w:rPr>
          <w:t>R052</w:t>
        </w:r>
      </w:hyperlink>
      <w:r>
        <w:t xml:space="preserve">  ·  </w:t>
      </w:r>
      <w:hyperlink r:id="rId21">
        <w:r>
          <w:rPr>
            <w:color w:val="176575"/>
            <w:u w:val="single"/>
          </w:rPr>
          <w:t>R061</w:t>
        </w:r>
      </w:hyperlink>
      <w:r>
        <w:t xml:space="preserve">  ·  </w:t>
      </w:r>
      <w:hyperlink r:id="rId41">
        <w:r>
          <w:rPr>
            <w:color w:val="176575"/>
            <w:u w:val="single"/>
          </w:rPr>
          <w:t>R075</w:t>
        </w:r>
      </w:hyperlink>
      <w:r>
        <w:t xml:space="preserve">  ·  </w:t>
      </w:r>
      <w:hyperlink r:id="rId42">
        <w:r>
          <w:rPr>
            <w:color w:val="176575"/>
            <w:u w:val="single"/>
          </w:rPr>
          <w:t>R076</w:t>
        </w:r>
      </w:hyperlink>
    </w:p>
    <w:p>
      <w:r>
        <w:rPr>
          <w:b w:val="0"/>
        </w:rPr>
      </w:r>
      <w:r>
        <w:rPr>
          <w:b/>
        </w:rPr>
        <w:t>Количественный итог:</w:t>
      </w:r>
      <w:r>
        <w:rPr>
          <w:b w:val="0"/>
        </w:rPr>
        <w:t xml:space="preserve"> 83 практически различимых записи доступа, из них 13 записей физических свидетелей; две вторичные навигационные записи и одна инфраструктурная. Это около 65 именованных произведений и корпусных семейств, а не 83 разных сочинения. Счёт объединяет переводы, редакции и повторные репозитории одного произведения, не считает главы и файлы внутри пакета независимыми объектами; для больших школьных и полемических собраний применяется семейный, а не постатейный уровень. 24 позиции gaps не включены в этот счёт как дополнительные найденные произведения.</w:t>
      </w:r>
    </w:p>
    <w:p>
      <w:r>
        <w:rPr>
          <w:b w:val="0"/>
        </w:rPr>
        <w:t xml:space="preserve">В registry использованы core (44 записи), same_corpus_or_tradition (11), antecedent (8), continuation (2), commentary_or_reception (3), transmission_or_preservation (12), secondary_navigation (2) и infrastructure (1). Эти числа описывают </w:t>
      </w:r>
      <w:r>
        <w:rPr>
          <w:b/>
        </w:rPr>
        <w:t>записи доступа</w:t>
      </w:r>
      <w:r>
        <w:rPr>
          <w:b w:val="0"/>
        </w:rPr>
        <w:t>, не количество произведений. Supporting и boundary не присваивались искусственно: сильная прямая связь позволяла использовать более содержательный тип. Неработающий альтернативный вход сохранён с собственным статусом, но не увеличивает объём доступного текста.</w:t>
      </w:r>
    </w:p>
    <w:p>
      <w:pPr>
        <w:pStyle w:val="Heading1"/>
      </w:pPr>
      <w:r>
        <w:t>3. Лучшие пути доступа</w:t>
      </w:r>
    </w:p>
    <w:p>
      <w:pPr>
        <w:pStyle w:val="Heading2"/>
      </w:pPr>
      <w:r>
        <w:t>Боэций: оригинал, переводы, логика и ранние глоссы</w:t>
      </w:r>
    </w:p>
    <w:p>
      <w:r>
        <w:rPr>
          <w:b w:val="0"/>
        </w:rPr>
      </w:r>
      <w:r>
        <w:rPr>
          <w:b/>
        </w:rPr>
        <w:t>Для бесплатного чтения</w:t>
      </w:r>
      <w:r>
        <w:rPr>
          <w:b w:val="0"/>
        </w:rPr>
        <w:t xml:space="preserve"> наиболее удобен Gutenberg № 13316: Consolatio и пять Opuscula sacra в историческом латинско-английском томе 1918 года. Это не переработанное издание Tester 1973. </w:t>
      </w:r>
      <w:r>
        <w:rPr>
          <w:b/>
        </w:rPr>
        <w:t>Для машинной работы с Consolatio</w:t>
      </w:r>
      <w:r>
        <w:rPr>
          <w:b w:val="0"/>
        </w:rPr>
        <w:t xml:space="preserve"> лучше проверенные отдельные TEI/XML Perseus: латинский текст и английская версия имеют разные записи R065–R066, устойчивые CTS-идентификаторы и применимую CC BY-SA 4.0. Сырые XML открыты; право не распространено на весь репозиторий и изображения.</w:t>
      </w:r>
    </w:p>
    <w:p>
      <w:r>
        <w:rPr>
          <w:b w:val="0"/>
        </w:rPr>
      </w:r>
      <w:r>
        <w:rPr>
          <w:b/>
        </w:rPr>
        <w:t>Логический корпус</w:t>
      </w:r>
      <w:r>
        <w:rPr>
          <w:b w:val="0"/>
        </w:rPr>
        <w:t xml:space="preserve"> имеет практический вход через институциональный скан PL 64; арифметика и музыка — через Friedlein 1867. Это старые издания: сканирование не снимает проблемы dubia, схем и качества OCR. Полного свободного современного критического комплекта логики не установлено. </w:t>
      </w:r>
      <w:r>
        <w:rPr>
          <w:b/>
        </w:rPr>
        <w:t>Русский вариант</w:t>
      </w:r>
      <w:r>
        <w:rPr>
          <w:b w:val="0"/>
        </w:rPr>
        <w:t xml:space="preserve"> — официальный сборник URSS 2025 «Шесть великих философских трактатов»: платное издание с Consolatio, комментарием к Порфирию и четырьмя богословскими трактатами. De fide catholica в его оглавлении нет.</w:t>
      </w:r>
    </w:p>
    <w:p>
      <w:r>
        <w:rPr>
          <w:b w:val="0"/>
        </w:rPr>
      </w:r>
      <w:r>
        <w:rPr>
          <w:b/>
        </w:rPr>
        <w:t>Для раннего комментарийного слоя</w:t>
      </w:r>
      <w:r>
        <w:rPr>
          <w:b w:val="0"/>
        </w:rPr>
        <w:t xml:space="preserve"> главный результат — Godden, Jayatilaka, Love, Early Medieval Glosses to Boethius’s Consolation of Philosophy, 2024, в Cambridge Apollo, CC BY 4.0. Репозиторий описывает корпус глосс до 1100 года; лицензия и файл в карточке проверены, сам PDF инструмент не получил. Права относятся к опубликованному корпусу глосс, не к фотографиям всех рукописей и не ко всему сочинению Боэция. Альтернативный вход Oxford ORA сохранён как временно недоступный.</w:t>
      </w:r>
    </w:p>
    <w:p>
      <w:pPr>
        <w:pStyle w:val="Source"/>
      </w:pPr>
      <w:r>
        <w:t xml:space="preserve">Источники: </w:t>
      </w:r>
      <w:hyperlink r:id="rId43">
        <w:r>
          <w:rPr>
            <w:color w:val="176575"/>
            <w:u w:val="single"/>
          </w:rPr>
          <w:t>R001</w:t>
        </w:r>
      </w:hyperlink>
      <w:r>
        <w:t xml:space="preserve">  ·  </w:t>
      </w:r>
      <w:hyperlink r:id="rId44">
        <w:r>
          <w:rPr>
            <w:color w:val="176575"/>
            <w:u w:val="single"/>
          </w:rPr>
          <w:t>R002</w:t>
        </w:r>
      </w:hyperlink>
      <w:r>
        <w:t xml:space="preserve">  ·  </w:t>
      </w:r>
      <w:hyperlink r:id="rId45">
        <w:r>
          <w:rPr>
            <w:color w:val="176575"/>
            <w:u w:val="single"/>
          </w:rPr>
          <w:t>R003</w:t>
        </w:r>
      </w:hyperlink>
      <w:r>
        <w:t xml:space="preserve">  ·  </w:t>
      </w:r>
      <w:hyperlink r:id="rId24">
        <w:r>
          <w:rPr>
            <w:color w:val="176575"/>
            <w:u w:val="single"/>
          </w:rPr>
          <w:t>R027</w:t>
        </w:r>
      </w:hyperlink>
      <w:r>
        <w:t xml:space="preserve">  ·  </w:t>
      </w:r>
      <w:hyperlink r:id="rId14">
        <w:r>
          <w:rPr>
            <w:color w:val="176575"/>
            <w:u w:val="single"/>
          </w:rPr>
          <w:t>R043</w:t>
        </w:r>
      </w:hyperlink>
      <w:r>
        <w:t xml:space="preserve">  ·  </w:t>
      </w:r>
      <w:hyperlink r:id="rId46">
        <w:r>
          <w:rPr>
            <w:color w:val="176575"/>
            <w:u w:val="single"/>
          </w:rPr>
          <w:t>R065</w:t>
        </w:r>
      </w:hyperlink>
      <w:r>
        <w:t xml:space="preserve">  ·  </w:t>
      </w:r>
      <w:hyperlink r:id="rId47">
        <w:r>
          <w:rPr>
            <w:color w:val="176575"/>
            <w:u w:val="single"/>
          </w:rPr>
          <w:t>R066</w:t>
        </w:r>
      </w:hyperlink>
      <w:r>
        <w:t xml:space="preserve">  ·  </w:t>
      </w:r>
      <w:hyperlink r:id="rId48">
        <w:r>
          <w:rPr>
            <w:color w:val="176575"/>
            <w:u w:val="single"/>
          </w:rPr>
          <w:t>R080</w:t>
        </w:r>
      </w:hyperlink>
      <w:r>
        <w:t xml:space="preserve">  ·  </w:t>
      </w:r>
      <w:hyperlink r:id="rId49">
        <w:r>
          <w:rPr>
            <w:color w:val="176575"/>
            <w:u w:val="single"/>
          </w:rPr>
          <w:t>Лицензия Perseus</w:t>
        </w:r>
      </w:hyperlink>
    </w:p>
    <w:p>
      <w:pPr>
        <w:pStyle w:val="Heading2"/>
      </w:pPr>
      <w:r>
        <w:t>Кассиодор: текст, рукопись и разные редакции</w:t>
      </w:r>
    </w:p>
    <w:p>
      <w:r>
        <w:rPr>
          <w:b w:val="0"/>
        </w:rPr>
      </w:r>
      <w:r>
        <w:rPr>
          <w:b/>
        </w:rPr>
        <w:t>Чтение оригинала:</w:t>
      </w:r>
      <w:r>
        <w:rPr>
          <w:b w:val="0"/>
        </w:rPr>
        <w:t xml:space="preserve"> университетская Bibliotheca Augustana даёт Institutiones по Mynors 1937; проверены оглавление и текстовый образец, но право повторного размещения этой транскрипции не установлено. </w:t>
      </w:r>
      <w:r>
        <w:rPr>
          <w:b/>
        </w:rPr>
        <w:t>Факсимильный вход:</w:t>
      </w:r>
      <w:r>
        <w:rPr>
          <w:b w:val="0"/>
        </w:rPr>
        <w:t xml:space="preserve"> Cod. Sang. 199, IX век, обе книги Institutiones и схемы; IIIF Manifest получен. Это ценный исторический свидетель, однако конкретная лицензия его изображений в проверенном материале не установлена.</w:t>
      </w:r>
    </w:p>
    <w:p>
      <w:r>
        <w:rPr>
          <w:b w:val="0"/>
        </w:rPr>
      </w:r>
      <w:r>
        <w:rPr>
          <w:b/>
        </w:rPr>
        <w:t>Современное научное чтение:</w:t>
      </w:r>
      <w:r>
        <w:rPr>
          <w:b w:val="0"/>
        </w:rPr>
        <w:t xml:space="preserve"> перевод Halporn с введением Vessey доступен через издательско-библиотечный маршрут JSTOR. </w:t>
      </w:r>
      <w:r>
        <w:rPr>
          <w:b/>
        </w:rPr>
        <w:t>Критическая текстология:</w:t>
      </w:r>
      <w:r>
        <w:rPr>
          <w:b w:val="0"/>
        </w:rPr>
        <w:t xml:space="preserve"> Morresi, CCSL 99A, 2022, представляет редакции Φ и Δ Institutiones humanarum litterarum. Этот том нельзя подменять названием всего двухкнижия: именно состав и история редакций определяют его научную ценность. Expositio Psalmorum и De orthographia остаются отдельным направлением поиска.</w:t>
      </w:r>
    </w:p>
    <w:p>
      <w:pPr>
        <w:pStyle w:val="Source"/>
      </w:pPr>
      <w:r>
        <w:t xml:space="preserve">Источники: </w:t>
      </w:r>
      <w:hyperlink r:id="rId50">
        <w:r>
          <w:rPr>
            <w:color w:val="176575"/>
            <w:u w:val="single"/>
          </w:rPr>
          <w:t>R004</w:t>
        </w:r>
      </w:hyperlink>
      <w:r>
        <w:t xml:space="preserve">  ·  </w:t>
      </w:r>
      <w:hyperlink r:id="rId51">
        <w:r>
          <w:rPr>
            <w:color w:val="176575"/>
            <w:u w:val="single"/>
          </w:rPr>
          <w:t>R007</w:t>
        </w:r>
      </w:hyperlink>
      <w:r>
        <w:t xml:space="preserve">  ·  </w:t>
      </w:r>
      <w:hyperlink r:id="rId52">
        <w:r>
          <w:rPr>
            <w:color w:val="176575"/>
            <w:u w:val="single"/>
          </w:rPr>
          <w:t>R008</w:t>
        </w:r>
      </w:hyperlink>
      <w:r>
        <w:t xml:space="preserve">  ·  </w:t>
      </w:r>
      <w:hyperlink r:id="rId53">
        <w:r>
          <w:rPr>
            <w:color w:val="176575"/>
            <w:u w:val="single"/>
          </w:rPr>
          <w:t>R037</w:t>
        </w:r>
      </w:hyperlink>
    </w:p>
    <w:p>
      <w:pPr>
        <w:pStyle w:val="Heading2"/>
      </w:pPr>
      <w:r>
        <w:t>Исидор: полное двадцатикнижие и частичные переводы</w:t>
      </w:r>
    </w:p>
    <w:p>
      <w:r>
        <w:rPr>
          <w:b w:val="0"/>
        </w:rPr>
      </w:r>
      <w:r>
        <w:rPr>
          <w:b/>
        </w:rPr>
        <w:t>Бесплатный латинский вход</w:t>
      </w:r>
      <w:r>
        <w:rPr>
          <w:b w:val="0"/>
        </w:rPr>
        <w:t xml:space="preserve"> — Etymologiae в Augustana по Lindsay 1911. Для скачивания найден университетский скан Internet Archive, но карточка называет его Volume 1; необычное число сканов не позволило уверенно объявить весь файл полным двадцатикнижием. Явное Public Domain Certification 1.0 US зафиксировано без превращения в CC0 или универсальное всемирное разрешение.</w:t>
      </w:r>
    </w:p>
    <w:p>
      <w:r>
        <w:rPr>
          <w:b w:val="0"/>
        </w:rPr>
      </w:r>
      <w:r>
        <w:rPr>
          <w:b/>
        </w:rPr>
        <w:t>Современный английский перевод</w:t>
      </w:r>
      <w:r>
        <w:rPr>
          <w:b w:val="0"/>
        </w:rPr>
        <w:t xml:space="preserve"> Barney, Lewis, Beach и Berghof, Cambridge 2006, охватывает опубликованное сочинение целиком, тогда как проверенный Google Books даёт только preview. De natura rerum доступен в современном английском переводе через JSTOR; Sententiae представлены работающим латинским чтением первой книги и навигацией к следующим. </w:t>
      </w:r>
      <w:r>
        <w:rPr>
          <w:b/>
        </w:rPr>
        <w:t>Русские открытые входы</w:t>
      </w:r>
      <w:r>
        <w:rPr>
          <w:b w:val="0"/>
        </w:rPr>
        <w:t xml:space="preserve"> — публикации А. А. Павлова: V.1–27 «О законах» и XI.1. На сайте журнала они читаются полностью как статьи, но это лишь разделы Etymologiae; уведомление All rights reserved не даёт права на зеркало.</w:t>
      </w:r>
    </w:p>
    <w:p>
      <w:pPr>
        <w:pStyle w:val="Source"/>
      </w:pPr>
      <w:r>
        <w:t xml:space="preserve">Источники: </w:t>
      </w:r>
      <w:hyperlink r:id="rId54">
        <w:r>
          <w:rPr>
            <w:color w:val="176575"/>
            <w:u w:val="single"/>
          </w:rPr>
          <w:t>R009</w:t>
        </w:r>
      </w:hyperlink>
      <w:r>
        <w:t xml:space="preserve">  ·  </w:t>
      </w:r>
      <w:hyperlink r:id="rId55">
        <w:r>
          <w:rPr>
            <w:color w:val="176575"/>
            <w:u w:val="single"/>
          </w:rPr>
          <w:t>R010</w:t>
        </w:r>
      </w:hyperlink>
      <w:r>
        <w:t xml:space="preserve">  ·  </w:t>
      </w:r>
      <w:hyperlink r:id="rId56">
        <w:r>
          <w:rPr>
            <w:color w:val="176575"/>
            <w:u w:val="single"/>
          </w:rPr>
          <w:t>R011</w:t>
        </w:r>
      </w:hyperlink>
      <w:r>
        <w:t xml:space="preserve">  ·  </w:t>
      </w:r>
      <w:hyperlink r:id="rId57">
        <w:r>
          <w:rPr>
            <w:color w:val="176575"/>
            <w:u w:val="single"/>
          </w:rPr>
          <w:t>R012</w:t>
        </w:r>
      </w:hyperlink>
      <w:r>
        <w:t xml:space="preserve">  ·  </w:t>
      </w:r>
      <w:hyperlink r:id="rId58">
        <w:r>
          <w:rPr>
            <w:color w:val="176575"/>
            <w:u w:val="single"/>
          </w:rPr>
          <w:t>R067</w:t>
        </w:r>
      </w:hyperlink>
      <w:r>
        <w:t xml:space="preserve">  ·  </w:t>
      </w:r>
      <w:hyperlink r:id="rId59">
        <w:r>
          <w:rPr>
            <w:color w:val="176575"/>
            <w:u w:val="single"/>
          </w:rPr>
          <w:t>R068</w:t>
        </w:r>
      </w:hyperlink>
      <w:r>
        <w:t xml:space="preserve">  ·  </w:t>
      </w:r>
      <w:hyperlink r:id="rId60">
        <w:r>
          <w:rPr>
            <w:color w:val="176575"/>
            <w:u w:val="single"/>
          </w:rPr>
          <w:t>R074</w:t>
        </w:r>
      </w:hyperlink>
    </w:p>
    <w:p>
      <w:pPr>
        <w:pStyle w:val="Heading2"/>
      </w:pPr>
      <w:r>
        <w:t>Беда: научный том, современные переводы, календарные свидетели</w:t>
      </w:r>
    </w:p>
    <w:p>
      <w:r>
        <w:rPr>
          <w:b w:val="0"/>
        </w:rPr>
      </w:r>
      <w:r>
        <w:rPr>
          <w:b/>
        </w:rPr>
        <w:t>Оригинальный текст и историческое скачивание:</w:t>
      </w:r>
      <w:r>
        <w:rPr>
          <w:b w:val="0"/>
        </w:rPr>
        <w:t xml:space="preserve"> том VI издания Giles 1843 — Scientific tracts and appendix, содержащий научные и школьные латинские тексты. Слово English в заглавии общей серии не делает их английскими переводами. Google Books показывает полный просмотр и кнопку PDF, но получение PDF завершилось ошибкой; запись сохраняет различие между предложенным скачиванием и успешной загрузкой. Псевдо-бединские приложения требуют проверки отдельно от подлинных трактатов.</w:t>
      </w:r>
    </w:p>
    <w:p>
      <w:r>
        <w:rPr>
          <w:b w:val="0"/>
        </w:rPr>
      </w:r>
      <w:r>
        <w:rPr>
          <w:b/>
        </w:rPr>
        <w:t>Современные научные переводы:</w:t>
      </w:r>
      <w:r>
        <w:rPr>
          <w:b w:val="0"/>
        </w:rPr>
        <w:t xml:space="preserve"> Wallis, The Reckoning of Time, 1999, для De temporum ratione; Kendall и Wallis, 2010, для De natura rerum и De temporibus. Проверенные веб-входы — частичные просмотры, не полные бесплатные книги. </w:t>
      </w:r>
      <w:r>
        <w:rPr>
          <w:b/>
        </w:rPr>
        <w:t>Материальный слой:</w:t>
      </w:r>
      <w:r>
        <w:rPr>
          <w:b w:val="0"/>
        </w:rPr>
        <w:t xml:space="preserve"> Cotton Vespasian B VI, Harley 3091 и Royal 12 D IV дают сильные каталожные описания, таблицы, состав и глоссы. Их фотографии не объявлены полностью проверенными: для Harley указана недоступность изображений, для остальных получена прежде всего карточка. Поздний Royal сохраняет также De computo Хельперика.</w:t>
      </w:r>
    </w:p>
    <w:p>
      <w:pPr>
        <w:pStyle w:val="Source"/>
      </w:pPr>
      <w:r>
        <w:t xml:space="preserve">Источники: </w:t>
      </w:r>
      <w:hyperlink r:id="rId61">
        <w:r>
          <w:rPr>
            <w:color w:val="176575"/>
            <w:u w:val="single"/>
          </w:rPr>
          <w:t>R013</w:t>
        </w:r>
      </w:hyperlink>
      <w:r>
        <w:t xml:space="preserve">  ·  </w:t>
      </w:r>
      <w:hyperlink r:id="rId62">
        <w:r>
          <w:rPr>
            <w:color w:val="176575"/>
            <w:u w:val="single"/>
          </w:rPr>
          <w:t>R030</w:t>
        </w:r>
      </w:hyperlink>
      <w:r>
        <w:t xml:space="preserve">  ·  </w:t>
      </w:r>
      <w:hyperlink r:id="rId63">
        <w:r>
          <w:rPr>
            <w:color w:val="176575"/>
            <w:u w:val="single"/>
          </w:rPr>
          <w:t>R031</w:t>
        </w:r>
      </w:hyperlink>
      <w:r>
        <w:t xml:space="preserve">  ·  </w:t>
      </w:r>
      <w:hyperlink r:id="rId37">
        <w:r>
          <w:rPr>
            <w:color w:val="176575"/>
            <w:u w:val="single"/>
          </w:rPr>
          <w:t>R032</w:t>
        </w:r>
      </w:hyperlink>
      <w:r>
        <w:t xml:space="preserve">  ·  </w:t>
      </w:r>
      <w:hyperlink r:id="rId64">
        <w:r>
          <w:rPr>
            <w:color w:val="176575"/>
            <w:u w:val="single"/>
          </w:rPr>
          <w:t>R038</w:t>
        </w:r>
      </w:hyperlink>
      <w:r>
        <w:t xml:space="preserve">  ·  </w:t>
      </w:r>
      <w:hyperlink r:id="rId22">
        <w:r>
          <w:rPr>
            <w:color w:val="176575"/>
            <w:u w:val="single"/>
          </w:rPr>
          <w:t>R064</w:t>
        </w:r>
      </w:hyperlink>
      <w:r>
        <w:t xml:space="preserve">  ·  </w:t>
      </w:r>
      <w:hyperlink r:id="rId65">
        <w:r>
          <w:rPr>
            <w:color w:val="176575"/>
            <w:u w:val="single"/>
          </w:rPr>
          <w:t>Контроль бединского состава</w:t>
        </w:r>
      </w:hyperlink>
    </w:p>
    <w:p>
      <w:pPr>
        <w:pStyle w:val="Heading2"/>
      </w:pPr>
      <w:r>
        <w:t>Алкуин и школьная лексикография</w:t>
      </w:r>
    </w:p>
    <w:p>
      <w:r>
        <w:rPr>
          <w:b w:val="0"/>
        </w:rPr>
      </w:r>
      <w:r>
        <w:rPr>
          <w:b/>
        </w:rPr>
        <w:t>Бесплатное чтение отдельных учебников</w:t>
      </w:r>
      <w:r>
        <w:rPr>
          <w:b w:val="0"/>
        </w:rPr>
        <w:t xml:space="preserve"> обеспечивают латинские HTML-страницы риторики, грамматики с De vera philosophia и диалектики. Wikisource используется как конкретная транскрипция исторического издания, а не как гарантия прав на любой импортированный текст. </w:t>
      </w:r>
      <w:r>
        <w:rPr>
          <w:b/>
        </w:rPr>
        <w:t>Более широкий состав</w:t>
      </w:r>
      <w:r>
        <w:rPr>
          <w:b w:val="0"/>
        </w:rPr>
        <w:t xml:space="preserve"> доступен в одном институциональном скане PL 101: школьные, философские и нравственные сочинения не раздуты в отдельные фиктивные файловые объекты. Атрибуция каждого спорного произведения не выводится из титула тома.</w:t>
      </w:r>
    </w:p>
    <w:p>
      <w:r>
        <w:rPr>
          <w:b w:val="0"/>
        </w:rPr>
      </w:r>
      <w:r>
        <w:rPr>
          <w:b/>
        </w:rPr>
        <w:t>Лучший открытый научный вход в риторику</w:t>
      </w:r>
      <w:r>
        <w:rPr>
          <w:b w:val="0"/>
        </w:rPr>
        <w:t xml:space="preserve"> — диссертация Costrino 2016 в White Rose: получен 323-страничный PDF с критическим текстом, аппаратом и исследованием. CC BY-NC-ND 2.5 делает полезным законное некоммерческое распространение неизменённой диссертации с атрибуцией; это не автоматическое разрешение публиковать извлечённый аппарат, переработанные изображения или новый набор данных. </w:t>
      </w:r>
      <w:r>
        <w:rPr>
          <w:b/>
        </w:rPr>
        <w:t>Propositiones ad acuendos iuvenes</w:t>
      </w:r>
      <w:r>
        <w:rPr>
          <w:b w:val="0"/>
        </w:rPr>
        <w:t xml:space="preserve"> сохранены с оговоркой об атрибуции; письма Алкуина — через dMGH.</w:t>
      </w:r>
    </w:p>
    <w:p>
      <w:r>
        <w:rPr>
          <w:b w:val="0"/>
        </w:rPr>
        <w:t>Лексикографическое расширение представлено позднекаролингским фрагментом Liber glossarum в Удине. Институциональная страница даёт описание и изображения одного листа. Она не заменяет полного цифрового издания словаря; предполагаемая сокращённая редакция и связь отдельных статей с Исидором требуют текстовой проверки.</w:t>
      </w:r>
    </w:p>
    <w:p>
      <w:pPr>
        <w:pStyle w:val="Source"/>
      </w:pPr>
      <w:r>
        <w:t xml:space="preserve">Источники: </w:t>
      </w:r>
      <w:hyperlink r:id="rId66">
        <w:r>
          <w:rPr>
            <w:color w:val="176575"/>
            <w:u w:val="single"/>
          </w:rPr>
          <w:t>R014</w:t>
        </w:r>
      </w:hyperlink>
      <w:r>
        <w:t xml:space="preserve">  ·  </w:t>
      </w:r>
      <w:hyperlink r:id="rId67">
        <w:r>
          <w:rPr>
            <w:color w:val="176575"/>
            <w:u w:val="single"/>
          </w:rPr>
          <w:t>R015</w:t>
        </w:r>
      </w:hyperlink>
      <w:r>
        <w:t xml:space="preserve">  ·  </w:t>
      </w:r>
      <w:hyperlink r:id="rId68">
        <w:r>
          <w:rPr>
            <w:color w:val="176575"/>
            <w:u w:val="single"/>
          </w:rPr>
          <w:t>R016</w:t>
        </w:r>
      </w:hyperlink>
      <w:r>
        <w:t xml:space="preserve">  ·  </w:t>
      </w:r>
      <w:hyperlink r:id="rId69">
        <w:r>
          <w:rPr>
            <w:color w:val="176575"/>
            <w:u w:val="single"/>
          </w:rPr>
          <w:t>R034</w:t>
        </w:r>
      </w:hyperlink>
      <w:r>
        <w:t xml:space="preserve">  ·  </w:t>
      </w:r>
      <w:hyperlink r:id="rId20">
        <w:r>
          <w:rPr>
            <w:color w:val="176575"/>
            <w:u w:val="single"/>
          </w:rPr>
          <w:t>R057</w:t>
        </w:r>
      </w:hyperlink>
      <w:r>
        <w:t xml:space="preserve">  ·  </w:t>
      </w:r>
      <w:hyperlink r:id="rId70">
        <w:r>
          <w:rPr>
            <w:color w:val="176575"/>
            <w:u w:val="single"/>
          </w:rPr>
          <w:t>R058</w:t>
        </w:r>
      </w:hyperlink>
      <w:r>
        <w:t xml:space="preserve">  ·  </w:t>
      </w:r>
      <w:hyperlink r:id="rId71">
        <w:r>
          <w:rPr>
            <w:color w:val="176575"/>
            <w:u w:val="single"/>
          </w:rPr>
          <w:t>R059</w:t>
        </w:r>
      </w:hyperlink>
      <w:r>
        <w:t xml:space="preserve">  ·  </w:t>
      </w:r>
      <w:hyperlink r:id="rId23">
        <w:r>
          <w:rPr>
            <w:color w:val="176575"/>
            <w:u w:val="single"/>
          </w:rPr>
          <w:t>R069</w:t>
        </w:r>
      </w:hyperlink>
    </w:p>
    <w:p>
      <w:pPr>
        <w:pStyle w:val="Heading2"/>
      </w:pPr>
      <w:r>
        <w:t>Храбан: редкий ясно лицензированный рукописный вход</w:t>
      </w:r>
    </w:p>
    <w:p>
      <w:r>
        <w:rPr>
          <w:b w:val="0"/>
        </w:rPr>
      </w:r>
      <w:r>
        <w:rPr>
          <w:b/>
        </w:rPr>
        <w:t>Лучший проверенный оригинал с понятными условиями</w:t>
      </w:r>
      <w:r>
        <w:rPr>
          <w:b w:val="0"/>
        </w:rPr>
        <w:t xml:space="preserve"> — De institutione clericorum в Köln Cod. 110, X век. Получен IIIF Manifest: изображения обозначены CC BY-NC 4.0, а описание и метаданные — CC BY-NC-ND 4.0. Поэтому некоммерческие OCR, поиск, embeddings и перевод исторического текста возможны в пределах этого свидетеля и лицензированных изображений; редакционное описание нельзя без проверки распространять в изменённом виде.</w:t>
      </w:r>
    </w:p>
    <w:p>
      <w:r>
        <w:rPr>
          <w:b w:val="0"/>
        </w:rPr>
      </w:r>
      <w:r>
        <w:rPr>
          <w:b/>
        </w:rPr>
        <w:t>Современные версии</w:t>
      </w:r>
      <w:r>
        <w:rPr>
          <w:b w:val="0"/>
        </w:rPr>
        <w:t xml:space="preserve"> — латинско-немецкий Zimpel и английский Phelan 2023. Проверенная запись Zimpel относится к тому II, не ко всему комплекту. </w:t>
      </w:r>
      <w:r>
        <w:rPr>
          <w:b/>
        </w:rPr>
        <w:t>De universo / De rerum naturis:</w:t>
      </w:r>
      <w:r>
        <w:rPr>
          <w:b w:val="0"/>
        </w:rPr>
        <w:t xml:space="preserve"> найдены два платных тома английского перевода Throop и библиотечная карточка печатного факсимиле Casin. 132 с образцом, но не полный свободный цифровой латинский корпус. </w:t>
      </w:r>
      <w:r>
        <w:rPr>
          <w:b/>
        </w:rPr>
        <w:t>De computo</w:t>
      </w:r>
      <w:r>
        <w:rPr>
          <w:b w:val="0"/>
        </w:rPr>
        <w:t xml:space="preserve"> присутствует в критическом CCCM 44; это продолжение календарной линии Беды, а не случайный одноимённый текст.</w:t>
      </w:r>
    </w:p>
    <w:p>
      <w:pPr>
        <w:pStyle w:val="Source"/>
      </w:pPr>
      <w:r>
        <w:t xml:space="preserve">Источники: </w:t>
      </w:r>
      <w:hyperlink r:id="rId72">
        <w:r>
          <w:rPr>
            <w:color w:val="176575"/>
            <w:u w:val="single"/>
          </w:rPr>
          <w:t>R017</w:t>
        </w:r>
      </w:hyperlink>
      <w:r>
        <w:t xml:space="preserve">  ·  </w:t>
      </w:r>
      <w:hyperlink r:id="rId12">
        <w:r>
          <w:rPr>
            <w:color w:val="176575"/>
            <w:u w:val="single"/>
          </w:rPr>
          <w:t>R033</w:t>
        </w:r>
      </w:hyperlink>
      <w:r>
        <w:t xml:space="preserve">  ·  </w:t>
      </w:r>
      <w:hyperlink r:id="rId73">
        <w:r>
          <w:rPr>
            <w:color w:val="176575"/>
            <w:u w:val="single"/>
          </w:rPr>
          <w:t>R039</w:t>
        </w:r>
      </w:hyperlink>
      <w:r>
        <w:t xml:space="preserve">  ·  </w:t>
      </w:r>
      <w:hyperlink r:id="rId74">
        <w:r>
          <w:rPr>
            <w:color w:val="176575"/>
            <w:u w:val="single"/>
          </w:rPr>
          <w:t>R040</w:t>
        </w:r>
      </w:hyperlink>
      <w:r>
        <w:t xml:space="preserve">  ·  </w:t>
      </w:r>
      <w:hyperlink r:id="rId75">
        <w:r>
          <w:rPr>
            <w:color w:val="176575"/>
            <w:u w:val="single"/>
          </w:rPr>
          <w:t>R041</w:t>
        </w:r>
      </w:hyperlink>
      <w:r>
        <w:t xml:space="preserve">  ·  </w:t>
      </w:r>
      <w:hyperlink r:id="rId38">
        <w:r>
          <w:rPr>
            <w:color w:val="176575"/>
            <w:u w:val="single"/>
          </w:rPr>
          <w:t>R042</w:t>
        </w:r>
      </w:hyperlink>
      <w:r>
        <w:t xml:space="preserve">  ·  </w:t>
      </w:r>
      <w:hyperlink r:id="rId19">
        <w:r>
          <w:rPr>
            <w:color w:val="176575"/>
            <w:u w:val="single"/>
          </w:rPr>
          <w:t>R056</w:t>
        </w:r>
      </w:hyperlink>
    </w:p>
    <w:p>
      <w:pPr>
        <w:pStyle w:val="Heading2"/>
      </w:pPr>
      <w:r>
        <w:t>Эриугена и греко-латинская линия</w:t>
      </w:r>
    </w:p>
    <w:p>
      <w:r>
        <w:rPr>
          <w:b w:val="0"/>
        </w:rPr>
      </w:r>
      <w:r>
        <w:rPr>
          <w:b/>
        </w:rPr>
        <w:t>Исторические сканы Periphyseon</w:t>
      </w:r>
      <w:r>
        <w:rPr>
          <w:b w:val="0"/>
        </w:rPr>
        <w:t xml:space="preserve"> — Gale 1681 и Schlüter 1838; они практически полезны для чтения старого латинского слоя и проверки поздней печатной передачи. Приложение из Ambigua у Gale не объявлено полным сочинением Максима. PL 122 сохранена как единый старый корпусный вход с неопределённостью даты конкретной печати и состава, а не как готовое современное Opera omnia.</w:t>
      </w:r>
    </w:p>
    <w:p>
      <w:r>
        <w:rPr>
          <w:b w:val="0"/>
        </w:rPr>
      </w:r>
      <w:r>
        <w:rPr>
          <w:b/>
        </w:rPr>
        <w:t>Современный критический ориентир</w:t>
      </w:r>
      <w:r>
        <w:rPr>
          <w:b w:val="0"/>
        </w:rPr>
        <w:t xml:space="preserve"> — Jeauneau, CCCM: получены конкретные издательские карточки книг I и III Periphyseon, а полный пятитомный комплект требует завершения поиска. </w:t>
      </w:r>
      <w:r>
        <w:rPr>
          <w:b/>
        </w:rPr>
        <w:t>De praedestinatione</w:t>
      </w:r>
      <w:r>
        <w:rPr>
          <w:b w:val="0"/>
        </w:rPr>
        <w:t xml:space="preserve"> имеет критическое издание Madec и английский перевод Brennan с официальной покупкой и отдельным JSTOR-доступом. Ограниченный Internet Archive-просмотр тома DIAS 1968 не обозначен как выдача полного комплекта или бесплатная полная книга.</w:t>
      </w:r>
    </w:p>
    <w:p>
      <w:r>
        <w:rPr>
          <w:b w:val="0"/>
        </w:rPr>
      </w:r>
      <w:r>
        <w:rPr>
          <w:b/>
        </w:rPr>
        <w:t>Переводной и экзегетический слой:</w:t>
      </w:r>
      <w:r>
        <w:rPr>
          <w:b w:val="0"/>
        </w:rPr>
        <w:t xml:space="preserve"> Ambigua, Quaestiones ad Thalassium в двух частях и Expositiones in Ierarchiam coelestem имеют точные критические издательские входы. Homilia et commentarius in evangelium Iohannis представлены одним изданием двух произведений; повреждённость комментария не скрыта словом «полный». Старые английские переводы Псевдо-Дионисия у Parker доступны свободно, а De hominis opificio Григория — через CCEL. Эти английские пути помогают понять входящие произведения, но не подменяют собственные латинские переводы Эриугены.</w:t>
      </w:r>
    </w:p>
    <w:p>
      <w:pPr>
        <w:pStyle w:val="Source"/>
      </w:pPr>
      <w:r>
        <w:t xml:space="preserve">Источники: </w:t>
      </w:r>
      <w:hyperlink r:id="rId76">
        <w:r>
          <w:rPr>
            <w:color w:val="176575"/>
            <w:u w:val="single"/>
          </w:rPr>
          <w:t>R018</w:t>
        </w:r>
      </w:hyperlink>
      <w:r>
        <w:t xml:space="preserve">  ·  </w:t>
      </w:r>
      <w:hyperlink r:id="rId77">
        <w:r>
          <w:rPr>
            <w:color w:val="176575"/>
            <w:u w:val="single"/>
          </w:rPr>
          <w:t>R019</w:t>
        </w:r>
      </w:hyperlink>
      <w:r>
        <w:t xml:space="preserve">  ·  </w:t>
      </w:r>
      <w:hyperlink r:id="rId78">
        <w:r>
          <w:rPr>
            <w:color w:val="176575"/>
            <w:u w:val="single"/>
          </w:rPr>
          <w:t>R020</w:t>
        </w:r>
      </w:hyperlink>
      <w:r>
        <w:t xml:space="preserve">  ·  </w:t>
      </w:r>
      <w:hyperlink r:id="rId79">
        <w:r>
          <w:rPr>
            <w:color w:val="176575"/>
            <w:u w:val="single"/>
          </w:rPr>
          <w:t>R021</w:t>
        </w:r>
      </w:hyperlink>
      <w:r>
        <w:t xml:space="preserve">  ·  </w:t>
      </w:r>
      <w:hyperlink r:id="rId80">
        <w:r>
          <w:rPr>
            <w:color w:val="176575"/>
            <w:u w:val="single"/>
          </w:rPr>
          <w:t>R022</w:t>
        </w:r>
      </w:hyperlink>
      <w:r>
        <w:t xml:space="preserve">  ·  </w:t>
      </w:r>
      <w:hyperlink r:id="rId81">
        <w:r>
          <w:rPr>
            <w:color w:val="176575"/>
            <w:u w:val="single"/>
          </w:rPr>
          <w:t>R023</w:t>
        </w:r>
      </w:hyperlink>
      <w:r>
        <w:t xml:space="preserve">  ·  </w:t>
      </w:r>
      <w:hyperlink r:id="rId82">
        <w:r>
          <w:rPr>
            <w:color w:val="176575"/>
            <w:u w:val="single"/>
          </w:rPr>
          <w:t>R024</w:t>
        </w:r>
      </w:hyperlink>
      <w:r>
        <w:t xml:space="preserve">  ·  </w:t>
      </w:r>
      <w:hyperlink r:id="rId83">
        <w:r>
          <w:rPr>
            <w:color w:val="176575"/>
            <w:u w:val="single"/>
          </w:rPr>
          <w:t>R025</w:t>
        </w:r>
      </w:hyperlink>
      <w:r>
        <w:t xml:space="preserve">  ·  </w:t>
      </w:r>
      <w:hyperlink r:id="rId84">
        <w:r>
          <w:rPr>
            <w:color w:val="176575"/>
            <w:u w:val="single"/>
          </w:rPr>
          <w:t>R026</w:t>
        </w:r>
      </w:hyperlink>
      <w:r>
        <w:t xml:space="preserve">  ·  </w:t>
      </w:r>
      <w:hyperlink r:id="rId27">
        <w:r>
          <w:rPr>
            <w:color w:val="176575"/>
            <w:u w:val="single"/>
          </w:rPr>
          <w:t>R046</w:t>
        </w:r>
      </w:hyperlink>
      <w:r>
        <w:t xml:space="preserve">  ·  </w:t>
      </w:r>
      <w:hyperlink r:id="rId15">
        <w:r>
          <w:rPr>
            <w:color w:val="176575"/>
            <w:u w:val="single"/>
          </w:rPr>
          <w:t>R047</w:t>
        </w:r>
      </w:hyperlink>
      <w:r>
        <w:t xml:space="preserve">  ·  </w:t>
      </w:r>
      <w:hyperlink r:id="rId28">
        <w:r>
          <w:rPr>
            <w:color w:val="176575"/>
            <w:u w:val="single"/>
          </w:rPr>
          <w:t>R048</w:t>
        </w:r>
      </w:hyperlink>
      <w:r>
        <w:t xml:space="preserve">  ·  </w:t>
      </w:r>
      <w:hyperlink r:id="rId85">
        <w:r>
          <w:rPr>
            <w:color w:val="176575"/>
            <w:u w:val="single"/>
          </w:rPr>
          <w:t>R049</w:t>
        </w:r>
      </w:hyperlink>
      <w:r>
        <w:t xml:space="preserve">  ·  </w:t>
      </w:r>
      <w:hyperlink r:id="rId16">
        <w:r>
          <w:rPr>
            <w:color w:val="176575"/>
            <w:u w:val="single"/>
          </w:rPr>
          <w:t>R050</w:t>
        </w:r>
      </w:hyperlink>
      <w:r>
        <w:t xml:space="preserve">  ·  </w:t>
      </w:r>
      <w:hyperlink r:id="rId30">
        <w:r>
          <w:rPr>
            <w:color w:val="176575"/>
            <w:u w:val="single"/>
          </w:rPr>
          <w:t>R071</w:t>
        </w:r>
      </w:hyperlink>
      <w:r>
        <w:t xml:space="preserve">  ·  </w:t>
      </w:r>
      <w:hyperlink r:id="rId31">
        <w:r>
          <w:rPr>
            <w:color w:val="176575"/>
            <w:u w:val="single"/>
          </w:rPr>
          <w:t>R072</w:t>
        </w:r>
      </w:hyperlink>
      <w:r>
        <w:t xml:space="preserve">  ·  </w:t>
      </w:r>
      <w:hyperlink r:id="rId35">
        <w:r>
          <w:rPr>
            <w:color w:val="176575"/>
            <w:u w:val="single"/>
          </w:rPr>
          <w:t>R079</w:t>
        </w:r>
      </w:hyperlink>
      <w:r>
        <w:t xml:space="preserve">  ·  </w:t>
      </w:r>
      <w:hyperlink r:id="rId36">
        <w:r>
          <w:rPr>
            <w:color w:val="176575"/>
            <w:u w:val="single"/>
          </w:rPr>
          <w:t>R081</w:t>
        </w:r>
      </w:hyperlink>
    </w:p>
    <w:p>
      <w:pPr>
        <w:pStyle w:val="Heading2"/>
      </w:pPr>
      <w:r>
        <w:t>Нормативные тексты, письма, категории и поздняя передача</w:t>
      </w:r>
    </w:p>
    <w:p>
      <w:r>
        <w:rPr>
          <w:b w:val="0"/>
        </w:rPr>
      </w:r>
      <w:r>
        <w:rPr>
          <w:b/>
        </w:rPr>
        <w:t>Admonitio generalis:</w:t>
      </w:r>
      <w:r>
        <w:rPr>
          <w:b w:val="0"/>
        </w:rPr>
        <w:t xml:space="preserve"> специализированная карточка Capitularia с BK 22, свидетелями и заявленным XML; отдельный dMGH-вход к критическому изданию 2013 года. </w:t>
      </w:r>
      <w:r>
        <w:rPr>
          <w:b/>
        </w:rPr>
        <w:t>Письма Лупа и Герберта:</w:t>
      </w:r>
      <w:r>
        <w:rPr>
          <w:b w:val="0"/>
        </w:rPr>
        <w:t xml:space="preserve"> соответствующие тома MGH, с сохранёнными границами разделов. Открытый BookReader и видимое оглавление не приняты за доказательство доступного TEI-релиза или свободной лицензии всего современного аппарата.</w:t>
      </w:r>
    </w:p>
    <w:p>
      <w:r>
        <w:rPr>
          <w:b w:val="0"/>
        </w:rPr>
      </w:r>
      <w:r>
        <w:rPr>
          <w:b/>
        </w:rPr>
        <w:t>Categoriae decem:</w:t>
      </w:r>
      <w:r>
        <w:rPr>
          <w:b w:val="0"/>
        </w:rPr>
        <w:t xml:space="preserve"> Cod. Sang. 274 — основной ранний рукописный вход с глоссами и дополнительным эриугеновским материалом. Датировку кодекса и датировку отдельных приписок нельзя механически уравнять. </w:t>
      </w:r>
      <w:r>
        <w:rPr>
          <w:b/>
        </w:rPr>
        <w:t>Leuven Ms. 1585</w:t>
      </w:r>
      <w:r>
        <w:rPr>
          <w:b w:val="0"/>
        </w:rPr>
        <w:t xml:space="preserve"> — наиболее свободный проверенный фрагмент, PDM на две consultatiekopie-фотографии; он сохраняет только полулист и небольшой текстовый остаток. Парижские логические сборники и ремигиевские глоссы получили отдельные записи, но часть Gallica-входов не открылась.</w:t>
      </w:r>
    </w:p>
    <w:p>
      <w:r>
        <w:rPr>
          <w:b w:val="0"/>
        </w:rPr>
      </w:r>
      <w:r>
        <w:rPr>
          <w:b/>
        </w:rPr>
        <w:t>Поздние маршруты:</w:t>
      </w:r>
      <w:r>
        <w:rPr>
          <w:b w:val="0"/>
        </w:rPr>
        <w:t xml:space="preserve"> William of Conches — критическое платное издание; Clavis physicae — подтверждённая библиотечная доступность первой части для работы в учреждении, без обещания домашней выдачи; Didascalicon — официальный современный перевод для покупки; Boece Чосера — полный исторический среднеанглийский текст в Gutenberg. Для собственной работы с Boece нужно сохранять особые буквы и редакционный аппарат, не считая двукратное представление текста в HTML двумя произведениями.</w:t>
      </w:r>
    </w:p>
    <w:p>
      <w:pPr>
        <w:pStyle w:val="Source"/>
      </w:pPr>
      <w:r>
        <w:t xml:space="preserve">Источники: </w:t>
      </w:r>
      <w:hyperlink r:id="rId86">
        <w:r>
          <w:rPr>
            <w:color w:val="176575"/>
            <w:u w:val="single"/>
          </w:rPr>
          <w:t>R005</w:t>
        </w:r>
      </w:hyperlink>
      <w:r>
        <w:t xml:space="preserve">  ·  </w:t>
      </w:r>
      <w:hyperlink r:id="rId87">
        <w:r>
          <w:rPr>
            <w:color w:val="176575"/>
            <w:u w:val="single"/>
          </w:rPr>
          <w:t>R006</w:t>
        </w:r>
      </w:hyperlink>
      <w:r>
        <w:t xml:space="preserve">  ·  </w:t>
      </w:r>
      <w:hyperlink r:id="rId88">
        <w:r>
          <w:rPr>
            <w:color w:val="176575"/>
            <w:u w:val="single"/>
          </w:rPr>
          <w:t>R028</w:t>
        </w:r>
      </w:hyperlink>
      <w:r>
        <w:t xml:space="preserve">  ·  </w:t>
      </w:r>
      <w:hyperlink r:id="rId13">
        <w:r>
          <w:rPr>
            <w:color w:val="176575"/>
            <w:u w:val="single"/>
          </w:rPr>
          <w:t>R035</w:t>
        </w:r>
      </w:hyperlink>
      <w:r>
        <w:t xml:space="preserve">  ·  </w:t>
      </w:r>
      <w:hyperlink r:id="rId89">
        <w:r>
          <w:rPr>
            <w:color w:val="176575"/>
            <w:u w:val="single"/>
          </w:rPr>
          <w:t>R036</w:t>
        </w:r>
      </w:hyperlink>
      <w:r>
        <w:t xml:space="preserve">  ·  </w:t>
      </w:r>
      <w:hyperlink r:id="rId39">
        <w:r>
          <w:rPr>
            <w:color w:val="176575"/>
            <w:u w:val="single"/>
          </w:rPr>
          <w:t>R051</w:t>
        </w:r>
      </w:hyperlink>
      <w:r>
        <w:t xml:space="preserve">  ·  </w:t>
      </w:r>
      <w:hyperlink r:id="rId40">
        <w:r>
          <w:rPr>
            <w:color w:val="176575"/>
            <w:u w:val="single"/>
          </w:rPr>
          <w:t>R052</w:t>
        </w:r>
      </w:hyperlink>
      <w:r>
        <w:t xml:space="preserve">  ·  </w:t>
      </w:r>
      <w:hyperlink r:id="rId90">
        <w:r>
          <w:rPr>
            <w:color w:val="176575"/>
            <w:u w:val="single"/>
          </w:rPr>
          <w:t>R053</w:t>
        </w:r>
      </w:hyperlink>
      <w:r>
        <w:t xml:space="preserve">  ·  </w:t>
      </w:r>
      <w:hyperlink r:id="rId91">
        <w:r>
          <w:rPr>
            <w:color w:val="176575"/>
            <w:u w:val="single"/>
          </w:rPr>
          <w:t>R060</w:t>
        </w:r>
      </w:hyperlink>
      <w:r>
        <w:t xml:space="preserve">  ·  </w:t>
      </w:r>
      <w:hyperlink r:id="rId21">
        <w:r>
          <w:rPr>
            <w:color w:val="176575"/>
            <w:u w:val="single"/>
          </w:rPr>
          <w:t>R061</w:t>
        </w:r>
      </w:hyperlink>
      <w:r>
        <w:t xml:space="preserve">  ·  </w:t>
      </w:r>
      <w:hyperlink r:id="rId92">
        <w:r>
          <w:rPr>
            <w:color w:val="176575"/>
            <w:u w:val="single"/>
          </w:rPr>
          <w:t>R062</w:t>
        </w:r>
      </w:hyperlink>
      <w:r>
        <w:t xml:space="preserve">  ·  </w:t>
      </w:r>
      <w:hyperlink r:id="rId93">
        <w:r>
          <w:rPr>
            <w:color w:val="176575"/>
            <w:u w:val="single"/>
          </w:rPr>
          <w:t>R063</w:t>
        </w:r>
      </w:hyperlink>
      <w:r>
        <w:t xml:space="preserve">  ·  </w:t>
      </w:r>
      <w:hyperlink r:id="rId41">
        <w:r>
          <w:rPr>
            <w:color w:val="176575"/>
            <w:u w:val="single"/>
          </w:rPr>
          <w:t>R075</w:t>
        </w:r>
      </w:hyperlink>
      <w:r>
        <w:t xml:space="preserve">  ·  </w:t>
      </w:r>
      <w:hyperlink r:id="rId42">
        <w:r>
          <w:rPr>
            <w:color w:val="176575"/>
            <w:u w:val="single"/>
          </w:rPr>
          <w:t>R076</w:t>
        </w:r>
      </w:hyperlink>
      <w:r>
        <w:t xml:space="preserve">  ·  </w:t>
      </w:r>
      <w:hyperlink r:id="rId94">
        <w:r>
          <w:rPr>
            <w:color w:val="176575"/>
            <w:u w:val="single"/>
          </w:rPr>
          <w:t>R082</w:t>
        </w:r>
      </w:hyperlink>
    </w:p>
    <w:p>
      <w:pPr>
        <w:pStyle w:val="Heading1"/>
      </w:pPr>
      <w:r>
        <w:t>4. Карта прав и практического использования</w:t>
      </w:r>
    </w:p>
    <w:p>
      <w:r>
        <w:rPr>
          <w:b w:val="0"/>
        </w:rPr>
        <w:t xml:space="preserve">Правовая карта ниже относится к конкретным компонентам, перечисленным в rights_scope, а не к авторам или эпохам целиком. </w:t>
      </w:r>
      <w:r>
        <w:rPr>
          <w:b/>
        </w:rPr>
        <w:t>Отсутствие положительного тега означает, что разрешение не установлено в этом исследовании, а не доказанный запрет любого использования.</w:t>
      </w:r>
      <w:r>
        <w:rPr>
          <w:b w:val="0"/>
        </w:rPr>
        <w:t xml:space="preserve"> Высокая rights_confidence может подтверждать и ясную защищённость современного издания.</w:t>
      </w:r>
    </w:p>
    <w:p>
      <w:pPr>
        <w:pStyle w:val="Heading2"/>
      </w:pPr>
      <w:r>
        <w:t>Открытые тексты и явно лицензированные данные</w:t>
      </w:r>
    </w:p>
    <w:p>
      <w:r>
        <w:rPr>
          <w:b w:val="0"/>
        </w:rPr>
      </w:r>
      <w:r>
        <w:rPr>
          <w:b/>
        </w:rPr>
        <w:t>Apollo, R002:</w:t>
      </w:r>
      <w:r>
        <w:rPr>
          <w:b w:val="0"/>
        </w:rPr>
        <w:t xml:space="preserve"> CC BY 4.0 позволяет использовать опубликованный редакционный текст корпуса глосс с атрибуцией, ссылкой на лицензию и указанием изменений. Это перспективный слой для зеркала, OCR при необходимости, публичного индекса, embeddings и собственных переводов самих латинских глосс. Перед автоматической загрузкой остаётся получить файл и проверить его содержимое; лицензия не распространяется на не включённые в неё фотографии свидетелей.</w:t>
      </w:r>
    </w:p>
    <w:p>
      <w:r>
        <w:rPr>
          <w:b w:val="0"/>
        </w:rPr>
      </w:r>
      <w:r>
        <w:rPr>
          <w:b/>
        </w:rPr>
        <w:t>Perseus, R065–R066:</w:t>
      </w:r>
      <w:r>
        <w:rPr>
          <w:b w:val="0"/>
        </w:rPr>
        <w:t xml:space="preserve"> CC BY-SA 4.0 применена к конкретным XML Consolatio. Возможны атрибутированное повторное использование и машинная обработка; для охраняемых производных материалов необходимо учитывать ShareAlike. Латинская запись даёт чистую исходную основу собственного перевода. Английская запись полезна сама по себе, но не обозначена как латинский оригинал. Лицензия на текст не делает свободными любые сторонние компоненты программного проекта.</w:t>
      </w:r>
    </w:p>
    <w:p>
      <w:r>
        <w:rPr>
          <w:b w:val="0"/>
        </w:rPr>
      </w:r>
      <w:r>
        <w:rPr>
          <w:b/>
        </w:rPr>
        <w:t>Leuven, R061:</w:t>
      </w:r>
      <w:r>
        <w:rPr>
          <w:b w:val="0"/>
        </w:rPr>
        <w:t xml:space="preserve"> Public Domain Mark и официальная политика библиотеки поддерживают повторное использование предоставленных изображений. Это две консультационные фотографии сохранившегося полулиста, а не высококачественные мастер-файлы и не полный текст Categoriae decem. Следует сохранять указание KU Leuven Libraries Special Collections. Право перевода относится только к читаемому остатку; недостающие части не «восстанавливаются» лицензией.</w:t>
      </w:r>
    </w:p>
    <w:p>
      <w:pPr>
        <w:pStyle w:val="Source"/>
      </w:pPr>
      <w:r>
        <w:t xml:space="preserve">Источники: </w:t>
      </w:r>
      <w:hyperlink r:id="rId44">
        <w:r>
          <w:rPr>
            <w:color w:val="176575"/>
            <w:u w:val="single"/>
          </w:rPr>
          <w:t>R002</w:t>
        </w:r>
      </w:hyperlink>
      <w:r>
        <w:t xml:space="preserve">  ·  </w:t>
      </w:r>
      <w:hyperlink r:id="rId21">
        <w:r>
          <w:rPr>
            <w:color w:val="176575"/>
            <w:u w:val="single"/>
          </w:rPr>
          <w:t>R061</w:t>
        </w:r>
      </w:hyperlink>
      <w:r>
        <w:t xml:space="preserve">  ·  </w:t>
      </w:r>
      <w:hyperlink r:id="rId46">
        <w:r>
          <w:rPr>
            <w:color w:val="176575"/>
            <w:u w:val="single"/>
          </w:rPr>
          <w:t>R065</w:t>
        </w:r>
      </w:hyperlink>
      <w:r>
        <w:t xml:space="preserve">  ·  </w:t>
      </w:r>
      <w:hyperlink r:id="rId47">
        <w:r>
          <w:rPr>
            <w:color w:val="176575"/>
            <w:u w:val="single"/>
          </w:rPr>
          <w:t>R066</w:t>
        </w:r>
      </w:hyperlink>
      <w:r>
        <w:t xml:space="preserve">  ·  </w:t>
      </w:r>
      <w:hyperlink r:id="rId95">
        <w:r>
          <w:rPr>
            <w:color w:val="176575"/>
            <w:u w:val="single"/>
          </w:rPr>
          <w:t>Политика KU Leuven</w:t>
        </w:r>
      </w:hyperlink>
    </w:p>
    <w:p>
      <w:pPr>
        <w:pStyle w:val="Heading2"/>
      </w:pPr>
      <w:r>
        <w:t>Некоммерческие варианты и NoDerivatives</w:t>
      </w:r>
    </w:p>
    <w:p>
      <w:r>
        <w:rPr>
          <w:b w:val="0"/>
        </w:rPr>
      </w:r>
      <w:r>
        <w:rPr>
          <w:b/>
        </w:rPr>
        <w:t>Кёльн, R033:</w:t>
      </w:r>
      <w:r>
        <w:rPr>
          <w:b w:val="0"/>
        </w:rPr>
        <w:t xml:space="preserve"> CC BY-NC 4.0 для изображений полезна нынешнему некоммерческому ToS. Разрешённый слой может служить основой транскрипции, исследовательской индексации и собственного перевода свидетеля с соблюдением атрибуции, NC и маркировки изменений. Но описание того же объекта имеет CC BY-NC-ND 4.0: переработанный каталог нельзя публиковать, опираясь на лицензию изображений. Изменение модели использования проекта потребует новой проверки условия NC.</w:t>
      </w:r>
    </w:p>
    <w:p>
      <w:r>
        <w:rPr>
          <w:b w:val="0"/>
        </w:rPr>
      </w:r>
      <w:r>
        <w:rPr>
          <w:b/>
        </w:rPr>
        <w:t>Costrino, R014:</w:t>
      </w:r>
      <w:r>
        <w:rPr>
          <w:b w:val="0"/>
        </w:rPr>
        <w:t xml:space="preserve"> CC BY-NC-ND 2.5 сохранена как полезный законный маршрут к целому неизменённому PDF. В реестре стоят UNCHANGED_ONLY и некоммерческое распространение; не поставлены автоматические положительные теги для отдельного OCR-корпуса, публичного полнотекстового индекса, embeddings или публикации нового перевода критической редакции. Вопросы конкретной технической обработки и материалов третьих лиц требуют раздельной оценки, а не вывода «ND запрещает вообще любое исследование».</w:t>
      </w:r>
    </w:p>
    <w:p>
      <w:pPr>
        <w:pStyle w:val="Source"/>
      </w:pPr>
      <w:r>
        <w:t xml:space="preserve">Источники: </w:t>
      </w:r>
      <w:hyperlink r:id="rId66">
        <w:r>
          <w:rPr>
            <w:color w:val="176575"/>
            <w:u w:val="single"/>
          </w:rPr>
          <w:t>R014</w:t>
        </w:r>
      </w:hyperlink>
      <w:r>
        <w:t xml:space="preserve">  ·  </w:t>
      </w:r>
      <w:hyperlink r:id="rId12">
        <w:r>
          <w:rPr>
            <w:color w:val="176575"/>
            <w:u w:val="single"/>
          </w:rPr>
          <w:t>R033</w:t>
        </w:r>
      </w:hyperlink>
    </w:p>
    <w:p>
      <w:pPr>
        <w:pStyle w:val="Heading2"/>
      </w:pPr>
      <w:r>
        <w:t>Исторические издания и материалы только для чтения</w:t>
      </w:r>
    </w:p>
    <w:p>
      <w:r>
        <w:rPr>
          <w:b w:val="0"/>
        </w:rPr>
        <w:t>Для Gutenberg и некоторых институциональных сканов Internet Archive явно заявленный PD/NOT_IN_COPYRIGHT относится прежде всего к США. Реестр сохраняет полезные положительные теги внутри этого слоя, одновременно ставя RIGHTS_REVIEW_REQUIRED для международного размещения и добавленных компонентов. Public Domain Mark — знак статуса; Public Domain Certification 1.0 US — отдельный исторический правовой инструмент. Ни один из них не назван CC BY или всемирной гарантией.</w:t>
      </w:r>
    </w:p>
    <w:p>
      <w:r>
        <w:rPr>
          <w:b w:val="0"/>
        </w:rPr>
        <w:t>Для старых английских текстов Parker проверено прямое уведомление о свободном копировании конкретных транскрипций. Для De doctrina christiana отдельно подтверждено заявление public domain об электронном тексте. Однако остальные страницы CCEL, оформление PDF, введения и иллюстрации не получили ту же свободу автоматически: общая политика допускает личное образовательное некоммерческое использование и требует отдельной осторожности при переиздании.</w:t>
      </w:r>
    </w:p>
    <w:p>
      <w:r>
        <w:rPr>
          <w:b w:val="0"/>
        </w:rPr>
        <w:t>Университетское бесплатное HTML-чтение у Augustana или The Latin Library оставлено даже при неизвестных правах. Особенно существенно это для Mynors 1937 и Willis 1983: древняя латынь не отменяет самостоятельного редакторского слоя. Для Brepols, Cambridge, JSTOR, Columbia, URSS и современных переводов сохранены покупка, институциональный доступ либо preview, без рекомендаций публично зеркалировать защищённые версии.</w:t>
      </w:r>
    </w:p>
    <w:p>
      <w:pPr>
        <w:pStyle w:val="Source"/>
      </w:pPr>
      <w:r>
        <w:t xml:space="preserve">Источники: </w:t>
      </w:r>
      <w:hyperlink r:id="rId43">
        <w:r>
          <w:rPr>
            <w:color w:val="176575"/>
            <w:u w:val="single"/>
          </w:rPr>
          <w:t>R001</w:t>
        </w:r>
      </w:hyperlink>
      <w:r>
        <w:t xml:space="preserve">  ·  </w:t>
      </w:r>
      <w:hyperlink r:id="rId51">
        <w:r>
          <w:rPr>
            <w:color w:val="176575"/>
            <w:u w:val="single"/>
          </w:rPr>
          <w:t>R007</w:t>
        </w:r>
      </w:hyperlink>
      <w:r>
        <w:t xml:space="preserve">  ·  </w:t>
      </w:r>
      <w:hyperlink r:id="rId54">
        <w:r>
          <w:rPr>
            <w:color w:val="176575"/>
            <w:u w:val="single"/>
          </w:rPr>
          <w:t>R009</w:t>
        </w:r>
      </w:hyperlink>
      <w:r>
        <w:t xml:space="preserve">  ·  </w:t>
      </w:r>
      <w:hyperlink r:id="rId55">
        <w:r>
          <w:rPr>
            <w:color w:val="176575"/>
            <w:u w:val="single"/>
          </w:rPr>
          <w:t>R010</w:t>
        </w:r>
      </w:hyperlink>
      <w:r>
        <w:t xml:space="preserve">  ·  </w:t>
      </w:r>
      <w:hyperlink r:id="rId26">
        <w:r>
          <w:rPr>
            <w:color w:val="176575"/>
            <w:u w:val="single"/>
          </w:rPr>
          <w:t>R045</w:t>
        </w:r>
      </w:hyperlink>
      <w:r>
        <w:t xml:space="preserve">  ·  </w:t>
      </w:r>
      <w:hyperlink r:id="rId29">
        <w:r>
          <w:rPr>
            <w:color w:val="176575"/>
            <w:u w:val="single"/>
          </w:rPr>
          <w:t>R070</w:t>
        </w:r>
      </w:hyperlink>
      <w:r>
        <w:t xml:space="preserve">  ·  </w:t>
      </w:r>
      <w:hyperlink r:id="rId30">
        <w:r>
          <w:rPr>
            <w:color w:val="176575"/>
            <w:u w:val="single"/>
          </w:rPr>
          <w:t>R071</w:t>
        </w:r>
      </w:hyperlink>
      <w:r>
        <w:t xml:space="preserve">  ·  </w:t>
      </w:r>
      <w:hyperlink r:id="rId31">
        <w:r>
          <w:rPr>
            <w:color w:val="176575"/>
            <w:u w:val="single"/>
          </w:rPr>
          <w:t>R072</w:t>
        </w:r>
      </w:hyperlink>
      <w:r>
        <w:t xml:space="preserve">  ·  </w:t>
      </w:r>
      <w:hyperlink r:id="rId42">
        <w:r>
          <w:rPr>
            <w:color w:val="176575"/>
            <w:u w:val="single"/>
          </w:rPr>
          <w:t>R076</w:t>
        </w:r>
      </w:hyperlink>
      <w:r>
        <w:t xml:space="preserve">  ·  </w:t>
      </w:r>
      <w:hyperlink r:id="rId33">
        <w:r>
          <w:rPr>
            <w:color w:val="176575"/>
            <w:u w:val="single"/>
          </w:rPr>
          <w:t>R077</w:t>
        </w:r>
      </w:hyperlink>
      <w:r>
        <w:t xml:space="preserve">  ·  </w:t>
      </w:r>
      <w:hyperlink r:id="rId34">
        <w:r>
          <w:rPr>
            <w:color w:val="176575"/>
            <w:u w:val="single"/>
          </w:rPr>
          <w:t>R078</w:t>
        </w:r>
      </w:hyperlink>
      <w:r>
        <w:t xml:space="preserve">  ·  </w:t>
      </w:r>
      <w:hyperlink r:id="rId48">
        <w:r>
          <w:rPr>
            <w:color w:val="176575"/>
            <w:u w:val="single"/>
          </w:rPr>
          <w:t>R080</w:t>
        </w:r>
      </w:hyperlink>
      <w:r>
        <w:t xml:space="preserve">  ·  </w:t>
      </w:r>
      <w:hyperlink r:id="rId96">
        <w:r>
          <w:rPr>
            <w:color w:val="176575"/>
            <w:u w:val="single"/>
          </w:rPr>
          <w:t>Условия CCEL</w:t>
        </w:r>
      </w:hyperlink>
    </w:p>
    <w:p>
      <w:pPr>
        <w:pStyle w:val="Heading2"/>
      </w:pPr>
      <w:r>
        <w:t>Где ToS может строить собственный текст</w:t>
      </w:r>
    </w:p>
    <w:p>
      <w:r>
        <w:rPr>
          <w:b w:val="0"/>
        </w:rPr>
        <w:t xml:space="preserve">Наиболее определённые основы — латинский XML Consolatio, лицензированный редакционный текст ранних глосс, исторический текст Храбана в лицензированных изображениях Köln 110 и читаемый фрагмент Categoriae decem из Лёвена. Старый латинский том Gutenberg и Lindsay дают дополнительные, территориально оговорённые основы. </w:t>
      </w:r>
      <w:r>
        <w:rPr>
          <w:b/>
        </w:rPr>
        <w:t>Перевод глосс не равен переводу всей Consolatio; перевод одного свидетеля не равен новому критическому изданию всего произведения.</w:t>
      </w:r>
      <w:r>
        <w:rPr>
          <w:b w:val="0"/>
        </w:rPr>
      </w:r>
    </w:p>
    <w:p>
      <w:r>
        <w:rPr>
          <w:b w:val="0"/>
        </w:rPr>
        <w:t>Для защищённых современных реконструкций, неизвестной по лицензии транскрипции и английского перевода-посредника без чистого оригинального слоя оставлен review. Локальная исследовательская копия, OCR, публикация полнотекстового индекса и embeddings рассматриваются отдельно. Техническая возможность скачать, распознать или вычислить вектор не является самостоятельным правовым основанием.</w:t>
      </w:r>
    </w:p>
    <w:p>
      <w:pPr>
        <w:pStyle w:val="Heading1"/>
      </w:pPr>
      <w:r>
        <w:t>5. Характерные правовые и текстологические тонкости</w:t>
      </w:r>
    </w:p>
    <w:p>
      <w:r>
        <w:rPr>
          <w:b w:val="0"/>
        </w:rPr>
      </w:r>
      <w:r>
        <w:rPr>
          <w:b/>
        </w:rPr>
        <w:t>Одна страница — разные права.</w:t>
      </w:r>
      <w:r>
        <w:rPr>
          <w:b w:val="0"/>
        </w:rPr>
        <w:t xml:space="preserve"> Кёльн явно разводит фотографии и каталожное описание. В British Library CC BY 4.0 относится к тексту карточек; повторное использование этого текста не разрешает автоматически публиковать изображения кодекса. Портал BnF различает открытые метаданные и условия оцифровок; его общая API-документация не превращена в item-level разрешение на изображения Gallica.</w:t>
      </w:r>
    </w:p>
    <w:p>
      <w:pPr>
        <w:pStyle w:val="Source"/>
      </w:pPr>
      <w:r>
        <w:t xml:space="preserve">Источники: </w:t>
      </w:r>
      <w:hyperlink r:id="rId62">
        <w:r>
          <w:rPr>
            <w:color w:val="176575"/>
            <w:u w:val="single"/>
          </w:rPr>
          <w:t>R030</w:t>
        </w:r>
      </w:hyperlink>
      <w:r>
        <w:t xml:space="preserve">  ·  </w:t>
      </w:r>
      <w:hyperlink r:id="rId63">
        <w:r>
          <w:rPr>
            <w:color w:val="176575"/>
            <w:u w:val="single"/>
          </w:rPr>
          <w:t>R031</w:t>
        </w:r>
      </w:hyperlink>
      <w:r>
        <w:t xml:space="preserve">  ·  </w:t>
      </w:r>
      <w:hyperlink r:id="rId37">
        <w:r>
          <w:rPr>
            <w:color w:val="176575"/>
            <w:u w:val="single"/>
          </w:rPr>
          <w:t>R032</w:t>
        </w:r>
      </w:hyperlink>
      <w:r>
        <w:t xml:space="preserve">  ·  </w:t>
      </w:r>
      <w:hyperlink r:id="rId12">
        <w:r>
          <w:rPr>
            <w:color w:val="176575"/>
            <w:u w:val="single"/>
          </w:rPr>
          <w:t>R033</w:t>
        </w:r>
      </w:hyperlink>
      <w:r>
        <w:t xml:space="preserve">  ·  </w:t>
      </w:r>
      <w:hyperlink r:id="rId97">
        <w:r>
          <w:rPr>
            <w:color w:val="176575"/>
            <w:u w:val="single"/>
          </w:rPr>
          <w:t>R083</w:t>
        </w:r>
      </w:hyperlink>
    </w:p>
    <w:p>
      <w:r>
        <w:rPr>
          <w:b w:val="0"/>
        </w:rPr>
      </w:r>
      <w:r>
        <w:rPr>
          <w:b/>
        </w:rPr>
        <w:t>Старое произведение — современный аппарат.</w:t>
      </w:r>
      <w:r>
        <w:rPr>
          <w:b w:val="0"/>
        </w:rPr>
        <w:t xml:space="preserve"> У Кассиодора и Марциана защищённый критический слой может быть лучшей научной основой и одновременно неподходящим источником для свободного зеркала. У Боэция отдельно различаются исторический том 1918 и позднейшие переработки; у Чосера дата позднего стереотипного воспроизведения не приравнена автоматически к появлению нового перевода. Вывод о правах всегда привязан к установленной версии, а не только к фамилии автора.</w:t>
      </w:r>
    </w:p>
    <w:p>
      <w:pPr>
        <w:pStyle w:val="Source"/>
      </w:pPr>
      <w:r>
        <w:t xml:space="preserve">Источники: </w:t>
      </w:r>
      <w:hyperlink r:id="rId43">
        <w:r>
          <w:rPr>
            <w:color w:val="176575"/>
            <w:u w:val="single"/>
          </w:rPr>
          <w:t>R001</w:t>
        </w:r>
      </w:hyperlink>
      <w:r>
        <w:t xml:space="preserve">  ·  </w:t>
      </w:r>
      <w:hyperlink r:id="rId51">
        <w:r>
          <w:rPr>
            <w:color w:val="176575"/>
            <w:u w:val="single"/>
          </w:rPr>
          <w:t>R007</w:t>
        </w:r>
      </w:hyperlink>
      <w:r>
        <w:t xml:space="preserve">  ·  </w:t>
      </w:r>
      <w:hyperlink r:id="rId53">
        <w:r>
          <w:rPr>
            <w:color w:val="176575"/>
            <w:u w:val="single"/>
          </w:rPr>
          <w:t>R037</w:t>
        </w:r>
      </w:hyperlink>
      <w:r>
        <w:t xml:space="preserve">  ·  </w:t>
      </w:r>
      <w:hyperlink r:id="rId26">
        <w:r>
          <w:rPr>
            <w:color w:val="176575"/>
            <w:u w:val="single"/>
          </w:rPr>
          <w:t>R045</w:t>
        </w:r>
      </w:hyperlink>
      <w:r>
        <w:t xml:space="preserve">  ·  </w:t>
      </w:r>
      <w:hyperlink r:id="rId42">
        <w:r>
          <w:rPr>
            <w:color w:val="176575"/>
            <w:u w:val="single"/>
          </w:rPr>
          <w:t>R076</w:t>
        </w:r>
      </w:hyperlink>
    </w:p>
    <w:p>
      <w:r>
        <w:rPr>
          <w:b w:val="0"/>
        </w:rPr>
      </w:r>
      <w:r>
        <w:rPr>
          <w:b/>
        </w:rPr>
        <w:t>Полный файл — не полный корпус.</w:t>
      </w:r>
      <w:r>
        <w:rPr>
          <w:b w:val="0"/>
        </w:rPr>
        <w:t xml:space="preserve"> Volume 1 у Исидора, часть издания Присциана, отдельный том Periphyseon, первая часть Clavis и один научный том Беды не объявлены полными собраниями. Полный PDF NPNF может содержать несколько произведений: число страниц файла не является объёмом De Trinitate. Каталожное название Opera omnia не отменяет spuria и не гарантирует современного состава. Даже исправный IIIF Manifest не доказывает наличие всех разворотов, схем и вклеек.</w:t>
      </w:r>
    </w:p>
    <w:p>
      <w:pPr>
        <w:pStyle w:val="Source"/>
      </w:pPr>
      <w:r>
        <w:t xml:space="preserve">Источники: </w:t>
      </w:r>
      <w:hyperlink r:id="rId55">
        <w:r>
          <w:rPr>
            <w:color w:val="176575"/>
            <w:u w:val="single"/>
          </w:rPr>
          <w:t>R010</w:t>
        </w:r>
      </w:hyperlink>
      <w:r>
        <w:t xml:space="preserve">  ·  </w:t>
      </w:r>
      <w:hyperlink r:id="rId78">
        <w:r>
          <w:rPr>
            <w:color w:val="176575"/>
            <w:u w:val="single"/>
          </w:rPr>
          <w:t>R020</w:t>
        </w:r>
      </w:hyperlink>
      <w:r>
        <w:t xml:space="preserve">  ·  </w:t>
      </w:r>
      <w:hyperlink r:id="rId79">
        <w:r>
          <w:rPr>
            <w:color w:val="176575"/>
            <w:u w:val="single"/>
          </w:rPr>
          <w:t>R021</w:t>
        </w:r>
      </w:hyperlink>
      <w:r>
        <w:t xml:space="preserve">  ·  </w:t>
      </w:r>
      <w:hyperlink r:id="rId84">
        <w:r>
          <w:rPr>
            <w:color w:val="176575"/>
            <w:u w:val="single"/>
          </w:rPr>
          <w:t>R026</w:t>
        </w:r>
      </w:hyperlink>
      <w:r>
        <w:t xml:space="preserve">  ·  </w:t>
      </w:r>
      <w:hyperlink r:id="rId40">
        <w:r>
          <w:rPr>
            <w:color w:val="176575"/>
            <w:u w:val="single"/>
          </w:rPr>
          <w:t>R052</w:t>
        </w:r>
      </w:hyperlink>
      <w:r>
        <w:t xml:space="preserve">  ·  </w:t>
      </w:r>
      <w:hyperlink r:id="rId20">
        <w:r>
          <w:rPr>
            <w:color w:val="176575"/>
            <w:u w:val="single"/>
          </w:rPr>
          <w:t>R057</w:t>
        </w:r>
      </w:hyperlink>
      <w:r>
        <w:t xml:space="preserve">  ·  </w:t>
      </w:r>
      <w:hyperlink r:id="rId22">
        <w:r>
          <w:rPr>
            <w:color w:val="176575"/>
            <w:u w:val="single"/>
          </w:rPr>
          <w:t>R064</w:t>
        </w:r>
      </w:hyperlink>
      <w:r>
        <w:t xml:space="preserve">  ·  </w:t>
      </w:r>
      <w:hyperlink r:id="rId32">
        <w:r>
          <w:rPr>
            <w:color w:val="176575"/>
            <w:u w:val="single"/>
          </w:rPr>
          <w:t>R073</w:t>
        </w:r>
      </w:hyperlink>
      <w:r>
        <w:t xml:space="preserve">  ·  </w:t>
      </w:r>
      <w:hyperlink r:id="rId33">
        <w:r>
          <w:rPr>
            <w:color w:val="176575"/>
            <w:u w:val="single"/>
          </w:rPr>
          <w:t>R077</w:t>
        </w:r>
      </w:hyperlink>
    </w:p>
    <w:p>
      <w:r>
        <w:rPr>
          <w:b w:val="0"/>
        </w:rPr>
      </w:r>
      <w:r>
        <w:rPr>
          <w:b/>
        </w:rPr>
        <w:t>Транскрипция и реконструкция различаются.</w:t>
      </w:r>
      <w:r>
        <w:rPr>
          <w:b w:val="0"/>
        </w:rPr>
        <w:t xml:space="preserve"> Собственный набор читаемого текста публичнодоменного свидетеля не равен воспроизведению современной реконструкции утраченных мест. Это особенно важно для глосс, повреждённого комментария Эриугены к Иоанну и восьмистрочного остатка Categoriae decem. Рукописный сборник также не доказывает единого автора всех приписок.</w:t>
      </w:r>
    </w:p>
    <w:p>
      <w:pPr>
        <w:pStyle w:val="Source"/>
      </w:pPr>
      <w:r>
        <w:t xml:space="preserve">Источники: </w:t>
      </w:r>
      <w:hyperlink r:id="rId11">
        <w:r>
          <w:rPr>
            <w:color w:val="176575"/>
            <w:u w:val="single"/>
          </w:rPr>
          <w:t>R029</w:t>
        </w:r>
      </w:hyperlink>
      <w:r>
        <w:t xml:space="preserve">  ·  </w:t>
      </w:r>
      <w:hyperlink r:id="rId16">
        <w:r>
          <w:rPr>
            <w:color w:val="176575"/>
            <w:u w:val="single"/>
          </w:rPr>
          <w:t>R050</w:t>
        </w:r>
      </w:hyperlink>
      <w:r>
        <w:t xml:space="preserve">  ·  </w:t>
      </w:r>
      <w:hyperlink r:id="rId91">
        <w:r>
          <w:rPr>
            <w:color w:val="176575"/>
            <w:u w:val="single"/>
          </w:rPr>
          <w:t>R060</w:t>
        </w:r>
      </w:hyperlink>
      <w:r>
        <w:t xml:space="preserve">  ·  </w:t>
      </w:r>
      <w:hyperlink r:id="rId21">
        <w:r>
          <w:rPr>
            <w:color w:val="176575"/>
            <w:u w:val="single"/>
          </w:rPr>
          <w:t>R061</w:t>
        </w:r>
      </w:hyperlink>
      <w:r>
        <w:t xml:space="preserve">  ·  </w:t>
      </w:r>
      <w:hyperlink r:id="rId92">
        <w:r>
          <w:rPr>
            <w:color w:val="176575"/>
            <w:u w:val="single"/>
          </w:rPr>
          <w:t>R062</w:t>
        </w:r>
      </w:hyperlink>
      <w:r>
        <w:t xml:space="preserve">  ·  </w:t>
      </w:r>
      <w:hyperlink r:id="rId94">
        <w:r>
          <w:rPr>
            <w:color w:val="176575"/>
            <w:u w:val="single"/>
          </w:rPr>
          <w:t>R082</w:t>
        </w:r>
      </w:hyperlink>
    </w:p>
    <w:p>
      <w:r>
        <w:rPr>
          <w:b w:val="0"/>
        </w:rPr>
      </w:r>
      <w:r>
        <w:rPr>
          <w:b/>
        </w:rPr>
        <w:t>Доступ и проверенность различаются.</w:t>
      </w:r>
      <w:r>
        <w:rPr>
          <w:b w:val="0"/>
        </w:rPr>
        <w:t xml:space="preserve"> Верификация карточки с download-кнопкой не обозначена как полученный PDF. Временная ошибка 403, пустая JavaScript-оболочка или превышение размера файла не превращены в утверждение «объект не существует». И наоборот, найденный в поиске заголовок без открытой институциональной страницы не служит доказательством прав. Для международного публичного проекта сохраняется отдельная юрисдикционная проверка исторических PD-изданий.</w:t>
      </w:r>
    </w:p>
    <w:p>
      <w:pPr>
        <w:pStyle w:val="Source"/>
      </w:pPr>
      <w:r>
        <w:t xml:space="preserve">Источники: </w:t>
      </w:r>
      <w:hyperlink r:id="rId45">
        <w:r>
          <w:rPr>
            <w:color w:val="176575"/>
            <w:u w:val="single"/>
          </w:rPr>
          <w:t>R003</w:t>
        </w:r>
      </w:hyperlink>
      <w:r>
        <w:t xml:space="preserve">  ·  </w:t>
      </w:r>
      <w:hyperlink r:id="rId55">
        <w:r>
          <w:rPr>
            <w:color w:val="176575"/>
            <w:u w:val="single"/>
          </w:rPr>
          <w:t>R010</w:t>
        </w:r>
      </w:hyperlink>
      <w:r>
        <w:t xml:space="preserve">  ·  </w:t>
      </w:r>
      <w:hyperlink r:id="rId62">
        <w:r>
          <w:rPr>
            <w:color w:val="176575"/>
            <w:u w:val="single"/>
          </w:rPr>
          <w:t>R030</w:t>
        </w:r>
      </w:hyperlink>
      <w:r>
        <w:t xml:space="preserve">  ·  </w:t>
      </w:r>
      <w:hyperlink r:id="rId37">
        <w:r>
          <w:rPr>
            <w:color w:val="176575"/>
            <w:u w:val="single"/>
          </w:rPr>
          <w:t>R032</w:t>
        </w:r>
      </w:hyperlink>
      <w:r>
        <w:t xml:space="preserve">  ·  </w:t>
      </w:r>
      <w:hyperlink r:id="rId90">
        <w:r>
          <w:rPr>
            <w:color w:val="176575"/>
            <w:u w:val="single"/>
          </w:rPr>
          <w:t>R053</w:t>
        </w:r>
      </w:hyperlink>
      <w:r>
        <w:t xml:space="preserve">  ·  </w:t>
      </w:r>
      <w:hyperlink r:id="rId93">
        <w:r>
          <w:rPr>
            <w:color w:val="176575"/>
            <w:u w:val="single"/>
          </w:rPr>
          <w:t>R063</w:t>
        </w:r>
      </w:hyperlink>
      <w:r>
        <w:t xml:space="preserve">  ·  </w:t>
      </w:r>
      <w:hyperlink r:id="rId22">
        <w:r>
          <w:rPr>
            <w:color w:val="176575"/>
            <w:u w:val="single"/>
          </w:rPr>
          <w:t>R064</w:t>
        </w:r>
      </w:hyperlink>
      <w:r>
        <w:t xml:space="preserve">  ·  </w:t>
      </w:r>
      <w:hyperlink r:id="rId34">
        <w:r>
          <w:rPr>
            <w:color w:val="176575"/>
            <w:u w:val="single"/>
          </w:rPr>
          <w:t>R078</w:t>
        </w:r>
      </w:hyperlink>
    </w:p>
    <w:p>
      <w:pPr>
        <w:pStyle w:val="Heading1"/>
      </w:pPr>
      <w:r>
        <w:t>6. Пробелы и дальнейший поиск</w:t>
      </w:r>
    </w:p>
    <w:p>
      <w:r>
        <w:rPr>
          <w:b w:val="0"/>
        </w:rPr>
        <w:t xml:space="preserve">Лист </w:t>
      </w:r>
      <w:r>
        <w:rPr>
          <w:b/>
        </w:rPr>
        <w:t>gaps</w:t>
      </w:r>
      <w:r>
        <w:rPr>
          <w:b w:val="0"/>
        </w:rPr>
        <w:t xml:space="preserve"> содержит 24 конкретные позиции. Это перечень не завершённых поисков, недоступных интерфейсов, неустановленных прав и непроверенных кандидатов; он не является списком отсутствующих произведений. Основные ограничения — неполная проверка современных критических комплектов, неохваченные прямые комментарии, доступ к изображениям и отсутствие подтверждённых bulk/TEI-лицензий крупных агрегаторов. Следующие восемь направлений дают наибольший практический прирост.</w:t>
      </w:r>
    </w:p>
    <w:p>
      <w:pPr>
        <w:pStyle w:val="Heading2"/>
      </w:pPr>
      <w:r>
        <w:t>1. Боэциевская логика и прямая рецепция</w:t>
      </w:r>
    </w:p>
    <w:p>
      <w:r>
        <w:rPr>
          <w:b w:val="0"/>
        </w:rPr>
        <w:t>G003, G016–G020: завершить item-level поиск Aristoteles Latinus и Lutz для осерского слоя; найти проверенные издания древнеанглийского Boethius, Ноткера Лабеона, Жана де Мёна и Тривета. Отдельно проверить комментарии Гильберта, Тьерри и Logica Ingredientibus Абеляра именно по связи с унаследованной логикой и Opuscula, а не включать всё творчество этих авторов. G017 — непроверенный цифровой кандидат Cod. Sang. 825; не смешивать Ноткера Лабеона с Ноткером Заикой. G020 — русский De fide catholica, обнаруженный в официальной выдаче ИФ РАН, но без полученного PDF.</w:t>
      </w:r>
    </w:p>
    <w:p>
      <w:pPr>
        <w:pStyle w:val="Heading2"/>
      </w:pPr>
      <w:r>
        <w:t>2. Полный Эриугена и его переводы</w:t>
      </w:r>
    </w:p>
    <w:p>
      <w:r>
        <w:rPr>
          <w:b w:val="0"/>
        </w:rPr>
        <w:t>G010–G011, G021: довести до конкретных карточек и режимов доступа книги II, IV и V Jeauneau и полный английский комплект Sheldon-Williams / O’Meara. Для De imagine получить цифровой свидетель Bamberg Patr. 78, ff. 88–114, подтверждённый библиографией CELT; каталоговая JavaScript-оболочка не дала проверенных изображений. Русский фрагмент Periphyseon в переводе В. В. Петрова библиографически подтверждён, но пригодный законный полный цифровой вход в эту публикацию не установлен.</w:t>
      </w:r>
    </w:p>
    <w:p>
      <w:pPr>
        <w:pStyle w:val="Source"/>
      </w:pPr>
      <w:r>
        <w:t xml:space="preserve">Источники: </w:t>
      </w:r>
      <w:hyperlink r:id="rId78">
        <w:r>
          <w:rPr>
            <w:color w:val="176575"/>
            <w:u w:val="single"/>
          </w:rPr>
          <w:t>R020</w:t>
        </w:r>
      </w:hyperlink>
      <w:r>
        <w:t xml:space="preserve">  ·  </w:t>
      </w:r>
      <w:hyperlink r:id="rId79">
        <w:r>
          <w:rPr>
            <w:color w:val="176575"/>
            <w:u w:val="single"/>
          </w:rPr>
          <w:t>R021</w:t>
        </w:r>
      </w:hyperlink>
      <w:r>
        <w:t xml:space="preserve">  ·  </w:t>
      </w:r>
      <w:hyperlink r:id="rId80">
        <w:r>
          <w:rPr>
            <w:color w:val="176575"/>
            <w:u w:val="single"/>
          </w:rPr>
          <w:t>R022</w:t>
        </w:r>
      </w:hyperlink>
      <w:r>
        <w:t xml:space="preserve">  ·  </w:t>
      </w:r>
      <w:hyperlink r:id="rId35">
        <w:r>
          <w:rPr>
            <w:color w:val="176575"/>
            <w:u w:val="single"/>
          </w:rPr>
          <w:t>R079</w:t>
        </w:r>
      </w:hyperlink>
      <w:r>
        <w:t xml:space="preserve">  ·  </w:t>
      </w:r>
      <w:hyperlink r:id="rId36">
        <w:r>
          <w:rPr>
            <w:color w:val="176575"/>
            <w:u w:val="single"/>
          </w:rPr>
          <w:t>R081</w:t>
        </w:r>
      </w:hyperlink>
    </w:p>
    <w:p>
      <w:pPr>
        <w:pStyle w:val="Heading2"/>
      </w:pPr>
      <w:r>
        <w:t>3. Спор о предопределении без замены антологией</w:t>
      </w:r>
    </w:p>
    <w:p>
      <w:r>
        <w:rPr>
          <w:b w:val="0"/>
        </w:rPr>
        <w:t>G012–G014: получить полные тексты ответов Пруденция и Флора на Эриугену, произведения Ратрамна и корпус Готшалька в Lambot 1945. Переводная антология R055 полезна, но не заменяет все первичные трактаты участников. Проверять отдельно сохранивший цитаты свидетель BnF lat. 2445 и атрибуцию текстов De anima / De praedestinatione Ратрамна. Отсутствие полученного полного файла не означает отсутствия первичного произведения.</w:t>
      </w:r>
    </w:p>
    <w:p>
      <w:pPr>
        <w:pStyle w:val="Source"/>
      </w:pPr>
      <w:r>
        <w:t xml:space="preserve">Источники: </w:t>
      </w:r>
      <w:hyperlink r:id="rId81">
        <w:r>
          <w:rPr>
            <w:color w:val="176575"/>
            <w:u w:val="single"/>
          </w:rPr>
          <w:t>R023</w:t>
        </w:r>
      </w:hyperlink>
      <w:r>
        <w:t xml:space="preserve">  ·  </w:t>
      </w:r>
      <w:hyperlink r:id="rId82">
        <w:r>
          <w:rPr>
            <w:color w:val="176575"/>
            <w:u w:val="single"/>
          </w:rPr>
          <w:t>R024</w:t>
        </w:r>
      </w:hyperlink>
      <w:r>
        <w:t xml:space="preserve">  ·  </w:t>
      </w:r>
      <w:hyperlink r:id="rId17">
        <w:r>
          <w:rPr>
            <w:color w:val="176575"/>
            <w:u w:val="single"/>
          </w:rPr>
          <w:t>R054</w:t>
        </w:r>
      </w:hyperlink>
      <w:r>
        <w:t xml:space="preserve">  ·  </w:t>
      </w:r>
      <w:hyperlink r:id="rId18">
        <w:r>
          <w:rPr>
            <w:color w:val="176575"/>
            <w:u w:val="single"/>
          </w:rPr>
          <w:t>R055</w:t>
        </w:r>
      </w:hyperlink>
      <w:r>
        <w:t xml:space="preserve">  ·  </w:t>
      </w:r>
      <w:hyperlink r:id="rId36">
        <w:r>
          <w:rPr>
            <w:color w:val="176575"/>
            <w:u w:val="single"/>
          </w:rPr>
          <w:t>R081</w:t>
        </w:r>
      </w:hyperlink>
    </w:p>
    <w:p>
      <w:pPr>
        <w:pStyle w:val="Heading2"/>
      </w:pPr>
      <w:r>
        <w:t>4. Энциклопедии, библиотечное руководство и словари</w:t>
      </w:r>
    </w:p>
    <w:p>
      <w:r>
        <w:rPr>
          <w:b w:val="0"/>
        </w:rPr>
        <w:t>G004–G009: найти вторую часть Clavis physicae, главы 316–529, перерабатывающую материал Periphyseon V; завершить латинский цифровой вход De universo в PL 111; получить действующее полное издание Liber glossarum и проверить сокращения, а не ограничиваться листом из Удине. Для Кассиодора остаются Expositio Psalmorum и De orthographia; для Исидора — Differentiae, Synonyma и De ecclesiasticis officiis. Последние — конкретные кандидаты близкой школьной семьи, но не новые установленные полнотекстовые находки этого запуска.</w:t>
      </w:r>
    </w:p>
    <w:p>
      <w:pPr>
        <w:pStyle w:val="Source"/>
      </w:pPr>
      <w:r>
        <w:t xml:space="preserve">Источники: </w:t>
      </w:r>
      <w:hyperlink r:id="rId74">
        <w:r>
          <w:rPr>
            <w:color w:val="176575"/>
            <w:u w:val="single"/>
          </w:rPr>
          <w:t>R040</w:t>
        </w:r>
      </w:hyperlink>
      <w:r>
        <w:t xml:space="preserve">  ·  </w:t>
      </w:r>
      <w:hyperlink r:id="rId75">
        <w:r>
          <w:rPr>
            <w:color w:val="176575"/>
            <w:u w:val="single"/>
          </w:rPr>
          <w:t>R041</w:t>
        </w:r>
      </w:hyperlink>
      <w:r>
        <w:t xml:space="preserve">  ·  </w:t>
      </w:r>
      <w:hyperlink r:id="rId38">
        <w:r>
          <w:rPr>
            <w:color w:val="176575"/>
            <w:u w:val="single"/>
          </w:rPr>
          <w:t>R042</w:t>
        </w:r>
      </w:hyperlink>
      <w:r>
        <w:t xml:space="preserve">  ·  </w:t>
      </w:r>
      <w:hyperlink r:id="rId40">
        <w:r>
          <w:rPr>
            <w:color w:val="176575"/>
            <w:u w:val="single"/>
          </w:rPr>
          <w:t>R052</w:t>
        </w:r>
      </w:hyperlink>
      <w:r>
        <w:t xml:space="preserve">  ·  </w:t>
      </w:r>
      <w:hyperlink r:id="rId23">
        <w:r>
          <w:rPr>
            <w:color w:val="176575"/>
            <w:u w:val="single"/>
          </w:rPr>
          <w:t>R069</w:t>
        </w:r>
      </w:hyperlink>
    </w:p>
    <w:p>
      <w:pPr>
        <w:pStyle w:val="Heading2"/>
      </w:pPr>
      <w:r>
        <w:t>5. Computus и математическая школьность</w:t>
      </w:r>
    </w:p>
    <w:p>
      <w:r>
        <w:rPr>
          <w:b w:val="0"/>
        </w:rPr>
        <w:t>G002, G015: установить точный свободный или библиотечный вход Bedae opera de temporibus, Jones 1943; продолжить поиск Гербертовой Geometria, абакусных текстов и Computus Аббона с контролем авторства. Проверенные De computo Храбана и карточка Хельперика уже показывают прямое продолжение календарного корпуса, но не исчерпывают его. Для Беды дополнительно нужны реальные изображения заявленных оцифровок BL и проверка таблиц, не только линейного текста.</w:t>
      </w:r>
    </w:p>
    <w:p>
      <w:pPr>
        <w:pStyle w:val="Source"/>
      </w:pPr>
      <w:r>
        <w:t xml:space="preserve">Источники: </w:t>
      </w:r>
      <w:hyperlink r:id="rId88">
        <w:r>
          <w:rPr>
            <w:color w:val="176575"/>
            <w:u w:val="single"/>
          </w:rPr>
          <w:t>R028</w:t>
        </w:r>
      </w:hyperlink>
      <w:r>
        <w:t xml:space="preserve">  ·  </w:t>
      </w:r>
      <w:hyperlink r:id="rId62">
        <w:r>
          <w:rPr>
            <w:color w:val="176575"/>
            <w:u w:val="single"/>
          </w:rPr>
          <w:t>R030</w:t>
        </w:r>
      </w:hyperlink>
      <w:r>
        <w:t xml:space="preserve">  ·  </w:t>
      </w:r>
      <w:hyperlink r:id="rId63">
        <w:r>
          <w:rPr>
            <w:color w:val="176575"/>
            <w:u w:val="single"/>
          </w:rPr>
          <w:t>R031</w:t>
        </w:r>
      </w:hyperlink>
      <w:r>
        <w:t xml:space="preserve">  ·  </w:t>
      </w:r>
      <w:hyperlink r:id="rId37">
        <w:r>
          <w:rPr>
            <w:color w:val="176575"/>
            <w:u w:val="single"/>
          </w:rPr>
          <w:t>R032</w:t>
        </w:r>
      </w:hyperlink>
      <w:r>
        <w:t xml:space="preserve">  ·  </w:t>
      </w:r>
      <w:hyperlink r:id="rId89">
        <w:r>
          <w:rPr>
            <w:color w:val="176575"/>
            <w:u w:val="single"/>
          </w:rPr>
          <w:t>R036</w:t>
        </w:r>
      </w:hyperlink>
      <w:r>
        <w:t xml:space="preserve">  ·  </w:t>
      </w:r>
      <w:hyperlink r:id="rId19">
        <w:r>
          <w:rPr>
            <w:color w:val="176575"/>
            <w:u w:val="single"/>
          </w:rPr>
          <w:t>R056</w:t>
        </w:r>
      </w:hyperlink>
      <w:r>
        <w:t xml:space="preserve">  ·  </w:t>
      </w:r>
      <w:hyperlink r:id="rId22">
        <w:r>
          <w:rPr>
            <w:color w:val="176575"/>
            <w:u w:val="single"/>
          </w:rPr>
          <w:t>R064</w:t>
        </w:r>
      </w:hyperlink>
    </w:p>
    <w:p>
      <w:pPr>
        <w:pStyle w:val="Heading2"/>
      </w:pPr>
      <w:r>
        <w:t>6. Музыка, арифметика и их непосредственные источники</w:t>
      </w:r>
    </w:p>
    <w:p>
      <w:r>
        <w:rPr>
          <w:b w:val="0"/>
        </w:rPr>
        <w:t>G001, G022–G023: восстановить официальный действующий доступ TML к Боэцию, Musica enchiriadis, Аврелиану, Хукбальду и Micrologus Гвидо. Старые университетские адреса и проверенные новые варианты дали ошибки; редирект на неидентифицированный Hostinger-домен исключён из рекомендуемых путей. Никомах, Макробий и Халкидий оставлены для точной проверки конкретных заимствований и изданий: принадлежность поздней Античности сама по себе недостаточна.</w:t>
      </w:r>
    </w:p>
    <w:p>
      <w:pPr>
        <w:pStyle w:val="Source"/>
      </w:pPr>
      <w:r>
        <w:t xml:space="preserve">Источники: </w:t>
      </w:r>
      <w:hyperlink r:id="rId14">
        <w:r>
          <w:rPr>
            <w:color w:val="176575"/>
            <w:u w:val="single"/>
          </w:rPr>
          <w:t>R043</w:t>
        </w:r>
      </w:hyperlink>
    </w:p>
    <w:p>
      <w:pPr>
        <w:pStyle w:val="Heading2"/>
      </w:pPr>
      <w:r>
        <w:t>7. Машиночитаемые корпуса и component-level лицензии</w:t>
      </w:r>
    </w:p>
    <w:p>
      <w:r>
        <w:rPr>
          <w:b w:val="0"/>
        </w:rPr>
        <w:t>G007, G024: найти конкретные openMGH TEI-релизы с составом и LICENSE, а не выводить их доступность из dMGH BookReader. Для Corpus Corporum нужны item-level версии, происхождение редакций и отдельные разрешения на транскрипции. Для e-codices и BnF проверить актуальные API/OAI/bulk-режимы, ограничения нагрузки и права выбранных объектов. Полученные IIIF Manifest для отдельных свидетелей и проверенные XML Perseus — уже полезные входы, но не доказательство лицензии всего агрегатора.</w:t>
      </w:r>
    </w:p>
    <w:p>
      <w:pPr>
        <w:pStyle w:val="Source"/>
      </w:pPr>
      <w:r>
        <w:t xml:space="preserve">Источники: </w:t>
      </w:r>
      <w:hyperlink r:id="rId50">
        <w:r>
          <w:rPr>
            <w:color w:val="176575"/>
            <w:u w:val="single"/>
          </w:rPr>
          <w:t>R004</w:t>
        </w:r>
      </w:hyperlink>
      <w:r>
        <w:t xml:space="preserve">  ·  </w:t>
      </w:r>
      <w:hyperlink r:id="rId86">
        <w:r>
          <w:rPr>
            <w:color w:val="176575"/>
            <w:u w:val="single"/>
          </w:rPr>
          <w:t>R005</w:t>
        </w:r>
      </w:hyperlink>
      <w:r>
        <w:t xml:space="preserve">  ·  </w:t>
      </w:r>
      <w:hyperlink r:id="rId87">
        <w:r>
          <w:rPr>
            <w:color w:val="176575"/>
            <w:u w:val="single"/>
          </w:rPr>
          <w:t>R006</w:t>
        </w:r>
      </w:hyperlink>
      <w:r>
        <w:t xml:space="preserve">  ·  </w:t>
      </w:r>
      <w:hyperlink r:id="rId11">
        <w:r>
          <w:rPr>
            <w:color w:val="176575"/>
            <w:u w:val="single"/>
          </w:rPr>
          <w:t>R029</w:t>
        </w:r>
      </w:hyperlink>
      <w:r>
        <w:t xml:space="preserve">  ·  </w:t>
      </w:r>
      <w:hyperlink r:id="rId91">
        <w:r>
          <w:rPr>
            <w:color w:val="176575"/>
            <w:u w:val="single"/>
          </w:rPr>
          <w:t>R060</w:t>
        </w:r>
      </w:hyperlink>
      <w:r>
        <w:t xml:space="preserve">  ·  </w:t>
      </w:r>
      <w:hyperlink r:id="rId46">
        <w:r>
          <w:rPr>
            <w:color w:val="176575"/>
            <w:u w:val="single"/>
          </w:rPr>
          <w:t>R065</w:t>
        </w:r>
      </w:hyperlink>
      <w:r>
        <w:t xml:space="preserve">  ·  </w:t>
      </w:r>
      <w:hyperlink r:id="rId47">
        <w:r>
          <w:rPr>
            <w:color w:val="176575"/>
            <w:u w:val="single"/>
          </w:rPr>
          <w:t>R066</w:t>
        </w:r>
      </w:hyperlink>
      <w:r>
        <w:t xml:space="preserve">  ·  </w:t>
      </w:r>
      <w:hyperlink r:id="rId97">
        <w:r>
          <w:rPr>
            <w:color w:val="176575"/>
            <w:u w:val="single"/>
          </w:rPr>
          <w:t>R083</w:t>
        </w:r>
      </w:hyperlink>
    </w:p>
    <w:p>
      <w:pPr>
        <w:pStyle w:val="Heading2"/>
      </w:pPr>
      <w:r>
        <w:t>8. Изображения и качество крупных сканов</w:t>
      </w:r>
    </w:p>
    <w:p>
      <w:r>
        <w:rPr>
          <w:b w:val="0"/>
        </w:rPr>
        <w:t>Повторно открыть ORA, Gallica для BnF lat. 6734 и 7900A и новые BL-viewer/manifest; проверить факсимиле Casin. 132, полноту Isidore Volume 1 и Priscian Hertz, раскладные схемы Friedlein и точную печать PL 122. Часть официальных издательских страниц древнеанглийского Boethius блокировалась, поэтому сведения из поисковых подсказок не использованы для обещания доступа. Эти технические и текстологические проверки важнее добавления ещё одного общего портала.</w:t>
      </w:r>
    </w:p>
    <w:p>
      <w:pPr>
        <w:pStyle w:val="Source"/>
      </w:pPr>
      <w:r>
        <w:t xml:space="preserve">Источники: </w:t>
      </w:r>
      <w:hyperlink r:id="rId45">
        <w:r>
          <w:rPr>
            <w:color w:val="176575"/>
            <w:u w:val="single"/>
          </w:rPr>
          <w:t>R003</w:t>
        </w:r>
      </w:hyperlink>
      <w:r>
        <w:t xml:space="preserve">  ·  </w:t>
      </w:r>
      <w:hyperlink r:id="rId55">
        <w:r>
          <w:rPr>
            <w:color w:val="176575"/>
            <w:u w:val="single"/>
          </w:rPr>
          <w:t>R010</w:t>
        </w:r>
      </w:hyperlink>
      <w:r>
        <w:t xml:space="preserve">  ·  </w:t>
      </w:r>
      <w:hyperlink r:id="rId84">
        <w:r>
          <w:rPr>
            <w:color w:val="176575"/>
            <w:u w:val="single"/>
          </w:rPr>
          <w:t>R026</w:t>
        </w:r>
      </w:hyperlink>
      <w:r>
        <w:t xml:space="preserve">  ·  </w:t>
      </w:r>
      <w:hyperlink r:id="rId62">
        <w:r>
          <w:rPr>
            <w:color w:val="176575"/>
            <w:u w:val="single"/>
          </w:rPr>
          <w:t>R030</w:t>
        </w:r>
      </w:hyperlink>
      <w:r>
        <w:t xml:space="preserve">  ·  </w:t>
      </w:r>
      <w:hyperlink r:id="rId37">
        <w:r>
          <w:rPr>
            <w:color w:val="176575"/>
            <w:u w:val="single"/>
          </w:rPr>
          <w:t>R032</w:t>
        </w:r>
      </w:hyperlink>
      <w:r>
        <w:t xml:space="preserve">  ·  </w:t>
      </w:r>
      <w:hyperlink r:id="rId38">
        <w:r>
          <w:rPr>
            <w:color w:val="176575"/>
            <w:u w:val="single"/>
          </w:rPr>
          <w:t>R042</w:t>
        </w:r>
      </w:hyperlink>
      <w:r>
        <w:t xml:space="preserve">  ·  </w:t>
      </w:r>
      <w:hyperlink r:id="rId14">
        <w:r>
          <w:rPr>
            <w:color w:val="176575"/>
            <w:u w:val="single"/>
          </w:rPr>
          <w:t>R043</w:t>
        </w:r>
      </w:hyperlink>
      <w:r>
        <w:t xml:space="preserve">  ·  </w:t>
      </w:r>
      <w:hyperlink r:id="rId90">
        <w:r>
          <w:rPr>
            <w:color w:val="176575"/>
            <w:u w:val="single"/>
          </w:rPr>
          <w:t>R053</w:t>
        </w:r>
      </w:hyperlink>
      <w:r>
        <w:t xml:space="preserve">  ·  </w:t>
      </w:r>
      <w:hyperlink r:id="rId93">
        <w:r>
          <w:rPr>
            <w:color w:val="176575"/>
            <w:u w:val="single"/>
          </w:rPr>
          <w:t>R063</w:t>
        </w:r>
      </w:hyperlink>
      <w:r>
        <w:t xml:space="preserve">  ·  </w:t>
      </w:r>
      <w:hyperlink r:id="rId32">
        <w:r>
          <w:rPr>
            <w:color w:val="176575"/>
            <w:u w:val="single"/>
          </w:rPr>
          <w:t>R073</w:t>
        </w:r>
      </w:hyperlink>
    </w:p>
    <w:p>
      <w:r>
        <w:rPr>
          <w:b w:val="0"/>
        </w:rPr>
        <w:t>Поиск не заявляется исчерпывающим или достигшим насыщения: у этой строки обширная комментаторская и рукописная периферия. Приоритет отдан завершённым маршрутам к ядру, прямым членам текстовых семейств и документируемым линиям передачи. Полный список непроверенного сохранён в том же XLSX; защищённые, платные и каталожные пути не удалены ради более высокой доли «открытых» материалов.</w:t>
      </w:r>
    </w:p>
    <w:p>
      <w:pPr>
        <w:pStyle w:val="Heading1"/>
      </w:pPr>
      <w:r>
        <w:t>7. Итоговая оценка</w:t>
      </w:r>
    </w:p>
    <w:p>
      <w:r>
        <w:rPr>
          <w:b w:val="0"/>
        </w:rPr>
      </w:r>
      <w:r>
        <w:rPr>
          <w:b/>
        </w:rPr>
        <w:t>Покрытие корпуса — сильное на уровне главных функциональных групп, неравномерное на уровне критических редакций и каждого свидетеля.</w:t>
      </w:r>
      <w:r>
        <w:rPr>
          <w:b w:val="0"/>
        </w:rPr>
        <w:t xml:space="preserve"> Все основные группы исходного DR имеют хотя бы один путь доступа; названные, но не доведённые до надёжного цифрового объекта произведения вынесены в gaps. Прямое расширение назад и вперёд выполнено без изменения исторических границ мастер-строки.</w:t>
      </w:r>
    </w:p>
    <w:p>
      <w:r>
        <w:rPr>
          <w:b w:val="0"/>
        </w:rPr>
      </w:r>
      <w:r>
        <w:rPr>
          <w:b/>
        </w:rPr>
        <w:t>Оригиналы доступны главным образом через старую латинскую печать, университетские транскрипции и отдельные рукописи.</w:t>
      </w:r>
      <w:r>
        <w:rPr>
          <w:b w:val="0"/>
        </w:rPr>
        <w:t xml:space="preserve"> Современные критические издания часто лучше для филологической работы, но остаются защищёнными и требуют покупки или институционального доступа. Английских законных маршрутов существенно больше, чем русских: для русского языка здесь подтверждены частичные журнальные переводы Исидора и официальный платный сборник Боэция, а не свободное собрание всех авторов.</w:t>
      </w:r>
    </w:p>
    <w:p>
      <w:r>
        <w:rPr>
          <w:b w:val="0"/>
        </w:rPr>
      </w:r>
      <w:r>
        <w:rPr>
          <w:b/>
        </w:rPr>
        <w:t>Самый свободный проверенный слой</w:t>
      </w:r>
      <w:r>
        <w:rPr>
          <w:b w:val="0"/>
        </w:rPr>
        <w:t xml:space="preserve"> — издание ранних глосс с CC BY 4.0, отдельные XML Consolatio с CC BY-SA 4.0, изображения Köln 110 с CC BY-NC 4.0 и малый публичнодоменный фрагмент Лёвена. Исторические PD-издания расширяют возможности, но международная применимость и цифровая оболочка требуют отдельного контроля. Главные ограничения сосредоточены в современной критической реконструкции, переводах, смешанных правах и недоступных изображениях.</w:t>
      </w:r>
    </w:p>
    <w:p>
      <w:r>
        <w:rPr>
          <w:b w:val="0"/>
        </w:rPr>
      </w:r>
      <w:r>
        <w:rPr>
          <w:b/>
        </w:rPr>
        <w:t>Пакет пригоден для передачи Codex как исследовательский реестр, но не как безусловный список для автоматического зеркалирования.</w:t>
      </w:r>
      <w:r>
        <w:rPr>
          <w:b w:val="0"/>
        </w:rPr>
        <w:t xml:space="preserve"> Каждое действие должно учитывать одновременно coverage, verification_status, rights_scope, rights_evidence_url и notes. Следующий инженерный этап может нормализовать произведения и версии, но не должен превращать положительный тег одной части в разрешение на весь корпус. Исходный DR не изменён; итоговая поставка состоит только из настоящего отчёта и одного XLSX с registry и gaps.</w:t>
      </w:r>
    </w:p>
    <w:sectPr w:rsidR="00FC693F" w:rsidRPr="0006063C" w:rsidSect="00034616">
      <w:headerReference w:type="default" r:id="rId9"/>
      <w:footerReference w:type="default" r:id="rId10"/>
      <w:pgSz w:w="11906" w:h="16838"/>
      <w:pgMar w:top="1020" w:right="1020"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T2-21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ToS / Древо Софии     •     Corpus &amp; Rights Registry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243746"/>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5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765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Calibri" w:hAnsi="Calibri"/>
      <w:color w:val="1735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Calibri" w:hAnsi="Calibri"/>
      <w:i/>
      <w:iCs/>
      <w:color w:val="52728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line="240" w:lineRule="auto" w:after="140"/>
    </w:pPr>
    <w:rPr>
      <w:color w:val="456778"/>
      <w:sz w:val="18"/>
    </w:rPr>
  </w:style>
  <w:style w:type="paragraph" w:customStyle="1" w:styleId="Small">
    <w:name w:val="Small"/>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codices.unifr.ch/en/searchresult/list/one/csg/0882" TargetMode="External"/><Relationship Id="rId12" Type="http://schemas.openxmlformats.org/officeDocument/2006/relationships/hyperlink" Target="https://digital.dombibliothek-koeln.de/urn/urn:nbn:de:hbz:kn28-3-3220" TargetMode="External"/><Relationship Id="rId13" Type="http://schemas.openxmlformats.org/officeDocument/2006/relationships/hyperlink" Target="https://www.dmgh.de/mgh_epp_6/" TargetMode="External"/><Relationship Id="rId14" Type="http://schemas.openxmlformats.org/officeDocument/2006/relationships/hyperlink" Target="https://archive.org/details/aniciimanliitor01friegoog" TargetMode="External"/><Relationship Id="rId15" Type="http://schemas.openxmlformats.org/officeDocument/2006/relationships/hyperlink" Target="https://www.brepols.net/products/IS-9782503400716-1" TargetMode="External"/><Relationship Id="rId16" Type="http://schemas.openxmlformats.org/officeDocument/2006/relationships/hyperlink" Target="https://www.brepols.net/products/IS-9782503529141-1" TargetMode="External"/><Relationship Id="rId17" Type="http://schemas.openxmlformats.org/officeDocument/2006/relationships/hyperlink" Target="https://www.brepols.net/products/IS-9782503580395-1" TargetMode="External"/><Relationship Id="rId18" Type="http://schemas.openxmlformats.org/officeDocument/2006/relationships/hyperlink" Target="https://www.marquette.edu/mupress/MPTT47.shtml" TargetMode="External"/><Relationship Id="rId19" Type="http://schemas.openxmlformats.org/officeDocument/2006/relationships/hyperlink" Target="https://www.brepols.net/products/IS-9782503034416-1" TargetMode="External"/><Relationship Id="rId20" Type="http://schemas.openxmlformats.org/officeDocument/2006/relationships/hyperlink" Target="https://archive.org/details/patrologiaecurs25goog" TargetMode="External"/><Relationship Id="rId21" Type="http://schemas.openxmlformats.org/officeDocument/2006/relationships/hyperlink" Target="https://mmfc.be/ms/mmfc-16084" TargetMode="External"/><Relationship Id="rId22" Type="http://schemas.openxmlformats.org/officeDocument/2006/relationships/hyperlink" Target="https://books.google.com/books?id=QR4OAQAAIAAJ" TargetMode="External"/><Relationship Id="rId23" Type="http://schemas.openxmlformats.org/officeDocument/2006/relationships/hyperlink" Target="https://www.librideipatriarchi.it/en/books/liber-glossarum-1243/" TargetMode="External"/><Relationship Id="rId24" Type="http://schemas.openxmlformats.org/officeDocument/2006/relationships/hyperlink" Target="https://archive.org/details/patrologiaecurs16goog" TargetMode="External"/><Relationship Id="rId25" Type="http://schemas.openxmlformats.org/officeDocument/2006/relationships/hyperlink" Target="https://www.hs-augsburg.de/~harsch/Chronologia/Lspost04/Donatus/don_intr.html" TargetMode="External"/><Relationship Id="rId26" Type="http://schemas.openxmlformats.org/officeDocument/2006/relationships/hyperlink" Target="https://www.hs-augsburg.de/~harsch/Chronologia/Lspost05/Martianus/mar_nu00.html" TargetMode="External"/><Relationship Id="rId27" Type="http://schemas.openxmlformats.org/officeDocument/2006/relationships/hyperlink" Target="https://www.brepols.net/products/IS-9782503401812-1" TargetMode="External"/><Relationship Id="rId28" Type="http://schemas.openxmlformats.org/officeDocument/2006/relationships/hyperlink" Target="https://www.brepols.net/products/IS-9782503402215-1" TargetMode="External"/><Relationship Id="rId29" Type="http://schemas.openxmlformats.org/officeDocument/2006/relationships/hyperlink" Target="https://ccel.org/ccel/augustine/doctrine" TargetMode="External"/><Relationship Id="rId30" Type="http://schemas.openxmlformats.org/officeDocument/2006/relationships/hyperlink" Target="https://www.ccel.org/ccel/pearse/morefathers/files/areopagite_03_divine_names.htm" TargetMode="External"/><Relationship Id="rId31" Type="http://schemas.openxmlformats.org/officeDocument/2006/relationships/hyperlink" Target="https://www.ccel.org/ccel/pearse/morefathers/files/areopagite_13_heavenly_hierarchy.htm" TargetMode="External"/><Relationship Id="rId32" Type="http://schemas.openxmlformats.org/officeDocument/2006/relationships/hyperlink" Target="https://archive.org/details/priscianigramma00hertgoog" TargetMode="External"/><Relationship Id="rId33" Type="http://schemas.openxmlformats.org/officeDocument/2006/relationships/hyperlink" Target="https://ccel.org/ccel/schaff/npnf103.html" TargetMode="External"/><Relationship Id="rId34" Type="http://schemas.openxmlformats.org/officeDocument/2006/relationships/hyperlink" Target="https://ccel.org/ccel/schaff/npnf105.html" TargetMode="External"/><Relationship Id="rId35" Type="http://schemas.openxmlformats.org/officeDocument/2006/relationships/hyperlink" Target="https://www.ccel.org/ccel/schaff/npnf205.toc.html" TargetMode="External"/><Relationship Id="rId36" Type="http://schemas.openxmlformats.org/officeDocument/2006/relationships/hyperlink" Target="https://celt.ucc.ie/eriugenabibl.html" TargetMode="External"/><Relationship Id="rId37" Type="http://schemas.openxmlformats.org/officeDocument/2006/relationships/hyperlink" Target="https://searcharchives.bl.uk/catalog/040-002106741" TargetMode="External"/><Relationship Id="rId38" Type="http://schemas.openxmlformats.org/officeDocument/2006/relationships/hyperlink" Target="https://biblioteca.ucm.es/ghi/de-rerum-naturis" TargetMode="External"/><Relationship Id="rId39" Type="http://schemas.openxmlformats.org/officeDocument/2006/relationships/hyperlink" Target="https://www.brepols.net/products/IS-9782503045818-1" TargetMode="External"/><Relationship Id="rId40" Type="http://schemas.openxmlformats.org/officeDocument/2006/relationships/hyperlink" Target="https://wellcomecollection.org/works/ahk5n2wz" TargetMode="External"/><Relationship Id="rId41" Type="http://schemas.openxmlformats.org/officeDocument/2006/relationships/hyperlink" Target="https://cup.columbia.edu/book/the-didascalicon-of-hugh-of-saint-victor/9780231096300/" TargetMode="External"/><Relationship Id="rId42" Type="http://schemas.openxmlformats.org/officeDocument/2006/relationships/hyperlink" Target="https://www.gutenberg.org/ebooks/42083" TargetMode="External"/><Relationship Id="rId43" Type="http://schemas.openxmlformats.org/officeDocument/2006/relationships/hyperlink" Target="https://www.gutenberg.org/ebooks/13316" TargetMode="External"/><Relationship Id="rId44" Type="http://schemas.openxmlformats.org/officeDocument/2006/relationships/hyperlink" Target="https://www.repository.cam.ac.uk/items/e9dda709-3069-4eae-a5cd-d0a074f1dc20" TargetMode="External"/><Relationship Id="rId45" Type="http://schemas.openxmlformats.org/officeDocument/2006/relationships/hyperlink" Target="https://ora.ox.ac.uk/objects/uuid:d9ae7448-158e-4d69-a50a-e12fb151e10d" TargetMode="External"/><Relationship Id="rId46" Type="http://schemas.openxmlformats.org/officeDocument/2006/relationships/hyperlink" Target="https://github.com/PerseusDL/canonical-latinLit/blob/master/data/stoa0058/stoa001/stoa0058.stoa001.perseus-lat2.xml" TargetMode="External"/><Relationship Id="rId47" Type="http://schemas.openxmlformats.org/officeDocument/2006/relationships/hyperlink" Target="https://github.com/PerseusDL/canonical-latinLit/blob/master/data/stoa0058/stoa001/stoa0058.stoa001.perseus-eng1.xml" TargetMode="External"/><Relationship Id="rId48" Type="http://schemas.openxmlformats.org/officeDocument/2006/relationships/hyperlink" Target="https://urss.ru/cgi-bin/db.pl?lang=Ru&amp;blang=ru&amp;page=Book&amp;id=327120" TargetMode="External"/><Relationship Id="rId49" Type="http://schemas.openxmlformats.org/officeDocument/2006/relationships/hyperlink" Target="https://github.com/PerseusDL/canonical-latinLit/blob/master/license.md" TargetMode="External"/><Relationship Id="rId50" Type="http://schemas.openxmlformats.org/officeDocument/2006/relationships/hyperlink" Target="https://www.e-codices.unifr.ch/en/list/one/csg/0199" TargetMode="External"/><Relationship Id="rId51" Type="http://schemas.openxmlformats.org/officeDocument/2006/relationships/hyperlink" Target="https://www.hs-augsburg.de/~harsch/Chronologia/Lspost06/Cassiodorus/cas_in00.html" TargetMode="External"/><Relationship Id="rId52" Type="http://schemas.openxmlformats.org/officeDocument/2006/relationships/hyperlink" Target="https://www.jstor.org/stable/jj.38238733" TargetMode="External"/><Relationship Id="rId53" Type="http://schemas.openxmlformats.org/officeDocument/2006/relationships/hyperlink" Target="https://www.brepols.net/products/IS-9782503595894-1" TargetMode="External"/><Relationship Id="rId54" Type="http://schemas.openxmlformats.org/officeDocument/2006/relationships/hyperlink" Target="https://www.hs-augsburg.de/~harsch/Chronologia/Lspost07/Isidorus/isi_et00.html" TargetMode="External"/><Relationship Id="rId55" Type="http://schemas.openxmlformats.org/officeDocument/2006/relationships/hyperlink" Target="https://archive.org/details/isidori01isiduoft" TargetMode="External"/><Relationship Id="rId56" Type="http://schemas.openxmlformats.org/officeDocument/2006/relationships/hyperlink" Target="https://www.thelatinlibrary.com/isidore/sententiae1.shtml" TargetMode="External"/><Relationship Id="rId57" Type="http://schemas.openxmlformats.org/officeDocument/2006/relationships/hyperlink" Target="https://www.jstor.org/stable/jj.38238659" TargetMode="External"/><Relationship Id="rId58" Type="http://schemas.openxmlformats.org/officeDocument/2006/relationships/hyperlink" Target="https://roii.ru/publications/dialogue/article/71_46/pavlov_a.a./isidorus-hispalensis-etymologies-sive-origins-liber-v-de-legibus-et-temporibus" TargetMode="External"/><Relationship Id="rId59" Type="http://schemas.openxmlformats.org/officeDocument/2006/relationships/hyperlink" Target="https://roii.ru/publications/dialogue/article/61_24/pavlov_a.a./isidore-of-seville-etymology-or-beginnings-book-xi-translated-by-ndrey-a-pavlov" TargetMode="External"/><Relationship Id="rId60" Type="http://schemas.openxmlformats.org/officeDocument/2006/relationships/hyperlink" Target="https://books.google.com/books?id=3ep502syZv8C" TargetMode="External"/><Relationship Id="rId61" Type="http://schemas.openxmlformats.org/officeDocument/2006/relationships/hyperlink" Target="https://books.google.com.gt/books?id=yFsw-Vaup6sC" TargetMode="External"/><Relationship Id="rId62" Type="http://schemas.openxmlformats.org/officeDocument/2006/relationships/hyperlink" Target="https://searcharchives.bl.uk/catalog/040-001103226" TargetMode="External"/><Relationship Id="rId63" Type="http://schemas.openxmlformats.org/officeDocument/2006/relationships/hyperlink" Target="https://searcharchives.bl.uk/catalog/040-002048922" TargetMode="External"/><Relationship Id="rId64" Type="http://schemas.openxmlformats.org/officeDocument/2006/relationships/hyperlink" Target="https://books.google.com/books/about/Bede.html?id=YQjHoQAZKX0C" TargetMode="External"/><Relationship Id="rId65" Type="http://schemas.openxmlformats.org/officeDocument/2006/relationships/hyperlink" Target="https://terpconnect.umd.edu/~westgard/bede.html" TargetMode="External"/><Relationship Id="rId66" Type="http://schemas.openxmlformats.org/officeDocument/2006/relationships/hyperlink" Target="https://etheses.whiterose.ac.uk/id/eprint/17792/" TargetMode="External"/><Relationship Id="rId67" Type="http://schemas.openxmlformats.org/officeDocument/2006/relationships/hyperlink" Target="https://www.thelatinlibrary.com/alcuin/rhetorica.shtml" TargetMode="External"/><Relationship Id="rId68" Type="http://schemas.openxmlformats.org/officeDocument/2006/relationships/hyperlink" Target="https://www.thelatinlibrary.com/alcuin/propos.shtml" TargetMode="External"/><Relationship Id="rId69" Type="http://schemas.openxmlformats.org/officeDocument/2006/relationships/hyperlink" Target="https://www.dmgh.de/mgh_epp_4/" TargetMode="External"/><Relationship Id="rId70" Type="http://schemas.openxmlformats.org/officeDocument/2006/relationships/hyperlink" Target="https://la.wikisource.org/wiki/De_grammatica_(Alcuinus)" TargetMode="External"/><Relationship Id="rId71" Type="http://schemas.openxmlformats.org/officeDocument/2006/relationships/hyperlink" Target="https://la.wikisource.org/wiki/De_dialectica_(Alcuinus)" TargetMode="External"/><Relationship Id="rId72" Type="http://schemas.openxmlformats.org/officeDocument/2006/relationships/hyperlink" Target="https://www.brepols.net/products/IS-9782503521510-1" TargetMode="External"/><Relationship Id="rId73" Type="http://schemas.openxmlformats.org/officeDocument/2006/relationships/hyperlink" Target="https://www.jstor.org/stable/jj.2059228" TargetMode="External"/><Relationship Id="rId74" Type="http://schemas.openxmlformats.org/officeDocument/2006/relationships/hyperlink" Target="https://www.lulu.com/es/shop/priscilla-throop/hrabanus-maurus-de-universo-volume-one/paperback/product-4500129.html" TargetMode="External"/><Relationship Id="rId75" Type="http://schemas.openxmlformats.org/officeDocument/2006/relationships/hyperlink" Target="https://www.lulu.com/shop/priscilla-throop/hrabanus-maurus-de-universo-volume-two/paperback/product-1dy69nqq.html" TargetMode="External"/><Relationship Id="rId76" Type="http://schemas.openxmlformats.org/officeDocument/2006/relationships/hyperlink" Target="https://archive.org/details/dedivisionenatu00eriggoog" TargetMode="External"/><Relationship Id="rId77" Type="http://schemas.openxmlformats.org/officeDocument/2006/relationships/hyperlink" Target="https://archive.org/details/bub_gb_hGQyB47F348C" TargetMode="External"/><Relationship Id="rId78" Type="http://schemas.openxmlformats.org/officeDocument/2006/relationships/hyperlink" Target="https://www.brepols.net/products/IS-9782503042817-1" TargetMode="External"/><Relationship Id="rId79" Type="http://schemas.openxmlformats.org/officeDocument/2006/relationships/hyperlink" Target="https://www.brepols.net/products/IS-9782503046310-1" TargetMode="External"/><Relationship Id="rId80" Type="http://schemas.openxmlformats.org/officeDocument/2006/relationships/hyperlink" Target="https://archive.org/details/johannisscottier0000erig" TargetMode="External"/><Relationship Id="rId81" Type="http://schemas.openxmlformats.org/officeDocument/2006/relationships/hyperlink" Target="https://www.brepols.net/products/IS-9782503035017-1" TargetMode="External"/><Relationship Id="rId82" Type="http://schemas.openxmlformats.org/officeDocument/2006/relationships/hyperlink" Target="https://undpress.nd.edu/9780268042073/treatise-on-divine-predestination/" TargetMode="External"/><Relationship Id="rId83" Type="http://schemas.openxmlformats.org/officeDocument/2006/relationships/hyperlink" Target="https://www.jstor.org/stable/j.ctvpg84w3" TargetMode="External"/><Relationship Id="rId84" Type="http://schemas.openxmlformats.org/officeDocument/2006/relationships/hyperlink" Target="https://archive.org/details/patrologiaecursu122mign" TargetMode="External"/><Relationship Id="rId85" Type="http://schemas.openxmlformats.org/officeDocument/2006/relationships/hyperlink" Target="https://www.brepols.net/products/IS-9782503033112-1" TargetMode="External"/><Relationship Id="rId86" Type="http://schemas.openxmlformats.org/officeDocument/2006/relationships/hyperlink" Target="https://capitularia.uni-koeln.de/en/capit/pre814/bk-nr-022/" TargetMode="External"/><Relationship Id="rId87" Type="http://schemas.openxmlformats.org/officeDocument/2006/relationships/hyperlink" Target="https://www.dmgh.de/mgh_fontes_iuris_16/index.htm" TargetMode="External"/><Relationship Id="rId88" Type="http://schemas.openxmlformats.org/officeDocument/2006/relationships/hyperlink" Target="https://la.wikisource.org/wiki/De_rationali_et_ratione_uti_(Gerbertus_Auriliacensis)" TargetMode="External"/><Relationship Id="rId89" Type="http://schemas.openxmlformats.org/officeDocument/2006/relationships/hyperlink" Target="https://www.dmgh.de/mgh_briefe_d_dt_kaiserzeit_2/" TargetMode="External"/><Relationship Id="rId90" Type="http://schemas.openxmlformats.org/officeDocument/2006/relationships/hyperlink" Target="https://gallica.bnf.fr/ark:/12148/btv1b90665224" TargetMode="External"/><Relationship Id="rId91" Type="http://schemas.openxmlformats.org/officeDocument/2006/relationships/hyperlink" Target="https://www.e-codices.unifr.ch/en/list/one/csg/0274" TargetMode="External"/><Relationship Id="rId92" Type="http://schemas.openxmlformats.org/officeDocument/2006/relationships/hyperlink" Target="https://gallica.bnf.fr/ark:/12148/btv1b10542356v" TargetMode="External"/><Relationship Id="rId93" Type="http://schemas.openxmlformats.org/officeDocument/2006/relationships/hyperlink" Target="https://gallica.bnf.fr/ark:/12148/btv1b10546779x" TargetMode="External"/><Relationship Id="rId94" Type="http://schemas.openxmlformats.org/officeDocument/2006/relationships/hyperlink" Target="https://art-of-reasoning.huygens.knaw.nl/text-portraits.html?portait=Categoriae" TargetMode="External"/><Relationship Id="rId95" Type="http://schemas.openxmlformats.org/officeDocument/2006/relationships/hyperlink" Target="https://bib.kuleuven.be/bibliotheekdiensten/digitalisering-en-verrijking/gebruiksvoorwaarden" TargetMode="External"/><Relationship Id="rId96" Type="http://schemas.openxmlformats.org/officeDocument/2006/relationships/hyperlink" Target="https://www.ccel.org/about/copyright.html" TargetMode="External"/><Relationship Id="rId97" Type="http://schemas.openxmlformats.org/officeDocument/2006/relationships/hyperlink" Target="https://www.bnf.fr/fr/portail-bnf-api-et-jeux-de-donn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T2-21</dc:title>
  <dc:subject>Латинский Запад раннего Средневековья и каролингско-оттоновская школьность</dc:subject>
  <dc:creator>ToS / Древо Софии</dc:creator>
  <cp:keywords>T2-21, corpus, rights, manuscripts, access, Latin, Boethius, Eriugena</cp:keywords>
  <dc:description>Отдельный исследовательский отчёт; исходный DR не изменён.</dc:description>
  <cp:lastModifiedBy/>
  <cp:revision>1</cp:revision>
  <dcterms:created xsi:type="dcterms:W3CDTF">2013-12-23T23:15:00Z</dcterms:created>
  <dcterms:modified xsi:type="dcterms:W3CDTF">2013-12-23T23:15:00Z</dcterms:modified>
  <cp:category/>
</cp:coreProperties>
</file>