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ToS Corpus &amp; Rights Registry</w:t>
      </w:r>
    </w:p>
    <w:p>
      <w:pPr>
        <w:pStyle w:val="Subtitle"/>
      </w:pPr>
      <w:r>
        <w:t>T2-19 • Позднесредневековая еврейская философия</w:t>
        <w:br/>
        <w:t>от Герсонида до Крескаса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rPr>
          <w:cantSplit/>
          <w:tblHeader/>
        </w:trPr>
        <w:tc>
          <w:tcPr>
            <w:tcW w:type="dxa" w:w="3259"/>
            <w:vAlign w:val="top"/>
            <w:tcMar>
              <w:top w:w="85" w:type="dxa"/>
              <w:bottom w:w="85" w:type="dxa"/>
              <w:left w:w="85" w:type="dxa"/>
              <w:right w:w="85" w:type="dxa"/>
            </w:tcMar>
            <w:shd w:fill="173B4A"/>
          </w:tcPr>
          <w:p>
            <w:pPr>
              <w:spacing w:after="60" w:line="259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Записи доступа</w:t>
            </w:r>
          </w:p>
        </w:tc>
        <w:tc>
          <w:tcPr>
            <w:tcW w:type="dxa" w:w="3259"/>
            <w:vAlign w:val="top"/>
            <w:tcMar>
              <w:top w:w="85" w:type="dxa"/>
              <w:bottom w:w="85" w:type="dxa"/>
              <w:left w:w="85" w:type="dxa"/>
              <w:right w:w="85" w:type="dxa"/>
            </w:tcMar>
            <w:shd w:fill="173B4A"/>
          </w:tcPr>
          <w:p>
            <w:pPr>
              <w:spacing w:after="60" w:line="259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Первичные названия</w:t>
            </w:r>
          </w:p>
        </w:tc>
        <w:tc>
          <w:tcPr>
            <w:tcW w:type="dxa" w:w="3259"/>
            <w:vAlign w:val="top"/>
            <w:tcMar>
              <w:top w:w="85" w:type="dxa"/>
              <w:bottom w:w="85" w:type="dxa"/>
              <w:left w:w="85" w:type="dxa"/>
              <w:right w:w="85" w:type="dxa"/>
            </w:tcMar>
            <w:shd w:fill="173B4A"/>
          </w:tcPr>
          <w:p>
            <w:pPr>
              <w:spacing w:after="60" w:line="259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Пробелы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85" w:type="dxa"/>
              <w:bottom w:w="85" w:type="dxa"/>
              <w:left w:w="85" w:type="dxa"/>
              <w:right w:w="85" w:type="dxa"/>
            </w:tcMar>
            <w:shd w:fill="F0F5F6"/>
          </w:tcPr>
          <w:p>
            <w:pPr>
              <w:spacing w:after="60" w:line="259" w:lineRule="auto"/>
            </w:pPr>
            <w:r>
              <w:rPr>
                <w:rFonts w:ascii="DejaVu Sans" w:hAnsi="DejaVu Sans"/>
                <w:sz w:val="18"/>
              </w:rPr>
              <w:t>68, включая 3 инфраструктурные</w:t>
            </w:r>
          </w:p>
        </w:tc>
        <w:tc>
          <w:tcPr>
            <w:tcW w:type="dxa" w:w="3240"/>
            <w:vAlign w:val="top"/>
            <w:tcMar>
              <w:top w:w="85" w:type="dxa"/>
              <w:bottom w:w="85" w:type="dxa"/>
              <w:left w:w="85" w:type="dxa"/>
              <w:right w:w="85" w:type="dxa"/>
            </w:tcMar>
            <w:shd w:fill="F0F5F6"/>
          </w:tcPr>
          <w:p>
            <w:pPr>
              <w:spacing w:after="60" w:line="259" w:lineRule="auto"/>
            </w:pPr>
            <w:r>
              <w:rPr>
                <w:rFonts w:ascii="DejaVu Sans" w:hAnsi="DejaVu Sans"/>
                <w:sz w:val="18"/>
              </w:rPr>
              <w:t>Около 30 произведений и текстовых комплексов</w:t>
            </w:r>
          </w:p>
        </w:tc>
        <w:tc>
          <w:tcPr>
            <w:tcW w:type="dxa" w:w="3240"/>
            <w:vAlign w:val="top"/>
            <w:tcMar>
              <w:top w:w="85" w:type="dxa"/>
              <w:bottom w:w="85" w:type="dxa"/>
              <w:left w:w="85" w:type="dxa"/>
              <w:right w:w="85" w:type="dxa"/>
            </w:tcMar>
            <w:shd w:fill="F0F5F6"/>
          </w:tcPr>
          <w:p>
            <w:pPr>
              <w:spacing w:after="60" w:line="259" w:lineRule="auto"/>
            </w:pPr>
            <w:r>
              <w:rPr>
                <w:rFonts w:ascii="DejaVu Sans" w:hAnsi="DejaVu Sans"/>
                <w:sz w:val="18"/>
              </w:rPr>
              <w:t>25 конкретных групп</w:t>
            </w:r>
          </w:p>
        </w:tc>
      </w:tr>
    </w:tbl>
    <w:p>
      <w:pPr>
        <w:pStyle w:val="Heading1"/>
      </w:pPr>
      <w:r>
        <w:t>1. Паспорт</w:t>
      </w:r>
    </w:p>
    <w:p>
      <w:r>
        <w:t>Мастер-строка: T2-19. Исходный статус: A; уверенность исходного DR — 5/5. Формирование и письменная фиксация: XIII–XV вв.; канонизационно-комментарийный слой: XIV–XV вв. Эти границы и статус сохранены. Поздние издания, переводы и рецепции включены как связанные объекты, а не как расширение хронологии мастер-строки.</w:t>
      </w:r>
    </w:p>
    <w:p>
      <w:r>
        <w:t>Исходник: «ToS Deep Research_ T2-19 — Позднесредневековая еврейская философия от Герсонида до Крескаса(1).docx», 63 страницы. Для инвентаризации использованы прежде всего разделы «Корпуса, тексты и артефакты-якоря», «Первичные источники и корпуса», входящие трансмиссии и исходящие handoff-связи. Исходный DOCX не изменён; его графовые и инженерные предложения в этом исследовании не исполнялись.</w:t>
      </w:r>
    </w:p>
    <w:p>
      <w:r>
        <w:t>Дата проверки: 4 сентября 2026 года. Поиск шёл на русском, английском, иврите, французском, немецком, итальянском и испанском; использовались арабские названия и транслитерации, еврейские варианты заглавий, ISBN, DOI, ARK, URN и библиотечные шифры. Латинские названия применялись для линий перевода.</w:t>
      </w:r>
    </w:p>
    <w:p>
      <w:r>
        <w:t>Ядром считались Tiqqun ha-Deʿot Албалага, Hebrew Averroes и суперкомментарии, логический трактат и Milḥamot Герсонида, его философская экзегеза, а также Or Hashem, пасхальная проповедь и антикристианская полемика Крескаса. Веб-поиск добавил собственные научные сочинения Герсонида, письмо Крескаса 1391 года, прямых участников комментарийных и полемических линий, историческую печать и современные издания.</w:t>
      </w:r>
    </w:p>
    <w:p>
      <w:r>
        <w:t>Поставка: XLSX содержит все 32 заданных поля на листе registry и лист gaps. Здесь приведены выводы и лучшие входы, а не повтор всех строк. Ссылки вида R043 ведут к источнику соответствующей записи T2-19-R043; точные форматы, ограничения и права находятся в XLSX.</w:t>
      </w:r>
      <w:r>
        <w:t xml:space="preserve"> Регистрации, покупки, обращения к держателям прав и публикации от имени пользователя не выполнялись.</w:t>
      </w:r>
    </w:p>
    <w:p>
      <w:r>
        <w:br w:type="page"/>
      </w:r>
    </w:p>
    <w:p>
      <w:pPr>
        <w:pStyle w:val="Heading2"/>
      </w:pPr>
      <w:r>
        <w:t>1. Паспорт — метод проверки</w:t>
      </w:r>
    </w:p>
    <w:p>
      <w:r>
        <w:t>Искались произведения, отдельные переводы и редакции, физические свидетели, цифровые факсимиле, транскрипции, научные PDF, каталоги и машиночитаемые выгрузки. Общие порталы не засчитывались как полный доступ к каждому внутреннему тексту. Одна антология или комплект PDF учитываются как один пакет, когда отдельные страницы не создают нового практически отличимого способа доступа.</w:t>
      </w:r>
    </w:p>
    <w:p>
      <w:r>
        <w:t>Для доступа использованы сайты библиотек и издателей, DARE, NLI/Ktiv, HathiTrust, Internet Archive, Sefaria, Daat, Project Gutenberg, Wikisource, Commons, JSTOR, Torrossa и официальные университетские журналы. Идентичность изданий проверялась по карточкам, титульным сведениям, описаниям редакторов и специальной академической библиографии. Правовые основания проверялись отдельно: item-level уведомления, официальный IIIF manifest, лицензия статьи, подписанное разрешение, уведомления правообладателя.</w:t>
      </w:r>
    </w:p>
    <w:p>
      <w:r>
        <w:t>Открытая каталожная страница, открытый текст и просмотренный бинарный файл — разные уровни проверки. Например, HathiTrust может прямо указывать Full View, но viewer не читается инструментом; Sefaria показывает оглавление, но конкретная версия текста и её лицензия не подтверждены; крупный PDF может быть доступен по официальной кнопке, но превышать лимит инструмента. Такие различия сохранены в verification_status.</w:t>
      </w:r>
      <w:r>
        <w:t xml:space="preserve">  </w:t>
      </w:r>
      <w:hyperlink r:id="rId11">
        <w:r>
          <w:rPr>
            <w:color w:val="235C68"/>
            <w:u w:val="single"/>
            <w:sz w:val="18"/>
          </w:rPr>
          <w:t>R002</w:t>
        </w:r>
      </w:hyperlink>
      <w:r>
        <w:t xml:space="preserve"> · </w:t>
      </w:r>
      <w:hyperlink r:id="rId12">
        <w:r>
          <w:rPr>
            <w:color w:val="235C68"/>
            <w:u w:val="single"/>
            <w:sz w:val="18"/>
          </w:rPr>
          <w:t>R003</w:t>
        </w:r>
      </w:hyperlink>
      <w:r>
        <w:t xml:space="preserve"> · </w:t>
      </w:r>
      <w:hyperlink r:id="rId13">
        <w:r>
          <w:rPr>
            <w:color w:val="235C68"/>
            <w:u w:val="single"/>
            <w:sz w:val="18"/>
          </w:rPr>
          <w:t>R012</w:t>
        </w:r>
      </w:hyperlink>
      <w:r>
        <w:t xml:space="preserve"> · </w:t>
      </w:r>
      <w:hyperlink r:id="rId14">
        <w:r>
          <w:rPr>
            <w:color w:val="235C68"/>
            <w:u w:val="single"/>
            <w:sz w:val="18"/>
          </w:rPr>
          <w:t>R018</w:t>
        </w:r>
      </w:hyperlink>
      <w:r>
        <w:t xml:space="preserve"> · </w:t>
      </w:r>
      <w:hyperlink r:id="rId15">
        <w:r>
          <w:rPr>
            <w:color w:val="235C68"/>
            <w:u w:val="single"/>
            <w:sz w:val="18"/>
          </w:rPr>
          <w:t>R043</w:t>
        </w:r>
      </w:hyperlink>
    </w:p>
    <w:p>
      <w:r>
        <w:t>Wikipedia не используется в итоговых ссылках или доказательствах. Вспомогательные подсказки, которые не удалось подтвердить на требуемом уровне, оставлены в gaps как unverified_candidate. Это касается, в частности, отдельных поздних рецепций, каталожного кандидата Sefer ha-Emunot и происхождения конкретного скана Wolfson 1929; существование знаменитого издания не подменяет проверку законности его цифровой копии.</w:t>
      </w:r>
    </w:p>
    <w:p>
      <w:pPr>
        <w:pStyle w:val="Heading1"/>
      </w:pPr>
      <w:r>
        <w:t>2. Охват корпуса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4176"/>
        <w:gridCol w:w="3701"/>
      </w:tblGrid>
      <w:tr>
        <w:trPr>
          <w:cantSplit/>
          <w:tblHeader/>
        </w:trPr>
        <w:tc>
          <w:tcPr>
            <w:tcW w:type="dxa" w:w="3259"/>
            <w:vAlign w:val="top"/>
            <w:tcMar>
              <w:top w:w="85" w:type="dxa"/>
              <w:bottom w:w="85" w:type="dxa"/>
              <w:left w:w="85" w:type="dxa"/>
              <w:right w:w="85" w:type="dxa"/>
            </w:tcMar>
            <w:shd w:fill="173B4A"/>
          </w:tcPr>
          <w:p>
            <w:pPr>
              <w:spacing w:after="60" w:line="259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Группа исходного DR</w:t>
            </w:r>
          </w:p>
        </w:tc>
        <w:tc>
          <w:tcPr>
            <w:tcW w:type="dxa" w:w="3259"/>
            <w:vAlign w:val="top"/>
            <w:tcMar>
              <w:top w:w="85" w:type="dxa"/>
              <w:bottom w:w="85" w:type="dxa"/>
              <w:left w:w="85" w:type="dxa"/>
              <w:right w:w="85" w:type="dxa"/>
            </w:tcMar>
            <w:shd w:fill="173B4A"/>
          </w:tcPr>
          <w:p>
            <w:pPr>
              <w:spacing w:after="60" w:line="259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Что реально представлено</w:t>
            </w:r>
          </w:p>
        </w:tc>
        <w:tc>
          <w:tcPr>
            <w:tcW w:type="dxa" w:w="3259"/>
            <w:vAlign w:val="top"/>
            <w:tcMar>
              <w:top w:w="85" w:type="dxa"/>
              <w:bottom w:w="85" w:type="dxa"/>
              <w:left w:w="85" w:type="dxa"/>
              <w:right w:w="85" w:type="dxa"/>
            </w:tcMar>
            <w:shd w:fill="173B4A"/>
          </w:tcPr>
          <w:p>
            <w:pPr>
              <w:spacing w:after="60" w:line="259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Что не следует считать закрытым</w:t>
            </w:r>
          </w:p>
        </w:tc>
      </w:tr>
      <w:tr>
        <w:trPr>
          <w:cantSplit/>
        </w:trPr>
        <w:tc>
          <w:tcPr>
            <w:tcW w:type="dxa" w:w="1843"/>
            <w:vAlign w:val="top"/>
            <w:tcMar>
              <w:top w:w="85" w:type="dxa"/>
              <w:bottom w:w="85" w:type="dxa"/>
              <w:left w:w="85" w:type="dxa"/>
              <w:right w:w="85" w:type="dxa"/>
            </w:tcMar>
            <w:shd w:fill="F0F5F6"/>
          </w:tcPr>
          <w:p>
            <w:pPr>
              <w:spacing w:after="60" w:line="259" w:lineRule="auto"/>
            </w:pPr>
            <w:r>
              <w:rPr>
                <w:rFonts w:ascii="DejaVu Sans" w:hAnsi="DejaVu Sans"/>
                <w:sz w:val="18"/>
              </w:rPr>
              <w:t>Албалаг</w:t>
            </w:r>
          </w:p>
        </w:tc>
        <w:tc>
          <w:tcPr>
            <w:tcW w:type="dxa" w:w="4176"/>
            <w:vAlign w:val="top"/>
            <w:tcMar>
              <w:top w:w="85" w:type="dxa"/>
              <w:bottom w:w="85" w:type="dxa"/>
              <w:left w:w="85" w:type="dxa"/>
              <w:right w:w="85" w:type="dxa"/>
            </w:tcMar>
            <w:shd w:fill="F0F5F6"/>
          </w:tcPr>
          <w:p>
            <w:pPr>
              <w:spacing w:after="60" w:line="259" w:lineRule="auto"/>
            </w:pPr>
            <w:r>
              <w:rPr>
                <w:rFonts w:ascii="DejaVu Sans" w:hAnsi="DejaVu Sans"/>
                <w:sz w:val="18"/>
              </w:rPr>
              <w:t>Vajda 1973; Auerbach 1906; Ktiv-вход; английская выборка Cambridge</w:t>
            </w:r>
          </w:p>
        </w:tc>
        <w:tc>
          <w:tcPr>
            <w:tcW w:type="dxa" w:w="3701"/>
            <w:vAlign w:val="top"/>
            <w:tcMar>
              <w:top w:w="85" w:type="dxa"/>
              <w:bottom w:w="85" w:type="dxa"/>
              <w:left w:w="85" w:type="dxa"/>
              <w:right w:w="85" w:type="dxa"/>
            </w:tcMar>
            <w:shd w:fill="F0F5F6"/>
          </w:tcPr>
          <w:p>
            <w:pPr>
              <w:spacing w:after="60" w:line="259" w:lineRule="auto"/>
            </w:pPr>
            <w:r>
              <w:rPr>
                <w:rFonts w:ascii="DejaVu Sans" w:hAnsi="DejaVu Sans"/>
                <w:sz w:val="18"/>
              </w:rPr>
              <w:t>Полный перевод Maqāṣid вместе со всеми глоссами</w:t>
            </w:r>
          </w:p>
        </w:tc>
      </w:tr>
      <w:tr>
        <w:trPr>
          <w:cantSplit/>
        </w:trPr>
        <w:tc>
          <w:tcPr>
            <w:tcW w:type="dxa" w:w="1843"/>
            <w:vAlign w:val="top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60" w:line="259" w:lineRule="auto"/>
            </w:pPr>
            <w:r>
              <w:rPr>
                <w:rFonts w:ascii="DejaVu Sans" w:hAnsi="DejaVu Sans"/>
                <w:sz w:val="18"/>
              </w:rPr>
              <w:t>Герсонид</w:t>
            </w:r>
          </w:p>
        </w:tc>
        <w:tc>
          <w:tcPr>
            <w:tcW w:type="dxa" w:w="4176"/>
            <w:vAlign w:val="top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60" w:line="259" w:lineRule="auto"/>
            </w:pPr>
            <w:r>
              <w:rPr>
                <w:rFonts w:ascii="DejaVu Sans" w:hAnsi="DejaVu Sans"/>
                <w:sz w:val="18"/>
              </w:rPr>
              <w:t>Milḥamot, логика, Иов, Песнь песней, два суперкомментария, Maaseh Hoshev</w:t>
            </w:r>
          </w:p>
        </w:tc>
        <w:tc>
          <w:tcPr>
            <w:tcW w:type="dxa" w:w="3701"/>
            <w:vAlign w:val="top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60" w:line="259" w:lineRule="auto"/>
            </w:pPr>
            <w:r>
              <w:rPr>
                <w:rFonts w:ascii="DejaVu Sans" w:hAnsi="DejaVu Sans"/>
                <w:sz w:val="18"/>
              </w:rPr>
              <w:t>Вся астрономия V.1, все суперкомментарии и вся библейская экзегеза</w:t>
            </w:r>
          </w:p>
        </w:tc>
      </w:tr>
      <w:tr>
        <w:trPr>
          <w:cantSplit/>
        </w:trPr>
        <w:tc>
          <w:tcPr>
            <w:tcW w:type="dxa" w:w="1843"/>
            <w:vAlign w:val="top"/>
            <w:tcMar>
              <w:top w:w="85" w:type="dxa"/>
              <w:bottom w:w="85" w:type="dxa"/>
              <w:left w:w="85" w:type="dxa"/>
              <w:right w:w="85" w:type="dxa"/>
            </w:tcMar>
            <w:shd w:fill="F0F5F6"/>
          </w:tcPr>
          <w:p>
            <w:pPr>
              <w:spacing w:after="60" w:line="259" w:lineRule="auto"/>
            </w:pPr>
            <w:r>
              <w:rPr>
                <w:rFonts w:ascii="DejaVu Sans" w:hAnsi="DejaVu Sans"/>
                <w:sz w:val="18"/>
              </w:rPr>
              <w:t>Крескас</w:t>
            </w:r>
          </w:p>
        </w:tc>
        <w:tc>
          <w:tcPr>
            <w:tcW w:type="dxa" w:w="4176"/>
            <w:vAlign w:val="top"/>
            <w:tcMar>
              <w:top w:w="85" w:type="dxa"/>
              <w:bottom w:w="85" w:type="dxa"/>
              <w:left w:w="85" w:type="dxa"/>
              <w:right w:w="85" w:type="dxa"/>
            </w:tcMar>
            <w:shd w:fill="F0F5F6"/>
          </w:tcPr>
          <w:p>
            <w:pPr>
              <w:spacing w:after="60" w:line="259" w:lineRule="auto"/>
            </w:pPr>
            <w:r>
              <w:rPr>
                <w:rFonts w:ascii="DejaVu Sans" w:hAnsi="DejaVu Sans"/>
                <w:sz w:val="18"/>
              </w:rPr>
              <w:t>Or Hashem: печать, рукопись, редакции и переводы; проповедь; Bittul; письмо 1391</w:t>
            </w:r>
          </w:p>
        </w:tc>
        <w:tc>
          <w:tcPr>
            <w:tcW w:type="dxa" w:w="3701"/>
            <w:vAlign w:val="top"/>
            <w:tcMar>
              <w:top w:w="85" w:type="dxa"/>
              <w:bottom w:w="85" w:type="dxa"/>
              <w:left w:w="85" w:type="dxa"/>
              <w:right w:w="85" w:type="dxa"/>
            </w:tcMar>
            <w:shd w:fill="F0F5F6"/>
          </w:tcPr>
          <w:p>
            <w:pPr>
              <w:spacing w:after="60" w:line="259" w:lineRule="auto"/>
            </w:pPr>
            <w:r>
              <w:rPr>
                <w:rFonts w:ascii="DejaVu Sans" w:hAnsi="DejaVu Sans"/>
                <w:sz w:val="18"/>
              </w:rPr>
              <w:t>Полный аудит всех рукописей и прав современных редакций</w:t>
            </w:r>
          </w:p>
        </w:tc>
      </w:tr>
      <w:tr>
        <w:trPr>
          <w:cantSplit/>
        </w:trPr>
        <w:tc>
          <w:tcPr>
            <w:tcW w:type="dxa" w:w="1843"/>
            <w:vAlign w:val="top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60" w:line="259" w:lineRule="auto"/>
            </w:pPr>
            <w:r>
              <w:rPr>
                <w:rFonts w:ascii="DejaVu Sans" w:hAnsi="DejaVu Sans"/>
                <w:sz w:val="18"/>
              </w:rPr>
              <w:t>Hebrew Averroes</w:t>
            </w:r>
          </w:p>
        </w:tc>
        <w:tc>
          <w:tcPr>
            <w:tcW w:type="dxa" w:w="4176"/>
            <w:vAlign w:val="top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60" w:line="259" w:lineRule="auto"/>
            </w:pPr>
            <w:r>
              <w:rPr>
                <w:rFonts w:ascii="DejaVu Sans" w:hAnsi="DejaVu Sans"/>
                <w:sz w:val="18"/>
              </w:rPr>
              <w:t>Краткое «О небе», эпистола о соединении; три item-level входа средних комментариев</w:t>
            </w:r>
          </w:p>
        </w:tc>
        <w:tc>
          <w:tcPr>
            <w:tcW w:type="dxa" w:w="3701"/>
            <w:vAlign w:val="top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60" w:line="259" w:lineRule="auto"/>
            </w:pPr>
            <w:r>
              <w:rPr>
                <w:rFonts w:ascii="DejaVu Sans" w:hAnsi="DejaVu Sans"/>
                <w:sz w:val="18"/>
              </w:rPr>
              <w:t>Полный арабо-ивритский корпус и открытые лицензии всех транскрипций</w:t>
            </w:r>
          </w:p>
        </w:tc>
      </w:tr>
    </w:tbl>
    <w:p>
      <w:r>
        <w:t>Важнейшее содержательное уточнение исходной карты: доступ к распространённой печатной форме Milḥamot и к философскому переводу Feldman нельзя выдавать за покрытие всего научного массива. Для астрономии имеется самостоятельное издание Goldstein, но и оно ограничено главами 1–20. Вторая существенная граница — между глоссами Албалага и переводным основанием его Tiqqun.</w:t>
      </w:r>
      <w:r>
        <w:t xml:space="preserve">  </w:t>
      </w:r>
      <w:hyperlink r:id="rId16">
        <w:r>
          <w:rPr>
            <w:color w:val="235C68"/>
            <w:u w:val="single"/>
            <w:sz w:val="18"/>
          </w:rPr>
          <w:t>R001</w:t>
        </w:r>
      </w:hyperlink>
      <w:r>
        <w:t xml:space="preserve"> · </w:t>
      </w:r>
      <w:hyperlink r:id="rId17">
        <w:r>
          <w:rPr>
            <w:color w:val="235C68"/>
            <w:u w:val="single"/>
            <w:sz w:val="18"/>
          </w:rPr>
          <w:t>R005</w:t>
        </w:r>
      </w:hyperlink>
      <w:r>
        <w:t xml:space="preserve"> · </w:t>
      </w:r>
      <w:hyperlink r:id="rId18">
        <w:r>
          <w:rPr>
            <w:color w:val="235C68"/>
            <w:u w:val="single"/>
            <w:sz w:val="18"/>
          </w:rPr>
          <w:t>R007</w:t>
        </w:r>
      </w:hyperlink>
      <w:r>
        <w:t xml:space="preserve"> · </w:t>
      </w:r>
      <w:hyperlink r:id="rId14">
        <w:r>
          <w:rPr>
            <w:color w:val="235C68"/>
            <w:u w:val="single"/>
            <w:sz w:val="18"/>
          </w:rPr>
          <w:t>R018</w:t>
        </w:r>
      </w:hyperlink>
      <w:r>
        <w:t xml:space="preserve"> · </w:t>
      </w:r>
      <w:hyperlink r:id="rId19">
        <w:r>
          <w:rPr>
            <w:color w:val="235C68"/>
            <w:u w:val="single"/>
            <w:sz w:val="18"/>
          </w:rPr>
          <w:t>R022</w:t>
        </w:r>
      </w:hyperlink>
    </w:p>
    <w:p>
      <w:r>
        <w:br w:type="page"/>
      </w:r>
    </w:p>
    <w:p>
      <w:pPr>
        <w:pStyle w:val="Heading2"/>
      </w:pPr>
      <w:r>
        <w:t>2. Охват — расширение назад и вперёд</w:t>
      </w:r>
    </w:p>
    <w:p>
      <w:r>
        <w:t>Более ранние входы. Guide of the Perplexed Маймонида включён как прямой философский адресат Герсонида и Крескаса: сохранены английский публичнодоменный перевод Friedländer и ивритский вход Sefaria. Maqāṣid al-Falāsifah ал-Газали — не просто сходный философский текст, а переводное основание Tiqqun: найдены арабская печать Cairo 1913 в ACO и отдельная ивритская рукопись BnF Hébreu 901. Последняя не отождествлена с переводом Албалага без уточнения версии.</w:t>
      </w:r>
      <w:r>
        <w:t xml:space="preserve">  </w:t>
      </w:r>
      <w:hyperlink r:id="rId20">
        <w:r>
          <w:rPr>
            <w:color w:val="235C68"/>
            <w:u w:val="single"/>
            <w:sz w:val="18"/>
          </w:rPr>
          <w:t>R033</w:t>
        </w:r>
      </w:hyperlink>
      <w:r>
        <w:t xml:space="preserve"> · </w:t>
      </w:r>
      <w:hyperlink r:id="rId21">
        <w:r>
          <w:rPr>
            <w:color w:val="235C68"/>
            <w:u w:val="single"/>
            <w:sz w:val="18"/>
          </w:rPr>
          <w:t>R034</w:t>
        </w:r>
      </w:hyperlink>
      <w:r>
        <w:t xml:space="preserve"> · </w:t>
      </w:r>
      <w:hyperlink r:id="rId22">
        <w:r>
          <w:rPr>
            <w:color w:val="235C68"/>
            <w:u w:val="single"/>
            <w:sz w:val="18"/>
          </w:rPr>
          <w:t>R035</w:t>
        </w:r>
      </w:hyperlink>
      <w:r>
        <w:t xml:space="preserve"> · </w:t>
      </w:r>
      <w:hyperlink r:id="rId23">
        <w:r>
          <w:rPr>
            <w:color w:val="235C68"/>
            <w:u w:val="single"/>
            <w:sz w:val="18"/>
          </w:rPr>
          <w:t>R065</w:t>
        </w:r>
      </w:hyperlink>
    </w:p>
    <w:p>
      <w:r>
        <w:t>Аверроэс представлен конкретными комментаторскими текстами, а не всей его библиографией. Его XII-вековые сочинения входят сюда через средневековые ивритские переводы и последующие суперкомментарии. Derashot HaRan Ниссима из Жироны сохранены как учительский и проповеднический предшествующий слой Крескаса, хотя этот объект находится внутри широкого XIII–XV-векового контура, а не до его начала.</w:t>
      </w:r>
      <w:r>
        <w:t xml:space="preserve">  </w:t>
      </w:r>
      <w:hyperlink r:id="rId24">
        <w:r>
          <w:rPr>
            <w:color w:val="235C68"/>
            <w:u w:val="single"/>
            <w:sz w:val="18"/>
          </w:rPr>
          <w:t>R023</w:t>
        </w:r>
      </w:hyperlink>
      <w:r>
        <w:t xml:space="preserve"> · </w:t>
      </w:r>
      <w:hyperlink r:id="rId25">
        <w:r>
          <w:rPr>
            <w:color w:val="235C68"/>
            <w:u w:val="single"/>
            <w:sz w:val="18"/>
          </w:rPr>
          <w:t>R038</w:t>
        </w:r>
      </w:hyperlink>
      <w:r>
        <w:t xml:space="preserve"> · </w:t>
      </w:r>
      <w:hyperlink r:id="rId26">
        <w:r>
          <w:rPr>
            <w:color w:val="235C68"/>
            <w:u w:val="single"/>
            <w:sz w:val="18"/>
          </w:rPr>
          <w:t>R050</w:t>
        </w:r>
      </w:hyperlink>
      <w:r>
        <w:t xml:space="preserve"> · </w:t>
      </w:r>
      <w:hyperlink r:id="rId27">
        <w:r>
          <w:rPr>
            <w:color w:val="235C68"/>
            <w:u w:val="single"/>
            <w:sz w:val="18"/>
          </w:rPr>
          <w:t>R066</w:t>
        </w:r>
      </w:hyperlink>
      <w:r>
        <w:t xml:space="preserve"> · </w:t>
      </w:r>
      <w:hyperlink r:id="rId28">
        <w:r>
          <w:rPr>
            <w:color w:val="235C68"/>
            <w:u w:val="single"/>
            <w:sz w:val="18"/>
          </w:rPr>
          <w:t>R067</w:t>
        </w:r>
      </w:hyperlink>
      <w:r>
        <w:t xml:space="preserve"> · </w:t>
      </w:r>
      <w:hyperlink r:id="rId29">
        <w:r>
          <w:rPr>
            <w:color w:val="235C68"/>
            <w:u w:val="single"/>
            <w:sz w:val="18"/>
          </w:rPr>
          <w:t>R068</w:t>
        </w:r>
      </w:hyperlink>
    </w:p>
    <w:p>
      <w:r>
        <w:t>Прямые родственники и продолжения. Ezer ha-Dat Полкара и пара Ofrenda de Zelos / Libro de la Ley Абнера дают конкретную полемическую линию вокруг необходимости и выбора. Комментарий Нарбони к Guide, его комментарий к эпистоле о соединении и Treatise on Choice расширяют именно комментарийную среду строки. Альбо, Бибагó, Дельмедиго и Иегуда Мессер Леон включены через названные произведения, а не через списки авторов.</w:t>
      </w:r>
      <w:r>
        <w:t xml:space="preserve">  </w:t>
      </w:r>
      <w:hyperlink r:id="rId30">
        <w:r>
          <w:rPr>
            <w:color w:val="235C68"/>
            <w:u w:val="single"/>
            <w:sz w:val="18"/>
          </w:rPr>
          <w:t>R039</w:t>
        </w:r>
      </w:hyperlink>
      <w:r>
        <w:t xml:space="preserve"> · </w:t>
      </w:r>
      <w:hyperlink r:id="rId31">
        <w:r>
          <w:rPr>
            <w:color w:val="235C68"/>
            <w:u w:val="single"/>
            <w:sz w:val="18"/>
          </w:rPr>
          <w:t>R040</w:t>
        </w:r>
      </w:hyperlink>
      <w:r>
        <w:t xml:space="preserve"> · </w:t>
      </w:r>
      <w:hyperlink r:id="rId32">
        <w:r>
          <w:rPr>
            <w:color w:val="235C68"/>
            <w:u w:val="single"/>
            <w:sz w:val="18"/>
          </w:rPr>
          <w:t>R045</w:t>
        </w:r>
      </w:hyperlink>
      <w:r>
        <w:t xml:space="preserve"> · </w:t>
      </w:r>
      <w:hyperlink r:id="rId33">
        <w:r>
          <w:rPr>
            <w:color w:val="235C68"/>
            <w:u w:val="single"/>
            <w:sz w:val="18"/>
          </w:rPr>
          <w:t>R046</w:t>
        </w:r>
      </w:hyperlink>
      <w:r>
        <w:t xml:space="preserve"> · </w:t>
      </w:r>
      <w:hyperlink r:id="rId34">
        <w:r>
          <w:rPr>
            <w:color w:val="235C68"/>
            <w:u w:val="single"/>
            <w:sz w:val="18"/>
          </w:rPr>
          <w:t>R047</w:t>
        </w:r>
      </w:hyperlink>
      <w:r>
        <w:t xml:space="preserve"> · </w:t>
      </w:r>
      <w:hyperlink r:id="rId35">
        <w:r>
          <w:rPr>
            <w:color w:val="235C68"/>
            <w:u w:val="single"/>
            <w:sz w:val="18"/>
          </w:rPr>
          <w:t>R048</w:t>
        </w:r>
      </w:hyperlink>
      <w:r>
        <w:t xml:space="preserve"> · </w:t>
      </w:r>
      <w:hyperlink r:id="rId36">
        <w:r>
          <w:rPr>
            <w:color w:val="235C68"/>
            <w:u w:val="single"/>
            <w:sz w:val="18"/>
          </w:rPr>
          <w:t>R049</w:t>
        </w:r>
      </w:hyperlink>
      <w:r>
        <w:t xml:space="preserve"> · </w:t>
      </w:r>
      <w:hyperlink r:id="rId26">
        <w:r>
          <w:rPr>
            <w:color w:val="235C68"/>
            <w:u w:val="single"/>
            <w:sz w:val="18"/>
          </w:rPr>
          <w:t>R050</w:t>
        </w:r>
      </w:hyperlink>
      <w:r>
        <w:t xml:space="preserve"> · </w:t>
      </w:r>
      <w:hyperlink r:id="rId37">
        <w:r>
          <w:rPr>
            <w:color w:val="235C68"/>
            <w:u w:val="single"/>
            <w:sz w:val="18"/>
          </w:rPr>
          <w:t>R052</w:t>
        </w:r>
      </w:hyperlink>
      <w:r>
        <w:t xml:space="preserve"> · </w:t>
      </w:r>
      <w:hyperlink r:id="rId38">
        <w:r>
          <w:rPr>
            <w:color w:val="235C68"/>
            <w:u w:val="single"/>
            <w:sz w:val="18"/>
          </w:rPr>
          <w:t>R061</w:t>
        </w:r>
      </w:hyperlink>
      <w:r>
        <w:t xml:space="preserve"> · </w:t>
      </w:r>
      <w:hyperlink r:id="rId39">
        <w:r>
          <w:rPr>
            <w:color w:val="235C68"/>
            <w:u w:val="single"/>
            <w:sz w:val="18"/>
          </w:rPr>
          <w:t>R064</w:t>
        </w:r>
      </w:hyperlink>
    </w:p>
    <w:p>
      <w:r>
        <w:t>Передача и сохранение. Латинский перевод комментария Герсонида к Песни песней, выполненный Флавием Митридатом, доступен в современном издании рукописи Vat. lat. 4273. Для Bittul важно сохранять различие между утраченным каталонским оригиналом, средневековой ивритской передачей и новыми переводами. Поздняя печать Or Hashem 1555 и Derekh Emunah 1522 — прежде всего свидетели сохранения более ранних произведений.</w:t>
      </w:r>
      <w:r>
        <w:t xml:space="preserve">  </w:t>
      </w:r>
      <w:hyperlink r:id="rId40">
        <w:r>
          <w:rPr>
            <w:color w:val="235C68"/>
            <w:u w:val="single"/>
            <w:sz w:val="18"/>
          </w:rPr>
          <w:t>R017</w:t>
        </w:r>
      </w:hyperlink>
      <w:r>
        <w:t xml:space="preserve"> · </w:t>
      </w:r>
      <w:hyperlink r:id="rId41">
        <w:r>
          <w:rPr>
            <w:color w:val="235C68"/>
            <w:u w:val="single"/>
            <w:sz w:val="18"/>
          </w:rPr>
          <w:t>R027</w:t>
        </w:r>
      </w:hyperlink>
      <w:r>
        <w:t xml:space="preserve"> · </w:t>
      </w:r>
      <w:hyperlink r:id="rId34">
        <w:r>
          <w:rPr>
            <w:color w:val="235C68"/>
            <w:u w:val="single"/>
            <w:sz w:val="18"/>
          </w:rPr>
          <w:t>R047</w:t>
        </w:r>
      </w:hyperlink>
      <w:r>
        <w:t xml:space="preserve"> · </w:t>
      </w:r>
      <w:hyperlink r:id="rId42">
        <w:r>
          <w:rPr>
            <w:color w:val="235C68"/>
            <w:u w:val="single"/>
            <w:sz w:val="18"/>
          </w:rPr>
          <w:t>R054</w:t>
        </w:r>
      </w:hyperlink>
      <w:r>
        <w:t xml:space="preserve"> · </w:t>
      </w:r>
      <w:hyperlink r:id="rId43">
        <w:r>
          <w:rPr>
            <w:color w:val="235C68"/>
            <w:u w:val="single"/>
            <w:sz w:val="18"/>
          </w:rPr>
          <w:t>R060</w:t>
        </w:r>
      </w:hyperlink>
    </w:p>
    <w:p>
      <w:r>
        <w:t>Реально внепериодная рецепция. Torat ha-Olah III.49 Иссерлеса, XVI век, прямо называет Milḥamot и разбирает его доводы; это конкретная рецепция, а не вся философия раннего Нового времени. Письмо Спинозы Мейеру о бесконечности, 20 апреля 1663 года, содержит явное обращение к Крескасу. В реестр вошло именно письмо, а не весь корпус Спинозы. Более широкие линии к Пико и латинской схоластике оставлены в gaps там, где прямой текстовый маршрут не установлен.</w:t>
      </w:r>
      <w:r>
        <w:t xml:space="preserve">  </w:t>
      </w:r>
      <w:hyperlink r:id="rId44">
        <w:r>
          <w:rPr>
            <w:color w:val="235C68"/>
            <w:u w:val="single"/>
            <w:sz w:val="18"/>
          </w:rPr>
          <w:t>R053</w:t>
        </w:r>
      </w:hyperlink>
      <w:r>
        <w:t xml:space="preserve"> · </w:t>
      </w:r>
      <w:hyperlink r:id="rId45">
        <w:r>
          <w:rPr>
            <w:color w:val="235C68"/>
            <w:u w:val="single"/>
            <w:sz w:val="18"/>
          </w:rPr>
          <w:t>R062</w:t>
        </w:r>
      </w:hyperlink>
    </w:p>
    <w:p>
      <w:pPr>
        <w:pStyle w:val="Heading2"/>
      </w:pPr>
      <w:r>
        <w:t>Релевантность и количественный итог</w:t>
      </w:r>
    </w:p>
    <w:p>
      <w:r>
        <w:t>68 строк registry — это способы доступа, версии и инфраструктурные записи, а не 68 различных сочинений. После объединения переводов, рукописей и повторных репозиториев получается около 30 первичных названий и текстовых комплексов. Астрономия V.1 не посчитана ещё одним независимым Milḥamot; комплекс Аверроэс–Нарбони и составные издания не искусственно разложены на страницы.</w:t>
      </w:r>
    </w:p>
    <w:p>
      <w:r>
        <w:t>По меткам записей: core — 37; same_corpus_or_tradition — 10; antecedent — 4; continuation — 6; commentary_or_reception — 3; transmission_or_preservation — 4; supporting — 1; infrastructure — 3. Категории boundary и secondary_navigation не добавлялись ради заполнения классификации. Полезная вторичная библиография в основном вынесена в примечания и gaps, а не конкурирует с первичными текстами.</w:t>
      </w:r>
    </w:p>
    <w:p>
      <w:r>
        <w:br w:type="page"/>
      </w:r>
    </w:p>
    <w:p>
      <w:pPr>
        <w:pStyle w:val="Heading1"/>
      </w:pPr>
      <w:r>
        <w:t>3. Лучшие пути доступа</w:t>
      </w:r>
    </w:p>
    <w:p>
      <w:pPr>
        <w:pStyle w:val="Heading2"/>
      </w:pPr>
      <w:r>
        <w:t>3.1. Герсонид: Milḥamot и научно-логический корпус</w:t>
      </w:r>
    </w:p>
    <w:p>
      <w:r>
        <w:t>Бесплатный рабочий вход в ивритский Milḥamot — историческое издание 1866 года из коллекции University of Toronto на Internet Archive. Открыт полный OCR-файл; он пригоден для обнаружения мест, но не для бесконтрольного цитирования без сверки со сканом. Альтернатива — каталожная запись HathiTrust с Full View. Sefaria сохранена как удобная потенциальная среда чтения, однако полнота и лицензия конкретной версии не подтверждены.</w:t>
      </w:r>
      <w:r>
        <w:t xml:space="preserve">  </w:t>
      </w:r>
      <w:hyperlink r:id="rId16">
        <w:r>
          <w:rPr>
            <w:color w:val="235C68"/>
            <w:u w:val="single"/>
            <w:sz w:val="18"/>
          </w:rPr>
          <w:t>R001</w:t>
        </w:r>
      </w:hyperlink>
      <w:r>
        <w:t xml:space="preserve"> · </w:t>
      </w:r>
      <w:hyperlink r:id="rId11">
        <w:r>
          <w:rPr>
            <w:color w:val="235C68"/>
            <w:u w:val="single"/>
            <w:sz w:val="18"/>
          </w:rPr>
          <w:t>R002</w:t>
        </w:r>
      </w:hyperlink>
      <w:r>
        <w:t xml:space="preserve"> · </w:t>
      </w:r>
      <w:hyperlink r:id="rId12">
        <w:r>
          <w:rPr>
            <w:color w:val="235C68"/>
            <w:u w:val="single"/>
            <w:sz w:val="18"/>
          </w:rPr>
          <w:t>R003</w:t>
        </w:r>
      </w:hyperlink>
    </w:p>
    <w:p>
      <w:r>
        <w:t>Современный английский вход — трёхтомный перевод Seymour Feldman, Jewish Publication Society. Издательские маршруты сохранены отдельно по томам: выбор тома важен для содержания и покупки. Для книги III полезен самостоятельный перевод Norbert Max Samuelson, PIMS 1977, с развернутым комментарием. Эти материалы научно ценны, но не образуют свободного слоя для зеркалирования.</w:t>
      </w:r>
      <w:r>
        <w:t xml:space="preserve">  </w:t>
      </w:r>
      <w:hyperlink r:id="rId46">
        <w:r>
          <w:rPr>
            <w:color w:val="235C68"/>
            <w:u w:val="single"/>
            <w:sz w:val="18"/>
          </w:rPr>
          <w:t>R004</w:t>
        </w:r>
      </w:hyperlink>
      <w:r>
        <w:t xml:space="preserve"> · </w:t>
      </w:r>
      <w:hyperlink r:id="rId17">
        <w:r>
          <w:rPr>
            <w:color w:val="235C68"/>
            <w:u w:val="single"/>
            <w:sz w:val="18"/>
          </w:rPr>
          <w:t>R005</w:t>
        </w:r>
      </w:hyperlink>
      <w:r>
        <w:t xml:space="preserve"> · </w:t>
      </w:r>
      <w:hyperlink r:id="rId47">
        <w:r>
          <w:rPr>
            <w:color w:val="235C68"/>
            <w:u w:val="single"/>
            <w:sz w:val="18"/>
          </w:rPr>
          <w:t>R006</w:t>
        </w:r>
      </w:hyperlink>
      <w:r>
        <w:t xml:space="preserve"> · </w:t>
      </w:r>
      <w:hyperlink r:id="rId48">
        <w:r>
          <w:rPr>
            <w:color w:val="235C68"/>
            <w:u w:val="single"/>
            <w:sz w:val="18"/>
          </w:rPr>
          <w:t>R058</w:t>
        </w:r>
      </w:hyperlink>
    </w:p>
    <w:p>
      <w:r>
        <w:t>Русский маршрут — «Войны Господа. Книги I–IV», официальный магазин «Книжники», ISBN 9785995303886. На проверенной странице — отсутствие на складе; это не доказательство отсутствия издания или невозможности библиотечного доступа. Полного законного русского онлайн-текста и подтверждённого второго тома в этом исследовании не найдено. Переводчик и год не заполнены по непроверенным агрегаторам.</w:t>
      </w:r>
      <w:r>
        <w:t xml:space="preserve">  </w:t>
      </w:r>
      <w:hyperlink r:id="rId49">
        <w:r>
          <w:rPr>
            <w:color w:val="235C68"/>
            <w:u w:val="single"/>
            <w:sz w:val="18"/>
          </w:rPr>
          <w:t>R041</w:t>
        </w:r>
      </w:hyperlink>
    </w:p>
    <w:p>
      <w:r>
        <w:t>Астрономия — отдельная задача доступа. Goldstein, The Astronomy of Levi ben Gerson, издаёт главы 1–20 научного раздела V.1. Это важный современный перевод/издание, но не весь массив из 136 глав. Остальные главы, таблицы и латинская передача остаются самостоятельным пробелом. Для собственного перевода нельзя дополнять лакуны свободной старой печати материалом защищённого перевода, объявляя получившийся текст полностью свободным.</w:t>
      </w:r>
      <w:r>
        <w:t xml:space="preserve">  </w:t>
      </w:r>
      <w:hyperlink r:id="rId19">
        <w:r>
          <w:rPr>
            <w:color w:val="235C68"/>
            <w:u w:val="single"/>
            <w:sz w:val="18"/>
          </w:rPr>
          <w:t>R022</w:t>
        </w:r>
      </w:hyperlink>
    </w:p>
    <w:p>
      <w:r>
        <w:t>Логика: The Logic of Gersonides, Manekin 1992, даёт научный вход в Sefer ha-Heqqesh ha-Yashar. Это не весь герсонидовский логический корпус и не замена суперкомментариям. Доступ сохранён через издателя, покупку/подписку и preview; чистая историческая основа всего трактата и ранней латинской версии требует отдельного поиска.</w:t>
      </w:r>
      <w:r>
        <w:t xml:space="preserve">  </w:t>
      </w:r>
      <w:hyperlink r:id="rId50">
        <w:r>
          <w:rPr>
            <w:color w:val="235C68"/>
            <w:u w:val="single"/>
            <w:sz w:val="18"/>
          </w:rPr>
          <w:t>R008</w:t>
        </w:r>
      </w:hyperlink>
    </w:p>
    <w:p>
      <w:r>
        <w:t>Наиболее ясный открытый научный слой — Maaseh Hoshev в издании Gerson Lange 1909: ивритский текст и немецкий перевод, ULB Düsseldorf. На карточке стоит Public Domain Mark 1.0, доступен IIIF manifest и предлагается полный PDF. Из-за размера 87.44 MB файл целиком не проверен инструментом; ссылка на отдельный раздел не выдана за целую книгу. Это прямое расширение авторского корпуса Герсонида, а не уход в общую историю математики.</w:t>
      </w:r>
      <w:r>
        <w:t xml:space="preserve">  </w:t>
      </w:r>
      <w:hyperlink r:id="rId15">
        <w:r>
          <w:rPr>
            <w:color w:val="235C68"/>
            <w:u w:val="single"/>
            <w:sz w:val="18"/>
          </w:rPr>
          <w:t>R043</w:t>
        </w:r>
      </w:hyperlink>
      <w:r>
        <w:t xml:space="preserve"> · </w:t>
      </w:r>
      <w:hyperlink r:id="rId51">
        <w:r>
          <w:rPr>
            <w:color w:val="235C68"/>
            <w:u w:val="single"/>
            <w:sz w:val="18"/>
          </w:rPr>
          <w:t>R044</w:t>
        </w:r>
      </w:hyperlink>
    </w:p>
    <w:p>
      <w:pPr>
        <w:pStyle w:val="Heading2"/>
      </w:pPr>
      <w:r>
        <w:t>3.2. Библейская философская экзегеза</w:t>
      </w:r>
    </w:p>
    <w:p>
      <w:r>
        <w:t>Для Иова сочетаются вход Sefaria, библиотечная идентификация перевода Abraham L. Lassen 1946 и конкретный экземпляр Braginsky Collection 140, Неаполь 1487. Последний не следует путать с Феррарой 1477; его фотографии защищены. Для Песни песней сохранены ивритский вход, современный английский перевод Menachem Kellner, Yale 1998, и латинская передача Митридата в издании Andreatta 2009.</w:t>
      </w:r>
      <w:r>
        <w:t xml:space="preserve">  </w:t>
      </w:r>
      <w:hyperlink r:id="rId52">
        <w:r>
          <w:rPr>
            <w:color w:val="235C68"/>
            <w:u w:val="single"/>
            <w:sz w:val="18"/>
          </w:rPr>
          <w:t>R036</w:t>
        </w:r>
      </w:hyperlink>
      <w:r>
        <w:t xml:space="preserve"> · </w:t>
      </w:r>
      <w:hyperlink r:id="rId53">
        <w:r>
          <w:rPr>
            <w:color w:val="235C68"/>
            <w:u w:val="single"/>
            <w:sz w:val="18"/>
          </w:rPr>
          <w:t>R037</w:t>
        </w:r>
      </w:hyperlink>
      <w:r>
        <w:t xml:space="preserve"> · </w:t>
      </w:r>
      <w:hyperlink r:id="rId54">
        <w:r>
          <w:rPr>
            <w:color w:val="235C68"/>
            <w:u w:val="single"/>
            <w:sz w:val="18"/>
          </w:rPr>
          <w:t>R055</w:t>
        </w:r>
      </w:hyperlink>
      <w:r>
        <w:t xml:space="preserve"> · </w:t>
      </w:r>
      <w:hyperlink r:id="rId55">
        <w:r>
          <w:rPr>
            <w:color w:val="235C68"/>
            <w:u w:val="single"/>
            <w:sz w:val="18"/>
          </w:rPr>
          <w:t>R057</w:t>
        </w:r>
      </w:hyperlink>
      <w:r>
        <w:t xml:space="preserve"> · </w:t>
      </w:r>
      <w:hyperlink r:id="rId56">
        <w:r>
          <w:rPr>
            <w:color w:val="235C68"/>
            <w:u w:val="single"/>
            <w:sz w:val="18"/>
          </w:rPr>
          <w:t>R059</w:t>
        </w:r>
      </w:hyperlink>
      <w:r>
        <w:t xml:space="preserve"> · </w:t>
      </w:r>
      <w:hyperlink r:id="rId43">
        <w:r>
          <w:rPr>
            <w:color w:val="235C68"/>
            <w:u w:val="single"/>
            <w:sz w:val="18"/>
          </w:rPr>
          <w:t>R060</w:t>
        </w:r>
      </w:hyperlink>
    </w:p>
    <w:p>
      <w:r>
        <w:br w:type="page"/>
      </w:r>
    </w:p>
    <w:p>
      <w:pPr>
        <w:pStyle w:val="Heading2"/>
      </w:pPr>
      <w:r>
        <w:t>3.3. Албалаг и Hebrew Averroes</w:t>
      </w:r>
    </w:p>
    <w:p>
      <w:r>
        <w:t>Tiqqun ha-Deʿot требует послойного чтения. Академическая публикация Georges Vajda 1973 — важнейшая точка входа, но содержит авторские глоссы, а не автоматически весь переведённый Maqāṣid. Auerbach 1906 в HathiTrust — ранняя частичная публикация, с явным указанием, что продолжение не вышло. Исходный Ktiv-вход сохранён, однако живое открытие рукописи не удалось.</w:t>
      </w:r>
      <w:r>
        <w:t xml:space="preserve">  </w:t>
      </w:r>
      <w:hyperlink r:id="rId18">
        <w:r>
          <w:rPr>
            <w:color w:val="235C68"/>
            <w:u w:val="single"/>
            <w:sz w:val="18"/>
          </w:rPr>
          <w:t>R007</w:t>
        </w:r>
      </w:hyperlink>
      <w:r>
        <w:t xml:space="preserve"> · </w:t>
      </w:r>
      <w:hyperlink r:id="rId57">
        <w:r>
          <w:rPr>
            <w:color w:val="235C68"/>
            <w:u w:val="single"/>
            <w:sz w:val="18"/>
          </w:rPr>
          <w:t>R014</w:t>
        </w:r>
      </w:hyperlink>
      <w:r>
        <w:t xml:space="preserve"> · </w:t>
      </w:r>
      <w:hyperlink r:id="rId14">
        <w:r>
          <w:rPr>
            <w:color w:val="235C68"/>
            <w:u w:val="single"/>
            <w:sz w:val="18"/>
          </w:rPr>
          <w:t>R018</w:t>
        </w:r>
      </w:hyperlink>
    </w:p>
    <w:p>
      <w:r>
        <w:t>Лучший проверенный короткий английский вход — выборка из Tiqqun в Medieval Jewish Philosophical Writings, под редакцией Charles Manekin, pp.140–142. Бесплатно читается preview; полная глава требует соответствующего доступа. Это несколько страниц о будущих возможных событиях, а не перевод всего сочинения. Тот же сборник полезен для Нарбони, Герсонида, Крескаса и Альбо; он учтён одним пакетом доступа.</w:t>
      </w:r>
      <w:r>
        <w:t xml:space="preserve">  </w:t>
      </w:r>
      <w:hyperlink r:id="rId39">
        <w:r>
          <w:rPr>
            <w:color w:val="235C68"/>
            <w:u w:val="single"/>
            <w:sz w:val="18"/>
          </w:rPr>
          <w:t>R064</w:t>
        </w:r>
      </w:hyperlink>
    </w:p>
    <w:p>
      <w:r>
        <w:t>Для арабского основания доступнее всего Maqāṣid, Cairo 1913, Princeton / Arabic Collections Online. Карточка явно объявляет public domain и даёт факсимильный путь. Ивритская рукопись BnF Hébreu 901 добавляет независимый материальный свидетель еврейской передачи, но её точная переводческая принадлежность и текущие условия Gallica ещё требуют проверки.</w:t>
      </w:r>
      <w:r>
        <w:t xml:space="preserve">  </w:t>
      </w:r>
      <w:hyperlink r:id="rId20">
        <w:r>
          <w:rPr>
            <w:color w:val="235C68"/>
            <w:u w:val="single"/>
            <w:sz w:val="18"/>
          </w:rPr>
          <w:t>R033</w:t>
        </w:r>
      </w:hyperlink>
      <w:r>
        <w:t xml:space="preserve"> · </w:t>
      </w:r>
      <w:hyperlink r:id="rId23">
        <w:r>
          <w:rPr>
            <w:color w:val="235C68"/>
            <w:u w:val="single"/>
            <w:sz w:val="18"/>
          </w:rPr>
          <w:t>R065</w:t>
        </w:r>
      </w:hyperlink>
    </w:p>
    <w:p>
      <w:r>
        <w:t>DARE предоставляет три особенно полезных научных PDF: ивритскую версию краткого комментария Аверроэса к «О небе»; суперкомментарий Герсонида к этому тексту; суперкомментарий Герсонида к эпитоме «О душе». Ссылки ведут к официальной университетской публикационной среде. Скачивание для исследования сохранено; явная лицензия на зеркалирование, публикацию производной транскрипции или открытого индекса не установлена.</w:t>
      </w:r>
      <w:r>
        <w:t xml:space="preserve">  </w:t>
      </w:r>
      <w:hyperlink r:id="rId24">
        <w:r>
          <w:rPr>
            <w:color w:val="235C68"/>
            <w:u w:val="single"/>
            <w:sz w:val="18"/>
          </w:rPr>
          <w:t>R023</w:t>
        </w:r>
      </w:hyperlink>
      <w:r>
        <w:t xml:space="preserve"> · </w:t>
      </w:r>
      <w:hyperlink r:id="rId58">
        <w:r>
          <w:rPr>
            <w:color w:val="235C68"/>
            <w:u w:val="single"/>
            <w:sz w:val="18"/>
          </w:rPr>
          <w:t>R024</w:t>
        </w:r>
      </w:hyperlink>
      <w:r>
        <w:t xml:space="preserve"> · </w:t>
      </w:r>
      <w:hyperlink r:id="rId59">
        <w:r>
          <w:rPr>
            <w:color w:val="235C68"/>
            <w:u w:val="single"/>
            <w:sz w:val="18"/>
          </w:rPr>
          <w:t>R025</w:t>
        </w:r>
      </w:hyperlink>
    </w:p>
    <w:p>
      <w:r>
        <w:t>Для средних комментариев к «Первой аналитике», «Второй аналитике» и «О небе» каталог DARE даёт конкретные версии и рукописные шифры. Их viewer-страницы повторно вернули HTTP 403. Это не отсутствие текстов: записи сохраняют точные textid и путь возвращения к ним, но не обещают проверенного бесплатного полного чтения.</w:t>
      </w:r>
      <w:r>
        <w:t xml:space="preserve">  </w:t>
      </w:r>
      <w:hyperlink r:id="rId60">
        <w:r>
          <w:rPr>
            <w:color w:val="235C68"/>
            <w:u w:val="single"/>
            <w:sz w:val="18"/>
          </w:rPr>
          <w:t>R026</w:t>
        </w:r>
      </w:hyperlink>
      <w:r>
        <w:t xml:space="preserve"> · </w:t>
      </w:r>
      <w:hyperlink r:id="rId27">
        <w:r>
          <w:rPr>
            <w:color w:val="235C68"/>
            <w:u w:val="single"/>
            <w:sz w:val="18"/>
          </w:rPr>
          <w:t>R066</w:t>
        </w:r>
      </w:hyperlink>
      <w:r>
        <w:t xml:space="preserve"> · </w:t>
      </w:r>
      <w:hyperlink r:id="rId28">
        <w:r>
          <w:rPr>
            <w:color w:val="235C68"/>
            <w:u w:val="single"/>
            <w:sz w:val="18"/>
          </w:rPr>
          <w:t>R067</w:t>
        </w:r>
      </w:hyperlink>
      <w:r>
        <w:t xml:space="preserve"> · </w:t>
      </w:r>
      <w:hyperlink r:id="rId29">
        <w:r>
          <w:rPr>
            <w:color w:val="235C68"/>
            <w:u w:val="single"/>
            <w:sz w:val="18"/>
          </w:rPr>
          <w:t>R068</w:t>
        </w:r>
      </w:hyperlink>
    </w:p>
    <w:p>
      <w:r>
        <w:t>Предпочтительный машиночитаемый вариант нельзя назначить всему Hebrew Averroes одной лицензией. Официальные XML/транскрипции полезны, когда доступны, но лицензия программного обеспечения DARE не является правом на научный текст. Для некоторых объектов проект сам указывает выдачу XML по запросу или временную недоступность; такие обращения от имени пользователя не выполнялись.</w:t>
      </w:r>
      <w:r>
        <w:t xml:space="preserve">  </w:t>
      </w:r>
      <w:hyperlink r:id="rId60">
        <w:r>
          <w:rPr>
            <w:color w:val="235C68"/>
            <w:u w:val="single"/>
            <w:sz w:val="18"/>
          </w:rPr>
          <w:t>R026</w:t>
        </w:r>
      </w:hyperlink>
    </w:p>
    <w:p>
      <w:pPr>
        <w:pStyle w:val="Heading2"/>
      </w:pPr>
      <w:r>
        <w:t>3.4. Нарбони и близкая полемическая линия</w:t>
      </w:r>
    </w:p>
    <w:p>
      <w:r>
        <w:t>Комментарий Нарбони к Guide, Goldenthal 1852, найден в библиотечном каталоге, однако привязанный скан не открылся. Эпистола Аверроэса о возможности соединения с деятельным интеллектом с комментарием Нарбони доступна в научном издании Kalman P. Bland 1982 через библиотечный экземпляр Wellcome. Internet Archive для той же книги предлагает лишь ограниченную карточку: читаемого файла или действующей выдачи не подтверждено.</w:t>
      </w:r>
      <w:r>
        <w:t xml:space="preserve">  </w:t>
      </w:r>
      <w:hyperlink r:id="rId36">
        <w:r>
          <w:rPr>
            <w:color w:val="235C68"/>
            <w:u w:val="single"/>
            <w:sz w:val="18"/>
          </w:rPr>
          <w:t>R049</w:t>
        </w:r>
      </w:hyperlink>
      <w:r>
        <w:t xml:space="preserve"> · </w:t>
      </w:r>
      <w:hyperlink r:id="rId26">
        <w:r>
          <w:rPr>
            <w:color w:val="235C68"/>
            <w:u w:val="single"/>
            <w:sz w:val="18"/>
          </w:rPr>
          <w:t>R050</w:t>
        </w:r>
      </w:hyperlink>
      <w:r>
        <w:t xml:space="preserve"> · </w:t>
      </w:r>
      <w:hyperlink r:id="rId61">
        <w:r>
          <w:rPr>
            <w:color w:val="235C68"/>
            <w:u w:val="single"/>
            <w:sz w:val="18"/>
          </w:rPr>
          <w:t>R051</w:t>
        </w:r>
      </w:hyperlink>
    </w:p>
    <w:p>
      <w:r>
        <w:t>Для Полкара старое Ezer ha-Dat, Belasco 1906, даёт ивритский текст с английским введением, а не полный английский перевод. Статья Aurora Salvatierra Ossorio 2023 содержит испанские переводы выбранных фрагментов и имеет проверенную CC BY 4.0. Эта лицензия распространяется на статью и включённые авторские переводы, не превращая всё Ezer ha-Dat или современную базовую редакцию в открытый корпус.</w:t>
      </w:r>
      <w:r>
        <w:t xml:space="preserve">  </w:t>
      </w:r>
      <w:hyperlink r:id="rId32">
        <w:r>
          <w:rPr>
            <w:color w:val="235C68"/>
            <w:u w:val="single"/>
            <w:sz w:val="18"/>
          </w:rPr>
          <w:t>R045</w:t>
        </w:r>
      </w:hyperlink>
      <w:r>
        <w:t xml:space="preserve"> · </w:t>
      </w:r>
      <w:hyperlink r:id="rId33">
        <w:r>
          <w:rPr>
            <w:color w:val="235C68"/>
            <w:u w:val="single"/>
            <w:sz w:val="18"/>
          </w:rPr>
          <w:t>R046</w:t>
        </w:r>
      </w:hyperlink>
    </w:p>
    <w:p>
      <w:r>
        <w:br w:type="page"/>
      </w:r>
    </w:p>
    <w:p>
      <w:pPr>
        <w:pStyle w:val="Heading2"/>
      </w:pPr>
      <w:r>
        <w:t>3.5. Крескас: Or Hashem и малые сочинения</w:t>
      </w:r>
    </w:p>
    <w:p>
      <w:r>
        <w:t>Бесплатное чтение современной ивритской редакции Or Hashem доступно на Daat в комплекте PDF. Особенно ценное доказательство происхождения доступа — подписанное разрешение Shlomo Fisher на включение изданного им текста в Daat. Оно разрешает именно это размещение; не предоставляет ToS право переносить комплект на свой сервер или публично распространять его OCR.</w:t>
      </w:r>
      <w:r>
        <w:t xml:space="preserve">  </w:t>
      </w:r>
      <w:hyperlink r:id="rId62">
        <w:r>
          <w:rPr>
            <w:color w:val="235C68"/>
            <w:u w:val="single"/>
            <w:sz w:val="18"/>
          </w:rPr>
          <w:t>R029</w:t>
        </w:r>
      </w:hyperlink>
    </w:p>
    <w:p>
      <w:r>
        <w:t>Для исторического печатного слоя есть факсимиле Or Adonai, Феррара 1555, на Commons и Internet Archive. В цифровой упаковке присутствуют более поздние материалы репринта: положительные теги относятся только к историческому тексту/репродукции, а не к современным введениям и выходным страницам. Проверенный OCR удобен для поиска, но требует сверки с ивритской печатью.</w:t>
      </w:r>
      <w:r>
        <w:t xml:space="preserve">  </w:t>
      </w:r>
      <w:hyperlink r:id="rId41">
        <w:r>
          <w:rPr>
            <w:color w:val="235C68"/>
            <w:u w:val="single"/>
            <w:sz w:val="18"/>
          </w:rPr>
          <w:t>R027</w:t>
        </w:r>
      </w:hyperlink>
      <w:r>
        <w:t xml:space="preserve"> · </w:t>
      </w:r>
      <w:hyperlink r:id="rId63">
        <w:r>
          <w:rPr>
            <w:color w:val="235C68"/>
            <w:u w:val="single"/>
            <w:sz w:val="18"/>
          </w:rPr>
          <w:t>R028</w:t>
        </w:r>
      </w:hyperlink>
    </w:p>
    <w:p>
      <w:r>
        <w:t>Лучший найденный рукописный вход для самостоятельной текстовой работы — BSB Cod. hebr. 301, XV век по BSB, 150 листов. Официальный IIIF manifest открыт и сообщает Public Domain Mark 1.0. Пользовательский viewer в инструменте не открылся, поэтому не заявляется просмотр каждого листа. В Biblissima сохранилась старая CC BY-NC-SA 4.0; в реестре приоритет отдан текущему первичному manifest, а расхождение явно записано.</w:t>
      </w:r>
      <w:r>
        <w:t xml:space="preserve">  </w:t>
      </w:r>
      <w:hyperlink r:id="rId64">
        <w:r>
          <w:rPr>
            <w:color w:val="235C68"/>
            <w:u w:val="single"/>
            <w:sz w:val="18"/>
          </w:rPr>
          <w:t>R056</w:t>
        </w:r>
      </w:hyperlink>
    </w:p>
    <w:p>
      <w:r>
        <w:t>Для современного научного чтения сохранены полный английский перевод Roslyn Weiss, Oxford 2018, французский перевод Éric Smilévitch, Hermann 2010, и критическая ивритская редакция Shlomo H. Levin. У Levin текущая страница третьего издания и доступный образец 2019 года не смешаны: разные ISBN и редакционные слои остаются разными объектами. Бесплатный sample — не лицензия и не полный актуальный том.</w:t>
      </w:r>
      <w:r>
        <w:t xml:space="preserve">  </w:t>
      </w:r>
      <w:hyperlink r:id="rId65">
        <w:r>
          <w:rPr>
            <w:color w:val="235C68"/>
            <w:u w:val="single"/>
            <w:sz w:val="18"/>
          </w:rPr>
          <w:t>R010</w:t>
        </w:r>
      </w:hyperlink>
      <w:r>
        <w:t xml:space="preserve"> · </w:t>
      </w:r>
      <w:hyperlink r:id="rId66">
        <w:r>
          <w:rPr>
            <w:color w:val="235C68"/>
            <w:u w:val="single"/>
            <w:sz w:val="18"/>
          </w:rPr>
          <w:t>R021</w:t>
        </w:r>
      </w:hyperlink>
      <w:r>
        <w:t xml:space="preserve"> · </w:t>
      </w:r>
      <w:hyperlink r:id="rId67">
        <w:r>
          <w:rPr>
            <w:color w:val="235C68"/>
            <w:u w:val="single"/>
            <w:sz w:val="18"/>
          </w:rPr>
          <w:t>R031</w:t>
        </w:r>
      </w:hyperlink>
      <w:r>
        <w:t xml:space="preserve"> · </w:t>
      </w:r>
      <w:hyperlink r:id="rId68">
        <w:r>
          <w:rPr>
            <w:color w:val="235C68"/>
            <w:u w:val="single"/>
            <w:sz w:val="18"/>
          </w:rPr>
          <w:t>R032</w:t>
        </w:r>
      </w:hyperlink>
    </w:p>
    <w:p>
      <w:r>
        <w:t>Новый объединённый издательский вход — Hasdai Crescas: Collected Writings, Koren. Он включает Or Hashem, пасхальную проповедь, антикристианское сочинение и письмо об испанских погромах 1391 года. Открыт официальный 32-страничный образец, подтверждающий состав и распределение переводчиков. Сам сборник защищён; четыре внутренних сочинения не посчитаны четырьмя скачиваемыми файлами.</w:t>
      </w:r>
      <w:r>
        <w:t xml:space="preserve">  </w:t>
      </w:r>
      <w:hyperlink r:id="rId69">
        <w:r>
          <w:rPr>
            <w:color w:val="235C68"/>
            <w:u w:val="single"/>
            <w:sz w:val="18"/>
          </w:rPr>
          <w:t>R011</w:t>
        </w:r>
      </w:hyperlink>
    </w:p>
    <w:p>
      <w:r>
        <w:t>Пасхальная проповедь отдельно представлена критическим изданием Aviezer Ravitzky в каталоге Israel Academy и английскими отрывками Roslyn Weiss в Jewish Review of Books. Издатель указывает 1988, некоторые библиографии — 1989: расхождение не устранено догадкой. Для Bittul сохранён английский Lasker 1992 через SUNY/JSTOR, а также Koren и исходная рукописная ссылка.</w:t>
      </w:r>
      <w:r>
        <w:t xml:space="preserve">  </w:t>
      </w:r>
      <w:hyperlink r:id="rId70">
        <w:r>
          <w:rPr>
            <w:color w:val="235C68"/>
            <w:u w:val="single"/>
            <w:sz w:val="18"/>
          </w:rPr>
          <w:t>R019</w:t>
        </w:r>
      </w:hyperlink>
      <w:r>
        <w:t xml:space="preserve"> · </w:t>
      </w:r>
      <w:hyperlink r:id="rId71">
        <w:r>
          <w:rPr>
            <w:color w:val="235C68"/>
            <w:u w:val="single"/>
            <w:sz w:val="18"/>
          </w:rPr>
          <w:t>R020</w:t>
        </w:r>
      </w:hyperlink>
      <w:r>
        <w:t xml:space="preserve"> · </w:t>
      </w:r>
      <w:hyperlink r:id="rId42">
        <w:r>
          <w:rPr>
            <w:color w:val="235C68"/>
            <w:u w:val="single"/>
            <w:sz w:val="18"/>
          </w:rPr>
          <w:t>R054</w:t>
        </w:r>
      </w:hyperlink>
      <w:r>
        <w:t xml:space="preserve"> · </w:t>
      </w:r>
      <w:hyperlink r:id="rId40">
        <w:r>
          <w:rPr>
            <w:color w:val="235C68"/>
            <w:u w:val="single"/>
            <w:sz w:val="18"/>
          </w:rPr>
          <w:t>R017</w:t>
        </w:r>
      </w:hyperlink>
    </w:p>
    <w:p>
      <w:r>
        <w:t>Русский открытый вход — перевод II.5 «О выборе», В. В. Слепцова, 2020, официальный журнал Института философии РАН. Полный PDF статьи прочитан; перевод занимает только этот раздел Or Hashem и выполнен по современной ивритской редакции. Открытое чтение подтверждено, но применимое item-level разрешение на дальнейшее распространение не установлено. Отдельный русский фрагмент Герсонида 2025 года сохранён в gaps: ссылка обнаружена, доступ не проверен.</w:t>
      </w:r>
      <w:r>
        <w:t xml:space="preserve">  </w:t>
      </w:r>
      <w:hyperlink r:id="rId72">
        <w:r>
          <w:rPr>
            <w:color w:val="235C68"/>
            <w:u w:val="single"/>
            <w:sz w:val="18"/>
          </w:rPr>
          <w:t>R042</w:t>
        </w:r>
      </w:hyperlink>
    </w:p>
    <w:p>
      <w:r>
        <w:br w:type="page"/>
      </w:r>
    </w:p>
    <w:p>
      <w:pPr>
        <w:pStyle w:val="Heading2"/>
      </w:pPr>
      <w:r>
        <w:t>3.6. Поздние продолжения, рецепция и данные</w:t>
      </w:r>
    </w:p>
    <w:p>
      <w:r>
        <w:t>Для Sefer ha-Ikkarim Альбо удобны вход Sefaria и старый двуязычный перевод Isaac Husik на Internet Archive. Проверенная копия — именно Volume Two, 1929, а не все тома сочинения. Её нельзя рекламировать как полный корпус Альбо. Для Derekh Emunah Бибагó найдено конкретное старопечатное издание 1522 года в NLI с явным item-level заявлением public domain в Израиле и разрешением использования; зарубежная применимость требует отдельной проверки.</w:t>
      </w:r>
      <w:r>
        <w:t xml:space="preserve">  </w:t>
      </w:r>
      <w:hyperlink r:id="rId30">
        <w:r>
          <w:rPr>
            <w:color w:val="235C68"/>
            <w:u w:val="single"/>
            <w:sz w:val="18"/>
          </w:rPr>
          <w:t>R039</w:t>
        </w:r>
      </w:hyperlink>
      <w:r>
        <w:t xml:space="preserve"> · </w:t>
      </w:r>
      <w:hyperlink r:id="rId31">
        <w:r>
          <w:rPr>
            <w:color w:val="235C68"/>
            <w:u w:val="single"/>
            <w:sz w:val="18"/>
          </w:rPr>
          <w:t>R040</w:t>
        </w:r>
      </w:hyperlink>
      <w:r>
        <w:t xml:space="preserve"> · </w:t>
      </w:r>
      <w:hyperlink r:id="rId34">
        <w:r>
          <w:rPr>
            <w:color w:val="235C68"/>
            <w:u w:val="single"/>
            <w:sz w:val="18"/>
          </w:rPr>
          <w:t>R047</w:t>
        </w:r>
      </w:hyperlink>
    </w:p>
    <w:p>
      <w:r>
        <w:t>Beḥinat ha-Dat Дельмедиго, второе издание Reggio 1833, доступно через HathiTrust с режимом Full View в каталоге. Для Nofet Tsufim Иегуды Мессер Леона предпочтителен научный двуязычный перевод Isaac Rabinowitz, Cornell 1983, на JSTOR: защищённый, но практически полезный институциональный маршрут. Оба произведения расширяют прямую позднюю книжную среду строки, а не всю еврейскую литературу XV века.</w:t>
      </w:r>
      <w:r>
        <w:t xml:space="preserve">  </w:t>
      </w:r>
      <w:hyperlink r:id="rId35">
        <w:r>
          <w:rPr>
            <w:color w:val="235C68"/>
            <w:u w:val="single"/>
            <w:sz w:val="18"/>
          </w:rPr>
          <w:t>R048</w:t>
        </w:r>
      </w:hyperlink>
      <w:r>
        <w:t xml:space="preserve"> · </w:t>
      </w:r>
      <w:hyperlink r:id="rId37">
        <w:r>
          <w:rPr>
            <w:color w:val="235C68"/>
            <w:u w:val="single"/>
            <w:sz w:val="18"/>
          </w:rPr>
          <w:t>R052</w:t>
        </w:r>
      </w:hyperlink>
    </w:p>
    <w:p>
      <w:r>
        <w:t>Для прямой раннемодерной рецепции лучше начинать не с общего тезиса «Крескас повлиял на Спинозу», а с письма о бесконечности к Мейеру. В старом английском переводе Elwes оно имеет номер XXIX; современная нумерация обычно Letter 12. Сохранена одна конкретная версия полного письма. Латинский оригинал в этой записи отсутствует, поэтому тег OWN_TRANSLATION_POSSIBLE не поставлен.</w:t>
      </w:r>
      <w:r>
        <w:t xml:space="preserve">  </w:t>
      </w:r>
      <w:hyperlink r:id="rId44">
        <w:r>
          <w:rPr>
            <w:color w:val="235C68"/>
            <w:u w:val="single"/>
            <w:sz w:val="18"/>
          </w:rPr>
          <w:t>R053</w:t>
        </w:r>
      </w:hyperlink>
    </w:p>
    <w:p>
      <w:r>
        <w:t>Для Иссерлеса имеется свободно читаемая глава Torat ha-Olah III.49. Её текст прямо обсуждает Герсонида; это достаточный локальный вход в рецепцию. Но страница помечена как непроверенная транскрипция, а печатное основание не установлено. Поэтому её не следует автоматически брать как чистую основу собственного перевода или публичного полнотекстового набора.</w:t>
      </w:r>
      <w:r>
        <w:t xml:space="preserve">  </w:t>
      </w:r>
      <w:hyperlink r:id="rId45">
        <w:r>
          <w:rPr>
            <w:color w:val="235C68"/>
            <w:u w:val="single"/>
            <w:sz w:val="18"/>
          </w:rPr>
          <w:t>R062</w:t>
        </w:r>
      </w:hyperlink>
    </w:p>
    <w:p>
      <w:pPr>
        <w:pStyle w:val="Heading2"/>
      </w:pPr>
      <w:r>
        <w:t>Машиночитаемый слой</w:t>
      </w:r>
    </w:p>
    <w:p>
      <w:r>
        <w:t>Самые ясные найденные технические точки доступа — официальный IIIF BSB и ULB Düsseldorf, ACO, OCR исторических сканов, Project Gutenberg и официальный экспорт Sefaria. Их роли различны: IIIF описывает изображения конкретного свидетеля; OCR является производным распознаванием; Gutenberg предоставляет проверенную старую переводную версию; Sefaria требует version-level проверки до загрузки нужного текста.</w:t>
      </w:r>
      <w:r>
        <w:t xml:space="preserve">  </w:t>
      </w:r>
      <w:hyperlink r:id="rId16">
        <w:r>
          <w:rPr>
            <w:color w:val="235C68"/>
            <w:u w:val="single"/>
            <w:sz w:val="18"/>
          </w:rPr>
          <w:t>R001</w:t>
        </w:r>
      </w:hyperlink>
      <w:r>
        <w:t xml:space="preserve"> · </w:t>
      </w:r>
      <w:hyperlink r:id="rId13">
        <w:r>
          <w:rPr>
            <w:color w:val="235C68"/>
            <w:u w:val="single"/>
            <w:sz w:val="18"/>
          </w:rPr>
          <w:t>R012</w:t>
        </w:r>
      </w:hyperlink>
      <w:r>
        <w:t xml:space="preserve"> · </w:t>
      </w:r>
      <w:hyperlink r:id="rId63">
        <w:r>
          <w:rPr>
            <w:color w:val="235C68"/>
            <w:u w:val="single"/>
            <w:sz w:val="18"/>
          </w:rPr>
          <w:t>R028</w:t>
        </w:r>
      </w:hyperlink>
      <w:r>
        <w:t xml:space="preserve"> · </w:t>
      </w:r>
      <w:hyperlink r:id="rId20">
        <w:r>
          <w:rPr>
            <w:color w:val="235C68"/>
            <w:u w:val="single"/>
            <w:sz w:val="18"/>
          </w:rPr>
          <w:t>R033</w:t>
        </w:r>
      </w:hyperlink>
      <w:r>
        <w:t xml:space="preserve"> · </w:t>
      </w:r>
      <w:hyperlink r:id="rId21">
        <w:r>
          <w:rPr>
            <w:color w:val="235C68"/>
            <w:u w:val="single"/>
            <w:sz w:val="18"/>
          </w:rPr>
          <w:t>R034</w:t>
        </w:r>
      </w:hyperlink>
      <w:r>
        <w:t xml:space="preserve"> · </w:t>
      </w:r>
      <w:hyperlink r:id="rId15">
        <w:r>
          <w:rPr>
            <w:color w:val="235C68"/>
            <w:u w:val="single"/>
            <w:sz w:val="18"/>
          </w:rPr>
          <w:t>R043</w:t>
        </w:r>
      </w:hyperlink>
      <w:r>
        <w:t xml:space="preserve"> · </w:t>
      </w:r>
      <w:hyperlink r:id="rId64">
        <w:r>
          <w:rPr>
            <w:color w:val="235C68"/>
            <w:u w:val="single"/>
            <w:sz w:val="18"/>
          </w:rPr>
          <w:t>R056</w:t>
        </w:r>
      </w:hyperlink>
    </w:p>
    <w:p>
      <w:r>
        <w:t>Sefaria-Export и снимок Sefaria/database_export на Hugging Face сохранены отдельно, потому что различаются репозиторий и проверенность содержимого. Метаданные официального HF-репозитория прочитаны подключённым инструментом, но README и нужные row-specific файлы не были получены. Метка GPL-3.0 на карточке набора не перенесена на все переводы и цифровые тексты Sefaria.</w:t>
      </w:r>
      <w:r>
        <w:t xml:space="preserve">  </w:t>
      </w:r>
      <w:hyperlink r:id="rId13">
        <w:r>
          <w:rPr>
            <w:color w:val="235C68"/>
            <w:u w:val="single"/>
            <w:sz w:val="18"/>
          </w:rPr>
          <w:t>R012</w:t>
        </w:r>
      </w:hyperlink>
      <w:r>
        <w:t xml:space="preserve"> · </w:t>
      </w:r>
      <w:hyperlink r:id="rId73">
        <w:r>
          <w:rPr>
            <w:color w:val="235C68"/>
            <w:u w:val="single"/>
            <w:sz w:val="18"/>
          </w:rPr>
          <w:t>R013</w:t>
        </w:r>
      </w:hyperlink>
    </w:p>
    <w:p>
      <w:r>
        <w:t>Надёжно проверенной работающей Controlled Digital Lending-выдачи для защищённых изданий в этом запуске не найдено. Wellcome подтверждает физическое библиотечное размещение конкретного экземпляра; это не обещание удалённой электронной выдачи. Ограниченные записи Internet Archive, WorldCat и библиотечные каталоги оставлены в карте доступа, но не объявлены полными бесплатными книгами.</w:t>
      </w:r>
      <w:r>
        <w:t xml:space="preserve">  </w:t>
      </w:r>
      <w:hyperlink r:id="rId26">
        <w:r>
          <w:rPr>
            <w:color w:val="235C68"/>
            <w:u w:val="single"/>
            <w:sz w:val="18"/>
          </w:rPr>
          <w:t>R050</w:t>
        </w:r>
      </w:hyperlink>
      <w:r>
        <w:t xml:space="preserve"> · </w:t>
      </w:r>
      <w:hyperlink r:id="rId61">
        <w:r>
          <w:rPr>
            <w:color w:val="235C68"/>
            <w:u w:val="single"/>
            <w:sz w:val="18"/>
          </w:rPr>
          <w:t>R051</w:t>
        </w:r>
      </w:hyperlink>
      <w:r>
        <w:t xml:space="preserve"> · </w:t>
      </w:r>
      <w:hyperlink r:id="rId56">
        <w:r>
          <w:rPr>
            <w:color w:val="235C68"/>
            <w:u w:val="single"/>
            <w:sz w:val="18"/>
          </w:rPr>
          <w:t>R059</w:t>
        </w:r>
      </w:hyperlink>
    </w:p>
    <w:p>
      <w:r>
        <w:br w:type="page"/>
      </w:r>
    </w:p>
    <w:p>
      <w:pPr>
        <w:pStyle w:val="Heading1"/>
      </w:pPr>
      <w:r>
        <w:t>4. Карта прав и практического использования</w:t>
      </w:r>
    </w:p>
    <w:p>
      <w:r>
        <w:t>Практически полезный свободный слой уже есть, но он неоднороден. В восьми записях поставлены положительные теги зеркалирования на основании конкретного уведомления или лицензии; это не восемь полностью свободных авторских корпусов. Часть разрешений ограничена историческим слоем репринта, отдельной статьёй, одним письмом, одной рукописью или указанной юрисдикцией.</w:t>
      </w:r>
      <w:r>
        <w:t xml:space="preserve">  </w:t>
      </w:r>
      <w:hyperlink r:id="rId41">
        <w:r>
          <w:rPr>
            <w:color w:val="235C68"/>
            <w:u w:val="single"/>
            <w:sz w:val="18"/>
          </w:rPr>
          <w:t>R027</w:t>
        </w:r>
      </w:hyperlink>
      <w:r>
        <w:t xml:space="preserve"> · </w:t>
      </w:r>
      <w:hyperlink r:id="rId20">
        <w:r>
          <w:rPr>
            <w:color w:val="235C68"/>
            <w:u w:val="single"/>
            <w:sz w:val="18"/>
          </w:rPr>
          <w:t>R033</w:t>
        </w:r>
      </w:hyperlink>
      <w:r>
        <w:t xml:space="preserve"> · </w:t>
      </w:r>
      <w:hyperlink r:id="rId21">
        <w:r>
          <w:rPr>
            <w:color w:val="235C68"/>
            <w:u w:val="single"/>
            <w:sz w:val="18"/>
          </w:rPr>
          <w:t>R034</w:t>
        </w:r>
      </w:hyperlink>
      <w:r>
        <w:t xml:space="preserve"> · </w:t>
      </w:r>
      <w:hyperlink r:id="rId15">
        <w:r>
          <w:rPr>
            <w:color w:val="235C68"/>
            <w:u w:val="single"/>
            <w:sz w:val="18"/>
          </w:rPr>
          <w:t>R043</w:t>
        </w:r>
      </w:hyperlink>
      <w:r>
        <w:t xml:space="preserve"> · </w:t>
      </w:r>
      <w:hyperlink r:id="rId33">
        <w:r>
          <w:rPr>
            <w:color w:val="235C68"/>
            <w:u w:val="single"/>
            <w:sz w:val="18"/>
          </w:rPr>
          <w:t>R046</w:t>
        </w:r>
      </w:hyperlink>
      <w:r>
        <w:t xml:space="preserve"> · </w:t>
      </w:r>
      <w:hyperlink r:id="rId34">
        <w:r>
          <w:rPr>
            <w:color w:val="235C68"/>
            <w:u w:val="single"/>
            <w:sz w:val="18"/>
          </w:rPr>
          <w:t>R047</w:t>
        </w:r>
      </w:hyperlink>
      <w:r>
        <w:t xml:space="preserve"> · </w:t>
      </w:r>
      <w:hyperlink r:id="rId44">
        <w:r>
          <w:rPr>
            <w:color w:val="235C68"/>
            <w:u w:val="single"/>
            <w:sz w:val="18"/>
          </w:rPr>
          <w:t>R053</w:t>
        </w:r>
      </w:hyperlink>
      <w:r>
        <w:t xml:space="preserve"> · </w:t>
      </w:r>
      <w:hyperlink r:id="rId64">
        <w:r>
          <w:rPr>
            <w:color w:val="235C68"/>
            <w:u w:val="single"/>
            <w:sz w:val="18"/>
          </w:rPr>
          <w:t>R056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4147"/>
        <w:gridCol w:w="3643"/>
      </w:tblGrid>
      <w:tr>
        <w:trPr>
          <w:cantSplit/>
          <w:tblHeader/>
        </w:trPr>
        <w:tc>
          <w:tcPr>
            <w:tcW w:type="dxa" w:w="3259"/>
            <w:vAlign w:val="top"/>
            <w:tcMar>
              <w:top w:w="85" w:type="dxa"/>
              <w:bottom w:w="85" w:type="dxa"/>
              <w:left w:w="85" w:type="dxa"/>
              <w:right w:w="85" w:type="dxa"/>
            </w:tcMar>
            <w:shd w:fill="173B4A"/>
          </w:tcPr>
          <w:p>
            <w:pPr>
              <w:spacing w:after="60" w:line="259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3259"/>
            <w:vAlign w:val="top"/>
            <w:tcMar>
              <w:top w:w="85" w:type="dxa"/>
              <w:bottom w:w="85" w:type="dxa"/>
              <w:left w:w="85" w:type="dxa"/>
              <w:right w:w="85" w:type="dxa"/>
            </w:tcMar>
            <w:shd w:fill="173B4A"/>
          </w:tcPr>
          <w:p>
            <w:pPr>
              <w:spacing w:after="60" w:line="259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Что ToS может делать в доказанных пределах</w:t>
            </w:r>
          </w:p>
        </w:tc>
        <w:tc>
          <w:tcPr>
            <w:tcW w:type="dxa" w:w="3259"/>
            <w:vAlign w:val="top"/>
            <w:tcMar>
              <w:top w:w="85" w:type="dxa"/>
              <w:bottom w:w="85" w:type="dxa"/>
              <w:left w:w="85" w:type="dxa"/>
              <w:right w:w="85" w:type="dxa"/>
            </w:tcMar>
            <w:shd w:fill="173B4A"/>
          </w:tcPr>
          <w:p>
            <w:pPr>
              <w:spacing w:after="60" w:line="259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Что остаётся ограниченным</w:t>
            </w:r>
          </w:p>
        </w:tc>
      </w:tr>
      <w:tr>
        <w:trPr>
          <w:cantSplit/>
        </w:trPr>
        <w:tc>
          <w:tcPr>
            <w:tcW w:type="dxa" w:w="1930"/>
            <w:vAlign w:val="top"/>
            <w:tcMar>
              <w:top w:w="85" w:type="dxa"/>
              <w:bottom w:w="85" w:type="dxa"/>
              <w:left w:w="85" w:type="dxa"/>
              <w:right w:w="85" w:type="dxa"/>
            </w:tcMar>
            <w:shd w:fill="F0F5F6"/>
          </w:tcPr>
          <w:p>
            <w:pPr>
              <w:spacing w:after="60" w:line="259" w:lineRule="auto"/>
            </w:pPr>
            <w:r>
              <w:rPr>
                <w:rFonts w:ascii="DejaVu Sans" w:hAnsi="DejaVu Sans"/>
                <w:sz w:val="18"/>
              </w:rPr>
              <w:t>Исторический слой / PDM</w:t>
            </w:r>
          </w:p>
        </w:tc>
        <w:tc>
          <w:tcPr>
            <w:tcW w:type="dxa" w:w="4147"/>
            <w:vAlign w:val="top"/>
            <w:tcMar>
              <w:top w:w="85" w:type="dxa"/>
              <w:bottom w:w="85" w:type="dxa"/>
              <w:left w:w="85" w:type="dxa"/>
              <w:right w:w="85" w:type="dxa"/>
            </w:tcMar>
            <w:shd w:fill="F0F5F6"/>
          </w:tcPr>
          <w:p>
            <w:pPr>
              <w:spacing w:after="60" w:line="259" w:lineRule="auto"/>
            </w:pPr>
            <w:r>
              <w:rPr>
                <w:rFonts w:ascii="DejaVu Sans" w:hAnsi="DejaVu Sans"/>
                <w:sz w:val="18"/>
              </w:rPr>
              <w:t>Сохранять, воспроизводить и обрабатывать точно обозначенный объект; сверять OCR; создавать свой перевод с чистого оригинала</w:t>
            </w:r>
          </w:p>
        </w:tc>
        <w:tc>
          <w:tcPr>
            <w:tcW w:type="dxa" w:w="3643"/>
            <w:vAlign w:val="top"/>
            <w:tcMar>
              <w:top w:w="85" w:type="dxa"/>
              <w:bottom w:w="85" w:type="dxa"/>
              <w:left w:w="85" w:type="dxa"/>
              <w:right w:w="85" w:type="dxa"/>
            </w:tcMar>
            <w:shd w:fill="F0F5F6"/>
          </w:tcPr>
          <w:p>
            <w:pPr>
              <w:spacing w:after="60" w:line="259" w:lineRule="auto"/>
            </w:pPr>
            <w:r>
              <w:rPr>
                <w:rFonts w:ascii="DejaVu Sans" w:hAnsi="DejaVu Sans"/>
                <w:sz w:val="18"/>
              </w:rPr>
              <w:t>Современные предисловия репринта, защищённая реконструкция, отсутствующие главы, другие свидетели</w:t>
            </w:r>
          </w:p>
        </w:tc>
      </w:tr>
      <w:tr>
        <w:trPr>
          <w:cantSplit/>
        </w:trPr>
        <w:tc>
          <w:tcPr>
            <w:tcW w:type="dxa" w:w="1930"/>
            <w:vAlign w:val="top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60" w:line="259" w:lineRule="auto"/>
            </w:pPr>
            <w:r>
              <w:rPr>
                <w:rFonts w:ascii="DejaVu Sans" w:hAnsi="DejaVu Sans"/>
                <w:sz w:val="18"/>
              </w:rPr>
              <w:t>Public domain с оговоркой страны</w:t>
            </w:r>
          </w:p>
        </w:tc>
        <w:tc>
          <w:tcPr>
            <w:tcW w:type="dxa" w:w="4147"/>
            <w:vAlign w:val="top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60" w:line="259" w:lineRule="auto"/>
            </w:pPr>
            <w:r>
              <w:rPr>
                <w:rFonts w:ascii="DejaVu Sans" w:hAnsi="DejaVu Sans"/>
                <w:sz w:val="18"/>
              </w:rPr>
              <w:t>Использовать указанный слой в пределах подтверждённого статуса; сохранять атрибуцию и условия платформы</w:t>
            </w:r>
          </w:p>
        </w:tc>
        <w:tc>
          <w:tcPr>
            <w:tcW w:type="dxa" w:w="3643"/>
            <w:vAlign w:val="top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60" w:line="259" w:lineRule="auto"/>
            </w:pPr>
            <w:r>
              <w:rPr>
                <w:rFonts w:ascii="DejaVu Sans" w:hAnsi="DejaVu Sans"/>
                <w:sz w:val="18"/>
              </w:rPr>
              <w:t>Автоматический вывод о свободе распространения во всех странах</w:t>
            </w:r>
          </w:p>
        </w:tc>
      </w:tr>
      <w:tr>
        <w:trPr>
          <w:cantSplit/>
        </w:trPr>
        <w:tc>
          <w:tcPr>
            <w:tcW w:type="dxa" w:w="1930"/>
            <w:vAlign w:val="top"/>
            <w:tcMar>
              <w:top w:w="85" w:type="dxa"/>
              <w:bottom w:w="85" w:type="dxa"/>
              <w:left w:w="85" w:type="dxa"/>
              <w:right w:w="85" w:type="dxa"/>
            </w:tcMar>
            <w:shd w:fill="F0F5F6"/>
          </w:tcPr>
          <w:p>
            <w:pPr>
              <w:spacing w:after="60" w:line="259" w:lineRule="auto"/>
            </w:pPr>
            <w:r>
              <w:rPr>
                <w:rFonts w:ascii="DejaVu Sans" w:hAnsi="DejaVu Sans"/>
                <w:sz w:val="18"/>
              </w:rPr>
              <w:t>CC BY 4.0 — статья о Полкаре</w:t>
            </w:r>
          </w:p>
        </w:tc>
        <w:tc>
          <w:tcPr>
            <w:tcW w:type="dxa" w:w="4147"/>
            <w:vAlign w:val="top"/>
            <w:tcMar>
              <w:top w:w="85" w:type="dxa"/>
              <w:bottom w:w="85" w:type="dxa"/>
              <w:left w:w="85" w:type="dxa"/>
              <w:right w:w="85" w:type="dxa"/>
            </w:tcMar>
            <w:shd w:fill="F0F5F6"/>
          </w:tcPr>
          <w:p>
            <w:pPr>
              <w:spacing w:after="60" w:line="259" w:lineRule="auto"/>
            </w:pPr>
            <w:r>
              <w:rPr>
                <w:rFonts w:ascii="DejaVu Sans" w:hAnsi="DejaVu Sans"/>
                <w:sz w:val="18"/>
              </w:rPr>
              <w:t>Повторно использовать статью и лицензированные авторские переводы с атрибуцией, ссылкой на лицензию и указанием изменений</w:t>
            </w:r>
          </w:p>
        </w:tc>
        <w:tc>
          <w:tcPr>
            <w:tcW w:type="dxa" w:w="3643"/>
            <w:vAlign w:val="top"/>
            <w:tcMar>
              <w:top w:w="85" w:type="dxa"/>
              <w:bottom w:w="85" w:type="dxa"/>
              <w:left w:w="85" w:type="dxa"/>
              <w:right w:w="85" w:type="dxa"/>
            </w:tcMar>
            <w:shd w:fill="F0F5F6"/>
          </w:tcPr>
          <w:p>
            <w:pPr>
              <w:spacing w:after="60" w:line="259" w:lineRule="auto"/>
            </w:pPr>
            <w:r>
              <w:rPr>
                <w:rFonts w:ascii="DejaVu Sans" w:hAnsi="DejaVu Sans"/>
                <w:sz w:val="18"/>
              </w:rPr>
              <w:t>Всё Ezer ha-Dat и современное критическое издание, использованное автором статьи</w:t>
            </w:r>
          </w:p>
        </w:tc>
      </w:tr>
      <w:tr>
        <w:trPr>
          <w:cantSplit/>
        </w:trPr>
        <w:tc>
          <w:tcPr>
            <w:tcW w:type="dxa" w:w="1930"/>
            <w:vAlign w:val="top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60" w:line="259" w:lineRule="auto"/>
            </w:pPr>
            <w:r>
              <w:rPr>
                <w:rFonts w:ascii="DejaVu Sans" w:hAnsi="DejaVu Sans"/>
                <w:sz w:val="18"/>
              </w:rPr>
              <w:t>Daat / DARE / открытые защищённые PDF</w:t>
            </w:r>
          </w:p>
        </w:tc>
        <w:tc>
          <w:tcPr>
            <w:tcW w:type="dxa" w:w="4147"/>
            <w:vAlign w:val="top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60" w:line="259" w:lineRule="auto"/>
            </w:pPr>
            <w:r>
              <w:rPr>
                <w:rFonts w:ascii="DejaVu Sans" w:hAnsi="DejaVu Sans"/>
                <w:sz w:val="18"/>
              </w:rPr>
              <w:t>Читать; получать предусмотренную сайтом исследовательскую копию, когда это подтверждено</w:t>
            </w:r>
          </w:p>
        </w:tc>
        <w:tc>
          <w:tcPr>
            <w:tcW w:type="dxa" w:w="3643"/>
            <w:vAlign w:val="top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60" w:line="259" w:lineRule="auto"/>
            </w:pPr>
            <w:r>
              <w:rPr>
                <w:rFonts w:ascii="DejaVu Sans" w:hAnsi="DejaVu Sans"/>
                <w:sz w:val="18"/>
              </w:rPr>
              <w:t>Публичное зеркало, производный OCR, открытый полный текст и embeddings без дополнительного основания</w:t>
            </w:r>
          </w:p>
        </w:tc>
      </w:tr>
      <w:tr>
        <w:trPr>
          <w:cantSplit/>
        </w:trPr>
        <w:tc>
          <w:tcPr>
            <w:tcW w:type="dxa" w:w="1930"/>
            <w:vAlign w:val="top"/>
            <w:tcMar>
              <w:top w:w="85" w:type="dxa"/>
              <w:bottom w:w="85" w:type="dxa"/>
              <w:left w:w="85" w:type="dxa"/>
              <w:right w:w="85" w:type="dxa"/>
            </w:tcMar>
            <w:shd w:fill="F0F5F6"/>
          </w:tcPr>
          <w:p>
            <w:pPr>
              <w:spacing w:after="60" w:line="259" w:lineRule="auto"/>
            </w:pPr>
            <w:r>
              <w:rPr>
                <w:rFonts w:ascii="DejaVu Sans" w:hAnsi="DejaVu Sans"/>
                <w:sz w:val="18"/>
              </w:rPr>
              <w:t>Издатель / подписка / ограниченный каталог</w:t>
            </w:r>
          </w:p>
        </w:tc>
        <w:tc>
          <w:tcPr>
            <w:tcW w:type="dxa" w:w="4147"/>
            <w:vAlign w:val="top"/>
            <w:tcMar>
              <w:top w:w="85" w:type="dxa"/>
              <w:bottom w:w="85" w:type="dxa"/>
              <w:left w:w="85" w:type="dxa"/>
              <w:right w:w="85" w:type="dxa"/>
            </w:tcMar>
            <w:shd w:fill="F0F5F6"/>
          </w:tcPr>
          <w:p>
            <w:pPr>
              <w:spacing w:after="60" w:line="259" w:lineRule="auto"/>
            </w:pPr>
            <w:r>
              <w:rPr>
                <w:rFonts w:ascii="DejaVu Sans" w:hAnsi="DejaVu Sans"/>
                <w:sz w:val="18"/>
              </w:rPr>
              <w:t>Ссылки, собственные библиографические карточки, предусмотренный preview, покупка или доступ через библиотеку</w:t>
            </w:r>
          </w:p>
        </w:tc>
        <w:tc>
          <w:tcPr>
            <w:tcW w:type="dxa" w:w="3643"/>
            <w:vAlign w:val="top"/>
            <w:tcMar>
              <w:top w:w="85" w:type="dxa"/>
              <w:bottom w:w="85" w:type="dxa"/>
              <w:left w:w="85" w:type="dxa"/>
              <w:right w:w="85" w:type="dxa"/>
            </w:tcMar>
            <w:shd w:fill="F0F5F6"/>
          </w:tcPr>
          <w:p>
            <w:pPr>
              <w:spacing w:after="60" w:line="259" w:lineRule="auto"/>
            </w:pPr>
            <w:r>
              <w:rPr>
                <w:rFonts w:ascii="DejaVu Sans" w:hAnsi="DejaVu Sans"/>
                <w:sz w:val="18"/>
              </w:rPr>
              <w:t>Массовое копирование файлов, раздача и обход доступа</w:t>
            </w:r>
          </w:p>
        </w:tc>
      </w:tr>
    </w:tbl>
    <w:p>
      <w:r>
        <w:t>Некоммерческие и ND-условия. Надёжно подтверждённого действующего NC- или ND-разрешения на отдельный основной корпус здесь не выделено. Это не исключение таких материалов из поиска: найденная старая NC-SA-метка Biblissima проверена против официального BSB manifest и оказалась менее актуальной, чем PDM. Специальное разрешение Daat не переименовано в «некоммерческую лицензию». Для журнала ИФ РАН общие следы NC на других страницах также не перенесены на конкретную публикацию.</w:t>
      </w:r>
      <w:r>
        <w:t xml:space="preserve">  </w:t>
      </w:r>
      <w:hyperlink r:id="rId62">
        <w:r>
          <w:rPr>
            <w:color w:val="235C68"/>
            <w:u w:val="single"/>
            <w:sz w:val="18"/>
          </w:rPr>
          <w:t>R029</w:t>
        </w:r>
      </w:hyperlink>
      <w:r>
        <w:t xml:space="preserve"> · </w:t>
      </w:r>
      <w:hyperlink r:id="rId72">
        <w:r>
          <w:rPr>
            <w:color w:val="235C68"/>
            <w:u w:val="single"/>
            <w:sz w:val="18"/>
          </w:rPr>
          <w:t>R042</w:t>
        </w:r>
      </w:hyperlink>
      <w:r>
        <w:t xml:space="preserve"> · </w:t>
      </w:r>
      <w:hyperlink r:id="rId64">
        <w:r>
          <w:rPr>
            <w:color w:val="235C68"/>
            <w:u w:val="single"/>
            <w:sz w:val="18"/>
          </w:rPr>
          <w:t>R056</w:t>
        </w:r>
      </w:hyperlink>
    </w:p>
    <w:p>
      <w:r>
        <w:t>Собственные переводы. Чистые основания отмечены в семи записях: исторический ивритский Milḥamot 1866, два представления печати Or Hashem 1555, арабский Maqāṣid 1913, Maaseh Hoshev 1909, Derekh Emunah 1522 и рукопись BSB301. Переводить можно лишь реально представленный слой. Метка не обещает закрыть отсутствующую астрономию, все редакции Or Hashem или весь корпус Аверроэса.</w:t>
      </w:r>
      <w:r>
        <w:t xml:space="preserve">  </w:t>
      </w:r>
      <w:hyperlink r:id="rId16">
        <w:r>
          <w:rPr>
            <w:color w:val="235C68"/>
            <w:u w:val="single"/>
            <w:sz w:val="18"/>
          </w:rPr>
          <w:t>R001</w:t>
        </w:r>
      </w:hyperlink>
      <w:r>
        <w:t xml:space="preserve"> · </w:t>
      </w:r>
      <w:hyperlink r:id="rId41">
        <w:r>
          <w:rPr>
            <w:color w:val="235C68"/>
            <w:u w:val="single"/>
            <w:sz w:val="18"/>
          </w:rPr>
          <w:t>R027</w:t>
        </w:r>
      </w:hyperlink>
      <w:r>
        <w:t xml:space="preserve"> · </w:t>
      </w:r>
      <w:hyperlink r:id="rId63">
        <w:r>
          <w:rPr>
            <w:color w:val="235C68"/>
            <w:u w:val="single"/>
            <w:sz w:val="18"/>
          </w:rPr>
          <w:t>R028</w:t>
        </w:r>
      </w:hyperlink>
      <w:r>
        <w:t xml:space="preserve"> · </w:t>
      </w:r>
      <w:hyperlink r:id="rId20">
        <w:r>
          <w:rPr>
            <w:color w:val="235C68"/>
            <w:u w:val="single"/>
            <w:sz w:val="18"/>
          </w:rPr>
          <w:t>R033</w:t>
        </w:r>
      </w:hyperlink>
      <w:r>
        <w:t xml:space="preserve"> · </w:t>
      </w:r>
      <w:hyperlink r:id="rId15">
        <w:r>
          <w:rPr>
            <w:color w:val="235C68"/>
            <w:u w:val="single"/>
            <w:sz w:val="18"/>
          </w:rPr>
          <w:t>R043</w:t>
        </w:r>
      </w:hyperlink>
      <w:r>
        <w:t xml:space="preserve"> · </w:t>
      </w:r>
      <w:hyperlink r:id="rId34">
        <w:r>
          <w:rPr>
            <w:color w:val="235C68"/>
            <w:u w:val="single"/>
            <w:sz w:val="18"/>
          </w:rPr>
          <w:t>R047</w:t>
        </w:r>
      </w:hyperlink>
      <w:r>
        <w:t xml:space="preserve"> · </w:t>
      </w:r>
      <w:hyperlink r:id="rId64">
        <w:r>
          <w:rPr>
            <w:color w:val="235C68"/>
            <w:u w:val="single"/>
            <w:sz w:val="18"/>
          </w:rPr>
          <w:t>R056</w:t>
        </w:r>
      </w:hyperlink>
    </w:p>
    <w:p>
      <w:r>
        <w:t>OCR, полнотекстовый индекс и embeddings оценены раздельно. Там, где разрешён только доступ к защищённому PDF, эти действия не получили автоматического положительного тега. Разрешённая локальная исследовательская копия не означает право публиковать её текст или включать его в распространяемый набор данных. Для свободного слоя необходимо сохранить связь результата с источником, версией, объёмом и правовым основанием.</w:t>
      </w:r>
    </w:p>
    <w:p>
      <w:r>
        <w:br w:type="page"/>
      </w:r>
    </w:p>
    <w:p>
      <w:pPr>
        <w:pStyle w:val="Heading1"/>
      </w:pPr>
      <w:r>
        <w:t>5. Характерные правовые и текстологические тонкости</w:t>
      </w:r>
    </w:p>
    <w:p>
      <w:pPr>
        <w:pStyle w:val="Heading2"/>
      </w:pPr>
      <w:r>
        <w:t>Один древний текст — несколько независимых правовых слоёв</w:t>
      </w:r>
    </w:p>
    <w:p>
      <w:r>
        <w:t>Or Hashem особенно хорошо показывает различие между рукописным текстом, фотографией рукописи, старой печатью, современной критической редакцией, переводом и PDF. Свободный BSB-свидетель не делает свободными переводы Weiss или Smilévitch. Разрешение Fisher для Daat не переносится на весь труд Levin. Образец прежнего издания не доказывает право на актуальную редакцию.</w:t>
      </w:r>
      <w:r>
        <w:t xml:space="preserve">  </w:t>
      </w:r>
      <w:hyperlink r:id="rId65">
        <w:r>
          <w:rPr>
            <w:color w:val="235C68"/>
            <w:u w:val="single"/>
            <w:sz w:val="18"/>
          </w:rPr>
          <w:t>R010</w:t>
        </w:r>
      </w:hyperlink>
      <w:r>
        <w:t xml:space="preserve"> · </w:t>
      </w:r>
      <w:hyperlink r:id="rId66">
        <w:r>
          <w:rPr>
            <w:color w:val="235C68"/>
            <w:u w:val="single"/>
            <w:sz w:val="18"/>
          </w:rPr>
          <w:t>R021</w:t>
        </w:r>
      </w:hyperlink>
      <w:r>
        <w:t xml:space="preserve"> · </w:t>
      </w:r>
      <w:hyperlink r:id="rId62">
        <w:r>
          <w:rPr>
            <w:color w:val="235C68"/>
            <w:u w:val="single"/>
            <w:sz w:val="18"/>
          </w:rPr>
          <w:t>R029</w:t>
        </w:r>
      </w:hyperlink>
      <w:r>
        <w:t xml:space="preserve"> · </w:t>
      </w:r>
      <w:hyperlink r:id="rId67">
        <w:r>
          <w:rPr>
            <w:color w:val="235C68"/>
            <w:u w:val="single"/>
            <w:sz w:val="18"/>
          </w:rPr>
          <w:t>R031</w:t>
        </w:r>
      </w:hyperlink>
      <w:r>
        <w:t xml:space="preserve"> · </w:t>
      </w:r>
      <w:hyperlink r:id="rId68">
        <w:r>
          <w:rPr>
            <w:color w:val="235C68"/>
            <w:u w:val="single"/>
            <w:sz w:val="18"/>
          </w:rPr>
          <w:t>R032</w:t>
        </w:r>
      </w:hyperlink>
      <w:r>
        <w:t xml:space="preserve"> · </w:t>
      </w:r>
      <w:hyperlink r:id="rId64">
        <w:r>
          <w:rPr>
            <w:color w:val="235C68"/>
            <w:u w:val="single"/>
            <w:sz w:val="18"/>
          </w:rPr>
          <w:t>R056</w:t>
        </w:r>
      </w:hyperlink>
    </w:p>
    <w:p>
      <w:pPr>
        <w:pStyle w:val="Heading2"/>
      </w:pPr>
      <w:r>
        <w:t>Старый текст внутри современной цифровой упаковки</w:t>
      </w:r>
    </w:p>
    <w:p>
      <w:r>
        <w:t>В скане Or Adonai присутствует историческая печать и поздняя репринтная оболочка. Положительное решение для печати 1555 не охватывает автоматически новые вступительные материалы. Так же существование старого перевода Wolfson 1929 не делает любую размещённую в сети копию или поздний репринт надёжным свободным источником: происхождение и юрисдикция требуют самостоятельной проверки.</w:t>
      </w:r>
      <w:r>
        <w:t xml:space="preserve">  </w:t>
      </w:r>
      <w:hyperlink r:id="rId41">
        <w:r>
          <w:rPr>
            <w:color w:val="235C68"/>
            <w:u w:val="single"/>
            <w:sz w:val="18"/>
          </w:rPr>
          <w:t>R027</w:t>
        </w:r>
      </w:hyperlink>
      <w:r>
        <w:t xml:space="preserve"> · </w:t>
      </w:r>
      <w:hyperlink r:id="rId63">
        <w:r>
          <w:rPr>
            <w:color w:val="235C68"/>
            <w:u w:val="single"/>
            <w:sz w:val="18"/>
          </w:rPr>
          <w:t>R028</w:t>
        </w:r>
      </w:hyperlink>
    </w:p>
    <w:p>
      <w:pPr>
        <w:pStyle w:val="Heading2"/>
      </w:pPr>
      <w:r>
        <w:t>Открытый просмотр не равен открытым данным</w:t>
      </w:r>
    </w:p>
    <w:p>
      <w:r>
        <w:t>У DARE научные электронные тексты и программный код имеют разные правовые предметы; LGPL-код не разрешает повторно публиковать все транскрипции. У Sefaria смешиваются версии оригиналов, современные переводы и разные источники. У Braginsky древняя книга сочетается с защищённой современной фотосъёмкой. Поэтому открытый viewer, кнопка Download или технически доступный API не заменяют применимую лицензию.</w:t>
      </w:r>
      <w:r>
        <w:t xml:space="preserve">  </w:t>
      </w:r>
      <w:hyperlink r:id="rId13">
        <w:r>
          <w:rPr>
            <w:color w:val="235C68"/>
            <w:u w:val="single"/>
            <w:sz w:val="18"/>
          </w:rPr>
          <w:t>R012</w:t>
        </w:r>
      </w:hyperlink>
      <w:r>
        <w:t xml:space="preserve"> · </w:t>
      </w:r>
      <w:hyperlink r:id="rId73">
        <w:r>
          <w:rPr>
            <w:color w:val="235C68"/>
            <w:u w:val="single"/>
            <w:sz w:val="18"/>
          </w:rPr>
          <w:t>R013</w:t>
        </w:r>
      </w:hyperlink>
      <w:r>
        <w:t xml:space="preserve"> · </w:t>
      </w:r>
      <w:hyperlink r:id="rId24">
        <w:r>
          <w:rPr>
            <w:color w:val="235C68"/>
            <w:u w:val="single"/>
            <w:sz w:val="18"/>
          </w:rPr>
          <w:t>R023</w:t>
        </w:r>
      </w:hyperlink>
      <w:r>
        <w:t xml:space="preserve"> · </w:t>
      </w:r>
      <w:hyperlink r:id="rId60">
        <w:r>
          <w:rPr>
            <w:color w:val="235C68"/>
            <w:u w:val="single"/>
            <w:sz w:val="18"/>
          </w:rPr>
          <w:t>R026</w:t>
        </w:r>
      </w:hyperlink>
      <w:r>
        <w:t xml:space="preserve"> · </w:t>
      </w:r>
      <w:hyperlink r:id="rId55">
        <w:r>
          <w:rPr>
            <w:color w:val="235C68"/>
            <w:u w:val="single"/>
            <w:sz w:val="18"/>
          </w:rPr>
          <w:t>R057</w:t>
        </w:r>
      </w:hyperlink>
    </w:p>
    <w:p>
      <w:pPr>
        <w:pStyle w:val="Heading2"/>
      </w:pPr>
      <w:r>
        <w:t>Полнота доступного объекта и полнота произведения</w:t>
      </w:r>
    </w:p>
    <w:p>
      <w:r>
        <w:t>Полный файл Husik Volume Two — не весь Ikkarim; весь Auerbach 1906 — не полный Tiqqun; полностью доступный перевод II.5 — не весь Or Hashem; издание первых двадцати астрономических глав — не все 136. В платных записях coverage описывает состав издания, а access_mode и verification_status отдельно показывают, был ли реально доступен полный файл или лишь карточка/preview.</w:t>
      </w:r>
      <w:r>
        <w:t xml:space="preserve">  </w:t>
      </w:r>
      <w:hyperlink r:id="rId14">
        <w:r>
          <w:rPr>
            <w:color w:val="235C68"/>
            <w:u w:val="single"/>
            <w:sz w:val="18"/>
          </w:rPr>
          <w:t>R018</w:t>
        </w:r>
      </w:hyperlink>
      <w:r>
        <w:t xml:space="preserve"> · </w:t>
      </w:r>
      <w:hyperlink r:id="rId19">
        <w:r>
          <w:rPr>
            <w:color w:val="235C68"/>
            <w:u w:val="single"/>
            <w:sz w:val="18"/>
          </w:rPr>
          <w:t>R022</w:t>
        </w:r>
      </w:hyperlink>
      <w:r>
        <w:t xml:space="preserve"> · </w:t>
      </w:r>
      <w:hyperlink r:id="rId31">
        <w:r>
          <w:rPr>
            <w:color w:val="235C68"/>
            <w:u w:val="single"/>
            <w:sz w:val="18"/>
          </w:rPr>
          <w:t>R040</w:t>
        </w:r>
      </w:hyperlink>
      <w:r>
        <w:t xml:space="preserve"> · </w:t>
      </w:r>
      <w:hyperlink r:id="rId72">
        <w:r>
          <w:rPr>
            <w:color w:val="235C68"/>
            <w:u w:val="single"/>
            <w:sz w:val="18"/>
          </w:rPr>
          <w:t>R042</w:t>
        </w:r>
      </w:hyperlink>
    </w:p>
    <w:p>
      <w:pPr>
        <w:pStyle w:val="Heading2"/>
      </w:pPr>
      <w:r>
        <w:t>Не путать научную реконструкцию с чистым оригиналом</w:t>
      </w:r>
    </w:p>
    <w:p>
      <w:r>
        <w:t>Самостоятельный перевод с исторического факсимиле и новый перевод с современной критической реконструкции — разные случаи. В первом можно обосновать чистое текстовое основание; во втором нужно проверить права на редакционные решения, аппарат и выбранную версию. Старый английский перевод Guide или письма Спинозы может быть свободным для использования, но в этом пакете не объявлен оригинальным языковым основанием для нового перевода.</w:t>
      </w:r>
      <w:r>
        <w:t xml:space="preserve">  </w:t>
      </w:r>
      <w:hyperlink r:id="rId50">
        <w:r>
          <w:rPr>
            <w:color w:val="235C68"/>
            <w:u w:val="single"/>
            <w:sz w:val="18"/>
          </w:rPr>
          <w:t>R008</w:t>
        </w:r>
      </w:hyperlink>
      <w:r>
        <w:t xml:space="preserve"> · </w:t>
      </w:r>
      <w:hyperlink r:id="rId67">
        <w:r>
          <w:rPr>
            <w:color w:val="235C68"/>
            <w:u w:val="single"/>
            <w:sz w:val="18"/>
          </w:rPr>
          <w:t>R031</w:t>
        </w:r>
      </w:hyperlink>
      <w:r>
        <w:t xml:space="preserve"> · </w:t>
      </w:r>
      <w:hyperlink r:id="rId21">
        <w:r>
          <w:rPr>
            <w:color w:val="235C68"/>
            <w:u w:val="single"/>
            <w:sz w:val="18"/>
          </w:rPr>
          <w:t>R034</w:t>
        </w:r>
      </w:hyperlink>
      <w:r>
        <w:t xml:space="preserve"> · </w:t>
      </w:r>
      <w:hyperlink r:id="rId44">
        <w:r>
          <w:rPr>
            <w:color w:val="235C68"/>
            <w:u w:val="single"/>
            <w:sz w:val="18"/>
          </w:rPr>
          <w:t>R053</w:t>
        </w:r>
      </w:hyperlink>
    </w:p>
    <w:p>
      <w:r>
        <w:br w:type="page"/>
      </w:r>
    </w:p>
    <w:p>
      <w:pPr>
        <w:pStyle w:val="Heading1"/>
      </w:pPr>
      <w:r>
        <w:t>6. Пробелы и дальнейший поиск</w:t>
      </w:r>
    </w:p>
    <w:p>
      <w:r>
        <w:t>Исследование не достигло доказуемого исчерпания всей рукописной и комментарийной традиции. Ядро снабжено хотя бы одним изданием, текстом, каталожным входом либо явным пробелом; расширенный корпус покрыт неравномерно. Повторные HTTP 403, JavaScript-оболочки, лимиты размера файлов и ограниченный доступ к современным изданиям не трактуются как отсутствие произведений. В gaps сохранены 25 конкретных групп, включая внепериодные кандидаты.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4"/>
        <w:gridCol w:w="6466"/>
      </w:tblGrid>
      <w:tr>
        <w:trPr>
          <w:cantSplit/>
          <w:tblHeader/>
        </w:trPr>
        <w:tc>
          <w:tcPr>
            <w:tcW w:type="dxa" w:w="4889"/>
            <w:vAlign w:val="top"/>
            <w:tcMar>
              <w:top w:w="85" w:type="dxa"/>
              <w:bottom w:w="85" w:type="dxa"/>
              <w:left w:w="85" w:type="dxa"/>
              <w:right w:w="85" w:type="dxa"/>
            </w:tcMar>
            <w:shd w:fill="173B4A"/>
          </w:tcPr>
          <w:p>
            <w:pPr>
              <w:spacing w:after="60" w:line="259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Приоритетный пробел</w:t>
            </w:r>
          </w:p>
        </w:tc>
        <w:tc>
          <w:tcPr>
            <w:tcW w:type="dxa" w:w="4889"/>
            <w:vAlign w:val="top"/>
            <w:tcMar>
              <w:top w:w="85" w:type="dxa"/>
              <w:bottom w:w="85" w:type="dxa"/>
              <w:left w:w="85" w:type="dxa"/>
              <w:right w:w="85" w:type="dxa"/>
            </w:tcMar>
            <w:shd w:fill="173B4A"/>
          </w:tcPr>
          <w:p>
            <w:pPr>
              <w:spacing w:after="60" w:line="259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Что именно осталось сделать</w:t>
            </w:r>
          </w:p>
        </w:tc>
      </w:tr>
      <w:tr>
        <w:trPr>
          <w:cantSplit/>
        </w:trPr>
        <w:tc>
          <w:tcPr>
            <w:tcW w:type="dxa" w:w="3254"/>
            <w:vAlign w:val="top"/>
            <w:tcMar>
              <w:top w:w="85" w:type="dxa"/>
              <w:bottom w:w="85" w:type="dxa"/>
              <w:left w:w="85" w:type="dxa"/>
              <w:right w:w="85" w:type="dxa"/>
            </w:tcMar>
            <w:shd w:fill="F0F5F6"/>
          </w:tcPr>
          <w:p>
            <w:pPr>
              <w:spacing w:after="60" w:line="259" w:lineRule="auto"/>
            </w:pPr>
            <w:r>
              <w:rPr>
                <w:rFonts w:ascii="DejaVu Sans" w:hAnsi="DejaVu Sans"/>
                <w:sz w:val="18"/>
              </w:rPr>
              <w:t>G001, G005–G007: Албалаг и логика</w:t>
            </w:r>
          </w:p>
        </w:tc>
        <w:tc>
          <w:tcPr>
            <w:tcW w:type="dxa" w:w="6466"/>
            <w:vAlign w:val="top"/>
            <w:tcMar>
              <w:top w:w="85" w:type="dxa"/>
              <w:bottom w:w="85" w:type="dxa"/>
              <w:left w:w="85" w:type="dxa"/>
              <w:right w:w="85" w:type="dxa"/>
            </w:tcMar>
            <w:shd w:fill="F0F5F6"/>
          </w:tcPr>
          <w:p>
            <w:pPr>
              <w:spacing w:after="60" w:line="259" w:lineRule="auto"/>
            </w:pPr>
            <w:r>
              <w:rPr>
                <w:rFonts w:ascii="DejaVu Sans" w:hAnsi="DejaVu Sans"/>
                <w:sz w:val="18"/>
              </w:rPr>
              <w:t>Восстановить полный состав перевода/глосс Tiqqun; найти продолжение Полкара; исторические ивритский и латинский свидетели Ha-Heqqesh</w:t>
            </w:r>
          </w:p>
        </w:tc>
      </w:tr>
      <w:tr>
        <w:trPr>
          <w:cantSplit/>
        </w:trPr>
        <w:tc>
          <w:tcPr>
            <w:tcW w:type="dxa" w:w="3254"/>
            <w:vAlign w:val="top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60" w:line="259" w:lineRule="auto"/>
            </w:pPr>
            <w:r>
              <w:rPr>
                <w:rFonts w:ascii="DejaVu Sans" w:hAnsi="DejaVu Sans"/>
                <w:sz w:val="18"/>
              </w:rPr>
              <w:t>G008–G010: наука и Hebrew Averroes</w:t>
            </w:r>
          </w:p>
        </w:tc>
        <w:tc>
          <w:tcPr>
            <w:tcW w:type="dxa" w:w="6466"/>
            <w:vAlign w:val="top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60" w:line="259" w:lineRule="auto"/>
            </w:pPr>
            <w:r>
              <w:rPr>
                <w:rFonts w:ascii="DejaVu Sans" w:hAnsi="DejaVu Sans"/>
                <w:sz w:val="18"/>
              </w:rPr>
              <w:t>Полная астрономия Milḥamot, таблицы, Physics/Meteorology, остальные DARE XML и собственные логические сочинения</w:t>
            </w:r>
          </w:p>
        </w:tc>
      </w:tr>
      <w:tr>
        <w:trPr>
          <w:cantSplit/>
        </w:trPr>
        <w:tc>
          <w:tcPr>
            <w:tcW w:type="dxa" w:w="3254"/>
            <w:vAlign w:val="top"/>
            <w:tcMar>
              <w:top w:w="85" w:type="dxa"/>
              <w:bottom w:w="85" w:type="dxa"/>
              <w:left w:w="85" w:type="dxa"/>
              <w:right w:w="85" w:type="dxa"/>
            </w:tcMar>
            <w:shd w:fill="F0F5F6"/>
          </w:tcPr>
          <w:p>
            <w:pPr>
              <w:spacing w:after="60" w:line="259" w:lineRule="auto"/>
            </w:pPr>
            <w:r>
              <w:rPr>
                <w:rFonts w:ascii="DejaVu Sans" w:hAnsi="DejaVu Sans"/>
                <w:sz w:val="18"/>
              </w:rPr>
              <w:t>G011–G013: Крескас</w:t>
            </w:r>
          </w:p>
        </w:tc>
        <w:tc>
          <w:tcPr>
            <w:tcW w:type="dxa" w:w="6466"/>
            <w:vAlign w:val="top"/>
            <w:tcMar>
              <w:top w:w="85" w:type="dxa"/>
              <w:bottom w:w="85" w:type="dxa"/>
              <w:left w:w="85" w:type="dxa"/>
              <w:right w:w="85" w:type="dxa"/>
            </w:tcMar>
            <w:shd w:fill="F0F5F6"/>
          </w:tcPr>
          <w:p>
            <w:pPr>
              <w:spacing w:after="60" w:line="259" w:lineRule="auto"/>
            </w:pPr>
            <w:r>
              <w:rPr>
                <w:rFonts w:ascii="DejaVu Sans" w:hAnsi="DejaVu Sans"/>
                <w:sz w:val="18"/>
              </w:rPr>
              <w:t>Свидетели Florence/Parma/JTS/Vatican; происхождение скана Wolfson1929; отдельные еврейское и испанское издания Bittul</w:t>
            </w:r>
          </w:p>
        </w:tc>
      </w:tr>
      <w:tr>
        <w:trPr>
          <w:cantSplit/>
        </w:trPr>
        <w:tc>
          <w:tcPr>
            <w:tcW w:type="dxa" w:w="3254"/>
            <w:vAlign w:val="top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60" w:line="259" w:lineRule="auto"/>
            </w:pPr>
            <w:r>
              <w:rPr>
                <w:rFonts w:ascii="DejaVu Sans" w:hAnsi="DejaVu Sans"/>
                <w:sz w:val="18"/>
              </w:rPr>
              <w:t>G014–G018: прямые родственники</w:t>
            </w:r>
          </w:p>
        </w:tc>
        <w:tc>
          <w:tcPr>
            <w:tcW w:type="dxa" w:w="6466"/>
            <w:vAlign w:val="top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60" w:line="259" w:lineRule="auto"/>
            </w:pPr>
            <w:r>
              <w:rPr>
                <w:rFonts w:ascii="DejaVu Sans" w:hAnsi="DejaVu Sans"/>
                <w:sz w:val="18"/>
              </w:rPr>
              <w:t>Остальная экзегеза Герсонида; Нарбони на Maqāṣid и Ḥayy; письма Полкара; Falaquera; Isaac/Joseph ibn Shem Tov</w:t>
            </w:r>
          </w:p>
        </w:tc>
      </w:tr>
      <w:tr>
        <w:trPr>
          <w:cantSplit/>
        </w:trPr>
        <w:tc>
          <w:tcPr>
            <w:tcW w:type="dxa" w:w="3254"/>
            <w:vAlign w:val="top"/>
            <w:tcMar>
              <w:top w:w="85" w:type="dxa"/>
              <w:bottom w:w="85" w:type="dxa"/>
              <w:left w:w="85" w:type="dxa"/>
              <w:right w:w="85" w:type="dxa"/>
            </w:tcMar>
            <w:shd w:fill="F0F5F6"/>
          </w:tcPr>
          <w:p>
            <w:pPr>
              <w:spacing w:after="60" w:line="259" w:lineRule="auto"/>
            </w:pPr>
            <w:r>
              <w:rPr>
                <w:rFonts w:ascii="DejaVu Sans" w:hAnsi="DejaVu Sans"/>
                <w:sz w:val="18"/>
              </w:rPr>
              <w:t>G019–G023: дальнейшие рецепции</w:t>
            </w:r>
          </w:p>
        </w:tc>
        <w:tc>
          <w:tcPr>
            <w:tcW w:type="dxa" w:w="6466"/>
            <w:vAlign w:val="top"/>
            <w:tcMar>
              <w:top w:w="85" w:type="dxa"/>
              <w:bottom w:w="85" w:type="dxa"/>
              <w:left w:w="85" w:type="dxa"/>
              <w:right w:w="85" w:type="dxa"/>
            </w:tcMar>
            <w:shd w:fill="F0F5F6"/>
          </w:tcPr>
          <w:p>
            <w:pPr>
              <w:spacing w:after="60" w:line="259" w:lineRule="auto"/>
            </w:pPr>
            <w:r>
              <w:rPr>
                <w:rFonts w:ascii="DejaVu Sans" w:hAnsi="DejaVu Sans"/>
                <w:sz w:val="18"/>
              </w:rPr>
              <w:t>Sefer ha-Emunot, Neveh Shalom, Or ha-Hayyim, ученические ответы, дополнительная наука Герсонида, точные линии к Пико</w:t>
            </w:r>
          </w:p>
        </w:tc>
      </w:tr>
      <w:tr>
        <w:trPr>
          <w:cantSplit/>
        </w:trPr>
        <w:tc>
          <w:tcPr>
            <w:tcW w:type="dxa" w:w="3254"/>
            <w:vAlign w:val="top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60" w:line="259" w:lineRule="auto"/>
            </w:pPr>
            <w:r>
              <w:rPr>
                <w:rFonts w:ascii="DejaVu Sans" w:hAnsi="DejaVu Sans"/>
                <w:sz w:val="18"/>
              </w:rPr>
              <w:t>G002–G004, G024–G025: доступ и права</w:t>
            </w:r>
          </w:p>
        </w:tc>
        <w:tc>
          <w:tcPr>
            <w:tcW w:type="dxa" w:w="6466"/>
            <w:vAlign w:val="top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60" w:line="259" w:lineRule="auto"/>
            </w:pPr>
            <w:r>
              <w:rPr>
                <w:rFonts w:ascii="DejaVu Sans" w:hAnsi="DejaVu Sans"/>
                <w:sz w:val="18"/>
              </w:rPr>
              <w:t>Непроверенная Wikisource-версия; русский фрагмент2025 и предполагаемый томV–VI; version-level права Sefaria, DARE и изображений</w:t>
            </w:r>
          </w:p>
        </w:tc>
      </w:tr>
    </w:tbl>
    <w:p>
      <w:r>
        <w:t>Только через покупку, подписку или библиотечный экземпляр сейчас представлены основные современные переводы Feldman, Weiss, Samuelson, Manekin, Kellner, Bland, Mettmann и Rabinowitz. Каталоги Academy дают устойчивую идентификацию Vajda и Ravitzky, но не подтверждённый бесплатный полный файл. Для русского тома I–IV сохранена официальная, но не имеющая наличия магазинная страница.</w:t>
      </w:r>
      <w:r>
        <w:t xml:space="preserve">  </w:t>
      </w:r>
      <w:hyperlink r:id="rId46">
        <w:r>
          <w:rPr>
            <w:color w:val="235C68"/>
            <w:u w:val="single"/>
            <w:sz w:val="18"/>
          </w:rPr>
          <w:t>R004</w:t>
        </w:r>
      </w:hyperlink>
      <w:r>
        <w:t xml:space="preserve"> · </w:t>
      </w:r>
      <w:hyperlink r:id="rId17">
        <w:r>
          <w:rPr>
            <w:color w:val="235C68"/>
            <w:u w:val="single"/>
            <w:sz w:val="18"/>
          </w:rPr>
          <w:t>R005</w:t>
        </w:r>
      </w:hyperlink>
      <w:r>
        <w:t xml:space="preserve"> · </w:t>
      </w:r>
      <w:hyperlink r:id="rId47">
        <w:r>
          <w:rPr>
            <w:color w:val="235C68"/>
            <w:u w:val="single"/>
            <w:sz w:val="18"/>
          </w:rPr>
          <w:t>R006</w:t>
        </w:r>
      </w:hyperlink>
      <w:r>
        <w:t xml:space="preserve"> · </w:t>
      </w:r>
      <w:hyperlink r:id="rId18">
        <w:r>
          <w:rPr>
            <w:color w:val="235C68"/>
            <w:u w:val="single"/>
            <w:sz w:val="18"/>
          </w:rPr>
          <w:t>R007</w:t>
        </w:r>
      </w:hyperlink>
      <w:r>
        <w:t xml:space="preserve"> · </w:t>
      </w:r>
      <w:hyperlink r:id="rId50">
        <w:r>
          <w:rPr>
            <w:color w:val="235C68"/>
            <w:u w:val="single"/>
            <w:sz w:val="18"/>
          </w:rPr>
          <w:t>R008</w:t>
        </w:r>
      </w:hyperlink>
      <w:r>
        <w:t xml:space="preserve"> · </w:t>
      </w:r>
      <w:hyperlink r:id="rId65">
        <w:r>
          <w:rPr>
            <w:color w:val="235C68"/>
            <w:u w:val="single"/>
            <w:sz w:val="18"/>
          </w:rPr>
          <w:t>R010</w:t>
        </w:r>
      </w:hyperlink>
      <w:r>
        <w:t xml:space="preserve"> · </w:t>
      </w:r>
      <w:hyperlink r:id="rId70">
        <w:r>
          <w:rPr>
            <w:color w:val="235C68"/>
            <w:u w:val="single"/>
            <w:sz w:val="18"/>
          </w:rPr>
          <w:t>R019</w:t>
        </w:r>
      </w:hyperlink>
      <w:r>
        <w:t xml:space="preserve"> · </w:t>
      </w:r>
      <w:hyperlink r:id="rId49">
        <w:r>
          <w:rPr>
            <w:color w:val="235C68"/>
            <w:u w:val="single"/>
            <w:sz w:val="18"/>
          </w:rPr>
          <w:t>R041</w:t>
        </w:r>
      </w:hyperlink>
      <w:r>
        <w:t xml:space="preserve"> · </w:t>
      </w:r>
      <w:hyperlink r:id="rId26">
        <w:r>
          <w:rPr>
            <w:color w:val="235C68"/>
            <w:u w:val="single"/>
            <w:sz w:val="18"/>
          </w:rPr>
          <w:t>R050</w:t>
        </w:r>
      </w:hyperlink>
      <w:r>
        <w:t xml:space="preserve"> · </w:t>
      </w:r>
      <w:hyperlink r:id="rId37">
        <w:r>
          <w:rPr>
            <w:color w:val="235C68"/>
            <w:u w:val="single"/>
            <w:sz w:val="18"/>
          </w:rPr>
          <w:t>R052</w:t>
        </w:r>
      </w:hyperlink>
      <w:r>
        <w:t xml:space="preserve"> · </w:t>
      </w:r>
      <w:hyperlink r:id="rId54">
        <w:r>
          <w:rPr>
            <w:color w:val="235C68"/>
            <w:u w:val="single"/>
            <w:sz w:val="18"/>
          </w:rPr>
          <w:t>R055</w:t>
        </w:r>
      </w:hyperlink>
      <w:r>
        <w:t xml:space="preserve"> · </w:t>
      </w:r>
      <w:hyperlink r:id="rId48">
        <w:r>
          <w:rPr>
            <w:color w:val="235C68"/>
            <w:u w:val="single"/>
            <w:sz w:val="18"/>
          </w:rPr>
          <w:t>R058</w:t>
        </w:r>
      </w:hyperlink>
      <w:r>
        <w:t xml:space="preserve"> · </w:t>
      </w:r>
      <w:hyperlink r:id="rId38">
        <w:r>
          <w:rPr>
            <w:color w:val="235C68"/>
            <w:u w:val="single"/>
            <w:sz w:val="18"/>
          </w:rPr>
          <w:t>R061</w:t>
        </w:r>
      </w:hyperlink>
    </w:p>
    <w:p>
      <w:r>
        <w:t>Ссылки с техническими ограничениями: исходные Ktiv-входы Албалага, Герсонида, Крескаса и Bittul, включая отдельный JTS-вход; Gallica BnF Hébreu901; три sourceviewer DARE; OUP и часть страниц Cambridge/Olschki; viewer некоторых HathiTrust/Sefaria. Там, где удалось найти работающую альтернативу, она сохранена отдельно, а исходная ссылка не объявлена окончательно исчезнувшей.</w:t>
      </w:r>
      <w:r>
        <w:t xml:space="preserve">  </w:t>
      </w:r>
      <w:hyperlink r:id="rId57">
        <w:r>
          <w:rPr>
            <w:color w:val="235C68"/>
            <w:u w:val="single"/>
            <w:sz w:val="18"/>
          </w:rPr>
          <w:t>R014</w:t>
        </w:r>
      </w:hyperlink>
      <w:r>
        <w:t xml:space="preserve"> · </w:t>
      </w:r>
      <w:hyperlink r:id="rId74">
        <w:r>
          <w:rPr>
            <w:color w:val="235C68"/>
            <w:u w:val="single"/>
            <w:sz w:val="18"/>
          </w:rPr>
          <w:t>R015</w:t>
        </w:r>
      </w:hyperlink>
      <w:r>
        <w:t xml:space="preserve"> · </w:t>
      </w:r>
      <w:hyperlink r:id="rId75">
        <w:r>
          <w:rPr>
            <w:color w:val="235C68"/>
            <w:u w:val="single"/>
            <w:sz w:val="18"/>
          </w:rPr>
          <w:t>R016</w:t>
        </w:r>
      </w:hyperlink>
      <w:r>
        <w:t xml:space="preserve"> · </w:t>
      </w:r>
      <w:hyperlink r:id="rId40">
        <w:r>
          <w:rPr>
            <w:color w:val="235C68"/>
            <w:u w:val="single"/>
            <w:sz w:val="18"/>
          </w:rPr>
          <w:t>R017</w:t>
        </w:r>
      </w:hyperlink>
      <w:r>
        <w:t xml:space="preserve"> · </w:t>
      </w:r>
      <w:hyperlink r:id="rId76">
        <w:r>
          <w:rPr>
            <w:color w:val="235C68"/>
            <w:u w:val="single"/>
            <w:sz w:val="18"/>
          </w:rPr>
          <w:t>R063</w:t>
        </w:r>
      </w:hyperlink>
      <w:r>
        <w:t xml:space="preserve"> · </w:t>
      </w:r>
      <w:hyperlink r:id="rId23">
        <w:r>
          <w:rPr>
            <w:color w:val="235C68"/>
            <w:u w:val="single"/>
            <w:sz w:val="18"/>
          </w:rPr>
          <w:t>R065</w:t>
        </w:r>
      </w:hyperlink>
      <w:r>
        <w:t xml:space="preserve"> · </w:t>
      </w:r>
      <w:hyperlink r:id="rId27">
        <w:r>
          <w:rPr>
            <w:color w:val="235C68"/>
            <w:u w:val="single"/>
            <w:sz w:val="18"/>
          </w:rPr>
          <w:t>R066</w:t>
        </w:r>
      </w:hyperlink>
      <w:r>
        <w:t xml:space="preserve"> · </w:t>
      </w:r>
      <w:hyperlink r:id="rId28">
        <w:r>
          <w:rPr>
            <w:color w:val="235C68"/>
            <w:u w:val="single"/>
            <w:sz w:val="18"/>
          </w:rPr>
          <w:t>R067</w:t>
        </w:r>
      </w:hyperlink>
      <w:r>
        <w:t xml:space="preserve"> · </w:t>
      </w:r>
      <w:hyperlink r:id="rId29">
        <w:r>
          <w:rPr>
            <w:color w:val="235C68"/>
            <w:u w:val="single"/>
            <w:sz w:val="18"/>
          </w:rPr>
          <w:t>R068</w:t>
        </w:r>
      </w:hyperlink>
    </w:p>
    <w:p>
      <w:r>
        <w:t>unverified_candidate не означает «выдуманное произведение». У Wolfson сомнение относится к пригодности конкретного цифрового скана; у Sefer ha-Emunot — к недостаточно проверенной карточке и выбранным полемическим местам; у Neveh Shalom / Or ha-Hayyim — к точной зависимости и цифровому входу. Они не перенесены в registry как доказанные полные объекты на основании слабой навигации или одного сниппета.</w:t>
      </w:r>
    </w:p>
    <w:p>
      <w:r>
        <w:br w:type="page"/>
      </w:r>
    </w:p>
    <w:p>
      <w:pPr>
        <w:pStyle w:val="Heading2"/>
      </w:pPr>
      <w:r>
        <w:t>6. Пробелы — восемь точных направлений</w:t>
      </w:r>
    </w:p>
    <w:p>
      <w:r>
        <w:rPr>
          <w:sz w:val="20"/>
        </w:rPr>
        <w:t>1. Полный Tiqqun. Сопоставить Vajda1973 и Auerbach1906 с NNL_ALEPH990001304860205171; определить, где расположен перевод Maqāṣid, где глоссы и что относится к Полкару. Результат должен быть картой доступных текстовых слоёв, а не ещё одной общей статьёй об Албалаге.</w:t>
      </w:r>
    </w:p>
    <w:p>
      <w:r>
        <w:rPr>
          <w:sz w:val="20"/>
        </w:rPr>
        <w:t>2. Астрономия Milḥamot. Искать V.1 по перечню 136 глав, сверить Goldstein1985 и Astronomical Tables1974, затем найти полный рукописный свидетель и латинскую передачу. Это главный содержательный пробел внутри центрального произведения.</w:t>
      </w:r>
    </w:p>
    <w:p>
      <w:r>
        <w:rPr>
          <w:sz w:val="20"/>
        </w:rPr>
        <w:t>3. Конкретные DARE-тексты. Повторить item-level проверки textid6,10,22; далее Short Organon1559, Long Posterior Analytics (BSB Cod.hebr.32), De substantia orbis (Hyman1986) и De generatione (Kurland1958). Проверять отдельно текстовую лицензию и доступность XML.</w:t>
      </w:r>
    </w:p>
    <w:p>
      <w:r>
        <w:rPr>
          <w:sz w:val="20"/>
        </w:rPr>
        <w:t>4. Рукописи Or Hashem. Начать с Florence Conv. Soppr.417, используемой критическим редактором, затем Parma3020, JTS2251/2514 и Vatican. Не применять шифр и права BSB301 к другим свидетелям. Для каждого найти первичный manifest и состав.</w:t>
      </w:r>
    </w:p>
    <w:p>
      <w:r>
        <w:rPr>
          <w:sz w:val="20"/>
        </w:rPr>
        <w:t>5. Независимые малые сочинения Крескаса. Уточнить Bittul у Lasker2002 и Carlos del Valle2000; проверить полное издание проповеди Ravitzky и точные выходные данные Koren. Отдельно сохранить письмо1391 как самостоятельный текст, когда найден отличимый item-level доступ.</w:t>
      </w:r>
    </w:p>
    <w:p>
      <w:r>
        <w:rPr>
          <w:sz w:val="20"/>
        </w:rPr>
        <w:t>6. Нарбони, Полкар и еврейский аверроизм. Найти институциональный Chertoff1952 и комментарий к Ḥayy; письма Полкара из Hecht1993/Parma2440; физические комментарии Isaac ibn Shem Tov и Kevod Elohim Joseph ibn Shem Tov. Имена и атрибуции сверять, а не объединять по фамилии.</w:t>
      </w:r>
    </w:p>
    <w:p>
      <w:r>
        <w:rPr>
          <w:sz w:val="20"/>
        </w:rPr>
        <w:t>7. Русские версии. Повторно открыть публикацию Слепцовой2025 о Milḥamot VI.2, главы9–12; сверить титул русского томаI–IV и отдельно доказать существование/доступ томаV–VI. Для обеих журнальных публикаций получить применимое item-level уведомление о повторном использовании.</w:t>
      </w:r>
    </w:p>
    <w:p>
      <w:r>
        <w:rPr>
          <w:sz w:val="20"/>
        </w:rPr>
        <w:t>8. Версии Sefaria и раннемодерная рецепция. Проверить license/versionSource каждого нужного файла официального экспорта. Параллельно закрепить печатную основу Torat ha-Olah III.49; дальнейшие линии к Пико/Спинозе включать только через конкретные цитаты или переводы, не через общую репутацию влияния.</w:t>
      </w:r>
    </w:p>
    <w:p>
      <w:r>
        <w:t>Внепериодные произведения и версии не исключались по одной дате. Там, где связь остаётся гипотезой — особенно общая латинско-схоластическая среда и часть пиковской рецепции, — она оставлена задачей проверки. Установленные поздние издания и переводы, напротив, включены без понижения полезности только из-за времени их создания.</w:t>
      </w:r>
    </w:p>
    <w:p>
      <w:r>
        <w:br w:type="page"/>
      </w:r>
    </w:p>
    <w:p>
      <w:pPr>
        <w:pStyle w:val="Heading1"/>
      </w:pPr>
      <w:r>
        <w:t>7. Итоговая оценка</w:t>
      </w:r>
    </w:p>
    <w:p>
      <w:r>
        <w:t>Покрытие центрального корпуса — хорошее как карта входов, но не полное как собрание цифровых текстов. Milḥamot, Or Hashem, Tiqqun, логика, экзегеза и малые сочинения получили различимые доступы; научно-комментарийная периферия и ряд рукописных линий требуют продолжения. Таблица не объявляет недоступные viewer-страницы отсутствующими произведениями и не скрывает неопределённость за общими порталами.</w:t>
      </w:r>
    </w:p>
    <w:p>
      <w:r>
        <w:t>Оригиналы доступны неравномерно. Наиболее свободные и предметно определённые слои — отдельные исторические печати и факсимиле: Or Hashem1555/BSB301, Maaseh Hoshev1909, Maqāṣid1913 и Derekh Emunah1522. Для Milḥamot1866 есть полезный ивритский текст, но полнота научного корпуса ограничена. Для полного Tiqqun, всей логики и всех суперкомментариев чистую цифровую основу ещё предстоит собрать.</w:t>
      </w:r>
      <w:r>
        <w:t xml:space="preserve">  </w:t>
      </w:r>
      <w:hyperlink r:id="rId16">
        <w:r>
          <w:rPr>
            <w:color w:val="235C68"/>
            <w:u w:val="single"/>
            <w:sz w:val="18"/>
          </w:rPr>
          <w:t>R001</w:t>
        </w:r>
      </w:hyperlink>
      <w:r>
        <w:t xml:space="preserve"> · </w:t>
      </w:r>
      <w:hyperlink r:id="rId41">
        <w:r>
          <w:rPr>
            <w:color w:val="235C68"/>
            <w:u w:val="single"/>
            <w:sz w:val="18"/>
          </w:rPr>
          <w:t>R027</w:t>
        </w:r>
      </w:hyperlink>
      <w:r>
        <w:t xml:space="preserve"> · </w:t>
      </w:r>
      <w:hyperlink r:id="rId20">
        <w:r>
          <w:rPr>
            <w:color w:val="235C68"/>
            <w:u w:val="single"/>
            <w:sz w:val="18"/>
          </w:rPr>
          <w:t>R033</w:t>
        </w:r>
      </w:hyperlink>
      <w:r>
        <w:t xml:space="preserve"> · </w:t>
      </w:r>
      <w:hyperlink r:id="rId15">
        <w:r>
          <w:rPr>
            <w:color w:val="235C68"/>
            <w:u w:val="single"/>
            <w:sz w:val="18"/>
          </w:rPr>
          <w:t>R043</w:t>
        </w:r>
      </w:hyperlink>
      <w:r>
        <w:t xml:space="preserve"> · </w:t>
      </w:r>
      <w:hyperlink r:id="rId34">
        <w:r>
          <w:rPr>
            <w:color w:val="235C68"/>
            <w:u w:val="single"/>
            <w:sz w:val="18"/>
          </w:rPr>
          <w:t>R047</w:t>
        </w:r>
      </w:hyperlink>
      <w:r>
        <w:t xml:space="preserve"> · </w:t>
      </w:r>
      <w:hyperlink r:id="rId64">
        <w:r>
          <w:rPr>
            <w:color w:val="235C68"/>
            <w:u w:val="single"/>
            <w:sz w:val="18"/>
          </w:rPr>
          <w:t>R056</w:t>
        </w:r>
      </w:hyperlink>
    </w:p>
    <w:p>
      <w:r>
        <w:t>Переводы покрыты шире, чем свободные оригинальные транскрипции: английские современные научные версии есть для большинства ключевых текстов, но часто через издателя или библиотеку. Французский, русский, немецкий, испанский и латинский маршруты добавляют практически важные альтернативы. Их научная ценность не требует объявлять их свободными.</w:t>
      </w:r>
      <w:r>
        <w:t xml:space="preserve">  </w:t>
      </w:r>
      <w:hyperlink r:id="rId50">
        <w:r>
          <w:rPr>
            <w:color w:val="235C68"/>
            <w:u w:val="single"/>
            <w:sz w:val="18"/>
          </w:rPr>
          <w:t>R008</w:t>
        </w:r>
      </w:hyperlink>
      <w:r>
        <w:t xml:space="preserve"> · </w:t>
      </w:r>
      <w:hyperlink r:id="rId65">
        <w:r>
          <w:rPr>
            <w:color w:val="235C68"/>
            <w:u w:val="single"/>
            <w:sz w:val="18"/>
          </w:rPr>
          <w:t>R010</w:t>
        </w:r>
      </w:hyperlink>
      <w:r>
        <w:t xml:space="preserve"> · </w:t>
      </w:r>
      <w:hyperlink r:id="rId66">
        <w:r>
          <w:rPr>
            <w:color w:val="235C68"/>
            <w:u w:val="single"/>
            <w:sz w:val="18"/>
          </w:rPr>
          <w:t>R021</w:t>
        </w:r>
      </w:hyperlink>
      <w:r>
        <w:t xml:space="preserve"> · </w:t>
      </w:r>
      <w:hyperlink r:id="rId49">
        <w:r>
          <w:rPr>
            <w:color w:val="235C68"/>
            <w:u w:val="single"/>
            <w:sz w:val="18"/>
          </w:rPr>
          <w:t>R041</w:t>
        </w:r>
      </w:hyperlink>
      <w:r>
        <w:t xml:space="preserve"> · </w:t>
      </w:r>
      <w:hyperlink r:id="rId72">
        <w:r>
          <w:rPr>
            <w:color w:val="235C68"/>
            <w:u w:val="single"/>
            <w:sz w:val="18"/>
          </w:rPr>
          <w:t>R042</w:t>
        </w:r>
      </w:hyperlink>
      <w:r>
        <w:t xml:space="preserve"> · </w:t>
      </w:r>
      <w:hyperlink r:id="rId15">
        <w:r>
          <w:rPr>
            <w:color w:val="235C68"/>
            <w:u w:val="single"/>
            <w:sz w:val="18"/>
          </w:rPr>
          <w:t>R043</w:t>
        </w:r>
      </w:hyperlink>
      <w:r>
        <w:t xml:space="preserve"> · </w:t>
      </w:r>
      <w:hyperlink r:id="rId33">
        <w:r>
          <w:rPr>
            <w:color w:val="235C68"/>
            <w:u w:val="single"/>
            <w:sz w:val="18"/>
          </w:rPr>
          <w:t>R046</w:t>
        </w:r>
      </w:hyperlink>
      <w:r>
        <w:t xml:space="preserve"> · </w:t>
      </w:r>
      <w:hyperlink r:id="rId42">
        <w:r>
          <w:rPr>
            <w:color w:val="235C68"/>
            <w:u w:val="single"/>
            <w:sz w:val="18"/>
          </w:rPr>
          <w:t>R054</w:t>
        </w:r>
      </w:hyperlink>
      <w:r>
        <w:t xml:space="preserve"> · </w:t>
      </w:r>
      <w:hyperlink r:id="rId54">
        <w:r>
          <w:rPr>
            <w:color w:val="235C68"/>
            <w:u w:val="single"/>
            <w:sz w:val="18"/>
          </w:rPr>
          <w:t>R055</w:t>
        </w:r>
      </w:hyperlink>
      <w:r>
        <w:t xml:space="preserve"> · </w:t>
      </w:r>
      <w:hyperlink r:id="rId48">
        <w:r>
          <w:rPr>
            <w:color w:val="235C68"/>
            <w:u w:val="single"/>
            <w:sz w:val="18"/>
          </w:rPr>
          <w:t>R058</w:t>
        </w:r>
      </w:hyperlink>
      <w:r>
        <w:t xml:space="preserve"> · </w:t>
      </w:r>
      <w:hyperlink r:id="rId56">
        <w:r>
          <w:rPr>
            <w:color w:val="235C68"/>
            <w:u w:val="single"/>
            <w:sz w:val="18"/>
          </w:rPr>
          <w:t>R059</w:t>
        </w:r>
      </w:hyperlink>
      <w:r>
        <w:t xml:space="preserve"> · </w:t>
      </w:r>
      <w:hyperlink r:id="rId43">
        <w:r>
          <w:rPr>
            <w:color w:val="235C68"/>
            <w:u w:val="single"/>
            <w:sz w:val="18"/>
          </w:rPr>
          <w:t>R060</w:t>
        </w:r>
      </w:hyperlink>
      <w:r>
        <w:t xml:space="preserve"> · </w:t>
      </w:r>
      <w:hyperlink r:id="rId39">
        <w:r>
          <w:rPr>
            <w:color w:val="235C68"/>
            <w:u w:val="single"/>
            <w:sz w:val="18"/>
          </w:rPr>
          <w:t>R064</w:t>
        </w:r>
      </w:hyperlink>
    </w:p>
    <w:p>
      <w:r>
        <w:t>Главные ограничения сосредоточены не в возрасте произведений, а в конкретных цифровых и редакционных слоях: защищённых переводах, современных реконструкциях, фотографиях, частичных изданиях и непроверенных версиях. Самые сильные положительные решения — item-level PDM/public-domain заявления и CC BY для точно ограниченного материала. Ни некоммерческий характер ToS, ни наличие кнопки скачивания не заменяют эти основания.</w:t>
      </w:r>
    </w:p>
    <w:p>
      <w:pPr>
        <w:pStyle w:val="Heading2"/>
      </w:pPr>
      <w:r>
        <w:t>Готовность к передаче Codex</w:t>
      </w:r>
    </w:p>
    <w:p>
      <w:r>
        <w:t>Пакет пригоден для дальнейшей нормализации и приоритизации: один XLSX, неизменный tos_row_id, уникальные record_id, 32 согласованных поля, ссылки, границы покрытия, раздельные правовые слои и 25 групп пробелов. Но это исследовательский реестр, а не разрешение запустить безусловное массовое копирование.</w:t>
      </w:r>
    </w:p>
    <w:p>
      <w:r>
        <w:t>Первый практический шаг — карточки и внешние ссылки на все законные входы. Второй — работа с явно обозначенным свободным слоем после фиксации версии и scope. Современные защищённые тексты и строки с неизвестной лицензией должны оставаться ссылочными/библиотечными до дополнительной проверки. Для собственного перевода выбирать исходный оригинал или свидетель, а не защищённый перевод-посредник.</w:t>
      </w:r>
    </w:p>
    <w:p>
      <w:r>
        <w:t>При обработке необходимо читать вместе access_mode, coverage, verification_status, rights_scope и tos_use. Тег MIRROR_OK относится только к указанному объекту и слою; OWN_TRANSLATION_POSSIBLE — только к доступному исходному тексту; RIGHTS_REVIEW_REQUIRED блокирует расширительное автоматическое толкование. Никакой глобальной онтологии, графа или инженерного конвейера в эту поставку не включено.</w:t>
      </w:r>
    </w:p>
    <w:p>
      <w:pPr>
        <w:pStyle w:val="Heading2"/>
      </w:pPr>
      <w:r>
        <w:t>Комплект</w:t>
      </w:r>
    </w:p>
    <w:p>
      <w:r>
        <w:t>ToS_Corpus_Rights_T2-19_registry.xlsx — 68 записей registry и 25 групп gaps.</w:t>
        <w:br/>
        <w:t>ToS_Corpus_Rights_T2-19_report.docx — данный отчёт.</w:t>
        <w:br/>
        <w:t>Исходный DR и мастер-таблицы сохранены без изменений.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1037" w:bottom="936" w:left="109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07680"/>
        <w:sz w:val="16"/>
      </w:rPr>
      <w:t xml:space="preserve">T2-19  •  04.09.2026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07680"/>
        <w:sz w:val="16"/>
      </w:rPr>
      <w:t>ToS / Древо Софии                                      CORPUS &amp; RIGHTS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40"/>
    </w:pPr>
    <w:rPr>
      <w:rFonts w:ascii="DejaVu Sans" w:hAnsi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73B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235C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235C6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DejaVu Sans" w:hAnsi="DejaVu Sans"/>
      <w:color w:val="173B4A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20"/>
    </w:pPr>
    <w:rPr>
      <w:rFonts w:asciiTheme="majorHAnsi" w:eastAsiaTheme="majorEastAsia" w:hAnsiTheme="majorHAnsi" w:cstheme="majorBidi" w:ascii="DejaVu Sans" w:hAnsi="DejaVu Sans"/>
      <w:i/>
      <w:iCs/>
      <w:color w:val="52677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efaria.org/The_Wars_of_the_Lord" TargetMode="External"/><Relationship Id="rId12" Type="http://schemas.openxmlformats.org/officeDocument/2006/relationships/hyperlink" Target="https://catalog.hathitrust.org/Record/009032098" TargetMode="External"/><Relationship Id="rId13" Type="http://schemas.openxmlformats.org/officeDocument/2006/relationships/hyperlink" Target="https://github.com/Sefaria/Sefaria-Export" TargetMode="External"/><Relationship Id="rId14" Type="http://schemas.openxmlformats.org/officeDocument/2006/relationships/hyperlink" Target="https://catalog.hathitrust.org/Record/007896535" TargetMode="External"/><Relationship Id="rId15" Type="http://schemas.openxmlformats.org/officeDocument/2006/relationships/hyperlink" Target="https://digital.ulb.hhu.de/ulbdsp/periodical/titleinfo/4389760" TargetMode="External"/><Relationship Id="rId16" Type="http://schemas.openxmlformats.org/officeDocument/2006/relationships/hyperlink" Target="https://archive.org/details/sefermilamothash00leviuoft" TargetMode="External"/><Relationship Id="rId17" Type="http://schemas.openxmlformats.org/officeDocument/2006/relationships/hyperlink" Target="https://jps.org/books/wars-of-the-lord-volume-3/" TargetMode="External"/><Relationship Id="rId18" Type="http://schemas.openxmlformats.org/officeDocument/2006/relationships/hyperlink" Target="https://academy.ac.il/ShopEng/Entry.aspx?entryId=21345&amp;nodeId=1534" TargetMode="External"/><Relationship Id="rId19" Type="http://schemas.openxmlformats.org/officeDocument/2006/relationships/hyperlink" Target="https://link.springer.com/book/10.1007/978-1-4613-8569-1" TargetMode="External"/><Relationship Id="rId20" Type="http://schemas.openxmlformats.org/officeDocument/2006/relationships/hyperlink" Target="https://sites.dlib.nyu.edu/viewer/books/princeton_aco000626/1" TargetMode="External"/><Relationship Id="rId21" Type="http://schemas.openxmlformats.org/officeDocument/2006/relationships/hyperlink" Target="https://www.gutenberg.org/ebooks/73584" TargetMode="External"/><Relationship Id="rId22" Type="http://schemas.openxmlformats.org/officeDocument/2006/relationships/hyperlink" Target="https://www.sefaria.org/Guide_for_the_Perplexed" TargetMode="External"/><Relationship Id="rId23" Type="http://schemas.openxmlformats.org/officeDocument/2006/relationships/hyperlink" Target="https://iiif.biblissima.fr/collections/manifest/a5321224d4ba3c9929c41ec395d973c2c42b6d2f" TargetMode="External"/><Relationship Id="rId24" Type="http://schemas.openxmlformats.org/officeDocument/2006/relationships/hyperlink" Target="https://one.thomas.uni-koeln.de/s/pnpKDD32i25yoFN" TargetMode="External"/><Relationship Id="rId25" Type="http://schemas.openxmlformats.org/officeDocument/2006/relationships/hyperlink" Target="https://www.sefaria.org/Derashot_HaRan" TargetMode="External"/><Relationship Id="rId26" Type="http://schemas.openxmlformats.org/officeDocument/2006/relationships/hyperlink" Target="https://wellcomecollection.org/works/asq6j67v" TargetMode="External"/><Relationship Id="rId27" Type="http://schemas.openxmlformats.org/officeDocument/2006/relationships/hyperlink" Target="https://dare.uni-koeln.de/app/sourceviewer?type=text&amp;textid=6" TargetMode="External"/><Relationship Id="rId28" Type="http://schemas.openxmlformats.org/officeDocument/2006/relationships/hyperlink" Target="https://dare.uni-koeln.de/app/sourceviewer?type=text&amp;textid=10" TargetMode="External"/><Relationship Id="rId29" Type="http://schemas.openxmlformats.org/officeDocument/2006/relationships/hyperlink" Target="https://dare.uni-koeln.de/app/sourceviewer?type=text&amp;textid=22" TargetMode="External"/><Relationship Id="rId30" Type="http://schemas.openxmlformats.org/officeDocument/2006/relationships/hyperlink" Target="https://www.sefaria.org/Sefer_HaIkkarim" TargetMode="External"/><Relationship Id="rId31" Type="http://schemas.openxmlformats.org/officeDocument/2006/relationships/hyperlink" Target="https://archive.org/details/seferhaikkarimbo0000jose" TargetMode="External"/><Relationship Id="rId32" Type="http://schemas.openxmlformats.org/officeDocument/2006/relationships/hyperlink" Target="https://books.google.com/books?id=kIQMAAAAIAAJ" TargetMode="External"/><Relationship Id="rId33" Type="http://schemas.openxmlformats.org/officeDocument/2006/relationships/hyperlink" Target="https://revistas.ucm.es/index.php/ILUR/en/article/view/81774" TargetMode="External"/><Relationship Id="rId34" Type="http://schemas.openxmlformats.org/officeDocument/2006/relationships/hyperlink" Target="https://www.nli.org.il/he/books/NNL_ALEPH990018420590205171/NLI" TargetMode="External"/><Relationship Id="rId35" Type="http://schemas.openxmlformats.org/officeDocument/2006/relationships/hyperlink" Target="https://catalog.hathitrust.org/Record/009716232" TargetMode="External"/><Relationship Id="rId36" Type="http://schemas.openxmlformats.org/officeDocument/2006/relationships/hyperlink" Target="https://chabadlibrary.org/catalog/index1.php?catalog=hcatalog&amp;frame=main&amp;mode=details&amp;volno=98245" TargetMode="External"/><Relationship Id="rId37" Type="http://schemas.openxmlformats.org/officeDocument/2006/relationships/hyperlink" Target="https://www.jstor.org/stable/10.7591/j.ctvxbpfb8" TargetMode="External"/><Relationship Id="rId38" Type="http://schemas.openxmlformats.org/officeDocument/2006/relationships/hyperlink" Target="https://link.springer.com/book/10.1007/978-3-322-84345-6" TargetMode="External"/><Relationship Id="rId39" Type="http://schemas.openxmlformats.org/officeDocument/2006/relationships/hyperlink" Target="https://www.cambridge.org/core/books/medieval-jewish-philosophical-writings/isaac-albalag-from-the-emendation-of-the-opinions/7B358455A3A071F4B9F6B6F7D97ECE7D" TargetMode="External"/><Relationship Id="rId40" Type="http://schemas.openxmlformats.org/officeDocument/2006/relationships/hyperlink" Target="https://www.nli.org.il/en/manuscripts/NNL_ALEPH990024891390205171/NLI" TargetMode="External"/><Relationship Id="rId41" Type="http://schemas.openxmlformats.org/officeDocument/2006/relationships/hyperlink" Target="https://commons.wikimedia.org/wiki/File:Or-Hashem-1555-Ferrera-AI.pdf" TargetMode="External"/><Relationship Id="rId42" Type="http://schemas.openxmlformats.org/officeDocument/2006/relationships/hyperlink" Target="https://www.jstor.org/stable/jj.18254546" TargetMode="External"/><Relationship Id="rId43" Type="http://schemas.openxmlformats.org/officeDocument/2006/relationships/hyperlink" Target="https://www.torrossa.com/it/resources/an/2494899" TargetMode="External"/><Relationship Id="rId44" Type="http://schemas.openxmlformats.org/officeDocument/2006/relationships/hyperlink" Target="https://sacred-texts.com/phi/spinoza/corr/corr27.htm" TargetMode="External"/><Relationship Id="rId45" Type="http://schemas.openxmlformats.org/officeDocument/2006/relationships/hyperlink" Target="https://he.wikisource.org/wiki/&#1514;&#1493;&#1512;&#1514;_&#1492;&#1506;&#1493;&#1500;&#1492;/&#1495;&#1500;&#1511;_&#1490;/&#1508;&#1512;&#1511;_&#1502;&#1496;" TargetMode="External"/><Relationship Id="rId46" Type="http://schemas.openxmlformats.org/officeDocument/2006/relationships/hyperlink" Target="https://jps.org/books/wars-of-the-lord-volume-2/" TargetMode="External"/><Relationship Id="rId47" Type="http://schemas.openxmlformats.org/officeDocument/2006/relationships/hyperlink" Target="https://jps.org/product-category/collections/the-wars-of-the-lord/" TargetMode="External"/><Relationship Id="rId48" Type="http://schemas.openxmlformats.org/officeDocument/2006/relationships/hyperlink" Target="https://pims.ca/publication/isbn-978-0-88844-268-0/" TargetMode="External"/><Relationship Id="rId49" Type="http://schemas.openxmlformats.org/officeDocument/2006/relationships/hyperlink" Target="https://www.knizhniki.com/product-page/&#1074;&#1086;&#1081;&#1085;&#1099;-&#1075;&#1086;&#1089;&#1087;&#1086;&#1076;&#1072;-&#1082;&#1085;&#1080;&#1075;&#1080;-i-iv" TargetMode="External"/><Relationship Id="rId50" Type="http://schemas.openxmlformats.org/officeDocument/2006/relationships/hyperlink" Target="https://link.springer.com/book/10.1007/978-94-011-2614-4" TargetMode="External"/><Relationship Id="rId51" Type="http://schemas.openxmlformats.org/officeDocument/2006/relationships/hyperlink" Target="https://catalog.hathitrust.org/Record/006198840" TargetMode="External"/><Relationship Id="rId52" Type="http://schemas.openxmlformats.org/officeDocument/2006/relationships/hyperlink" Target="https://www.sefaria.org/Ralbag_on_Job" TargetMode="External"/><Relationship Id="rId53" Type="http://schemas.openxmlformats.org/officeDocument/2006/relationships/hyperlink" Target="https://www.sefaria.org/Ralbag_on_Song_of_Songs" TargetMode="External"/><Relationship Id="rId54" Type="http://schemas.openxmlformats.org/officeDocument/2006/relationships/hyperlink" Target="https://www.jstor.org/stable/j.ctt211qxd2" TargetMode="External"/><Relationship Id="rId55" Type="http://schemas.openxmlformats.org/officeDocument/2006/relationships/hyperlink" Target="https://braginskycollection.com/portfolio/job-with-levi-ben-gershoms-commentary/" TargetMode="External"/><Relationship Id="rId56" Type="http://schemas.openxmlformats.org/officeDocument/2006/relationships/hyperlink" Target="https://search.worldcat.org/title/710156" TargetMode="External"/><Relationship Id="rId57" Type="http://schemas.openxmlformats.org/officeDocument/2006/relationships/hyperlink" Target="https://www.nli.org.il/en/manuscripts/NNL_ALEPH990001304860205171/NLI" TargetMode="External"/><Relationship Id="rId58" Type="http://schemas.openxmlformats.org/officeDocument/2006/relationships/hyperlink" Target="https://one.thomas.uni-koeln.de/s/Y3y6Kdxqgmzx85e" TargetMode="External"/><Relationship Id="rId59" Type="http://schemas.openxmlformats.org/officeDocument/2006/relationships/hyperlink" Target="https://one.thomas.uni-koeln.de/s/3zegBJBRbWDkyry" TargetMode="External"/><Relationship Id="rId60" Type="http://schemas.openxmlformats.org/officeDocument/2006/relationships/hyperlink" Target="https://dare.uni-koeln.de/project/dare-publications/" TargetMode="External"/><Relationship Id="rId61" Type="http://schemas.openxmlformats.org/officeDocument/2006/relationships/hyperlink" Target="https://archive.org/details/epistleonpossibi0000aver" TargetMode="External"/><Relationship Id="rId62" Type="http://schemas.openxmlformats.org/officeDocument/2006/relationships/hyperlink" Target="https://www.daat.ac.il/daat/vl/tohen.asp?id=153" TargetMode="External"/><Relationship Id="rId63" Type="http://schemas.openxmlformats.org/officeDocument/2006/relationships/hyperlink" Target="https://archive.org/details/seferoradonai00cres" TargetMode="External"/><Relationship Id="rId64" Type="http://schemas.openxmlformats.org/officeDocument/2006/relationships/hyperlink" Target="https://nbn-resolving.org/urn:nbn:de:bvb:12-bsb00103831-7" TargetMode="External"/><Relationship Id="rId65" Type="http://schemas.openxmlformats.org/officeDocument/2006/relationships/hyperlink" Target="https://global.oup.com/academic/product/crescas-light-of-the-lord-or-hashem-9780198724896" TargetMode="External"/><Relationship Id="rId66" Type="http://schemas.openxmlformats.org/officeDocument/2006/relationships/hyperlink" Target="https://www.editions-hermann.fr/livre/lumiere-de-l-eternel-hasdai-crescas" TargetMode="External"/><Relationship Id="rId67" Type="http://schemas.openxmlformats.org/officeDocument/2006/relationships/hyperlink" Target="https://crescas.org/" TargetMode="External"/><Relationship Id="rId68" Type="http://schemas.openxmlformats.org/officeDocument/2006/relationships/hyperlink" Target="https://crescas.org/static/Pages_from_Ohr_haShem_8nov2019_marks.pdf" TargetMode="External"/><Relationship Id="rId69" Type="http://schemas.openxmlformats.org/officeDocument/2006/relationships/hyperlink" Target="https://korenpub.com/products/hasdai-crescas-collected-writings" TargetMode="External"/><Relationship Id="rId70" Type="http://schemas.openxmlformats.org/officeDocument/2006/relationships/hyperlink" Target="https://academy.ac.il/Shop/Entry.aspx?entryId=21189&amp;nodeId=993" TargetMode="External"/><Relationship Id="rId71" Type="http://schemas.openxmlformats.org/officeDocument/2006/relationships/hyperlink" Target="https://jewishreviewofbooks.com/jewish-history/10271/faith-and-miracles-hasdai-crescass-passover-sermon/" TargetMode="External"/><Relationship Id="rId72" Type="http://schemas.openxmlformats.org/officeDocument/2006/relationships/hyperlink" Target="https://frai.iphras.ru/article/view/5246" TargetMode="External"/><Relationship Id="rId73" Type="http://schemas.openxmlformats.org/officeDocument/2006/relationships/hyperlink" Target="https://huggingface.co/datasets/Sefaria/database_export" TargetMode="External"/><Relationship Id="rId74" Type="http://schemas.openxmlformats.org/officeDocument/2006/relationships/hyperlink" Target="https://www.nli.org.il/en/manuscripts/NNL_ALEPH990053646770205171/NLI" TargetMode="External"/><Relationship Id="rId75" Type="http://schemas.openxmlformats.org/officeDocument/2006/relationships/hyperlink" Target="https://www.nli.org.il/en/manuscripts/NNL_ALEPH990000815480205171/NLI" TargetMode="External"/><Relationship Id="rId76" Type="http://schemas.openxmlformats.org/officeDocument/2006/relationships/hyperlink" Target="https://www.nli.org.il/en/manuscripts/NNL_ALEPH990000824720205171/NL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ToS Corpus &amp; Rights Registry — T2-19</dc:title>
  <dc:subject>Позднесредневековая еврейская философия от Герсонида до Крескаса</dc:subject>
  <dc:creator>ToS / Древо Софии</dc:creator>
  <cp:keywords>T2-19; corpus; rights; Gersonides; Crescas; Albalag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