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Pr>
      <w:r>
        <w:t>ИССЛЕДОВАТЕЛЬСКИЙ ПАКЕТ  /  RESEARCH-FIRST v4.3.1</w:t>
      </w:r>
    </w:p>
    <w:p>
      <w:pPr>
        <w:pStyle w:val="Title"/>
      </w:pPr>
      <w:r>
        <w:t>ToS Corpus &amp;</w:t>
        <w:br/>
        <w:t>Rights Registry</w:t>
      </w:r>
    </w:p>
    <w:p>
      <w:pPr>
        <w:pStyle w:val="Subtitle"/>
      </w:pPr>
      <w:r>
        <w:t>T2-26 — Номинализм, логический анализ</w:t>
        <w:br/>
        <w:t>и четырнадцатый век</w:t>
      </w:r>
    </w:p>
    <w:p>
      <w:pPr>
        <w:pStyle w:val="Heading1"/>
      </w:pPr>
      <w:r>
        <w:t>1. Паспорт</w:t>
      </w:r>
    </w:p>
    <w:tbl>
      <w:tblPr>
        <w:tblW w:type="auto" w:w="0"/>
        <w:tblLayout w:type="fixed"/>
        <w:tblLook w:firstColumn="1" w:firstRow="1" w:lastColumn="0" w:lastRow="0" w:noHBand="0" w:noVBand="1" w:val="04A0"/>
      </w:tblPr>
      <w:tblGrid>
        <w:gridCol w:w="2268"/>
        <w:gridCol w:w="7370"/>
      </w:tblGrid>
      <w:tr>
        <w:trPr>
          <w:tblHeader/>
          <w:cantSplit/>
        </w:trPr>
        <w:tc>
          <w:tcPr>
            <w:tcW w:type="dxa" w:w="2268"/>
            <w:tcMar>
              <w:top w:w="65" w:type="dxa"/>
              <w:left w:w="90" w:type="dxa"/>
              <w:bottom w:w="65" w:type="dxa"/>
              <w:right w:w="90" w:type="dxa"/>
            </w:tcMar>
            <w:shd w:fill="18394E"/>
          </w:tcPr>
          <w:p>
            <w:pPr>
              <w:spacing w:after="40" w:line="250" w:lineRule="auto"/>
            </w:pPr>
            <w:r>
              <w:rPr>
                <w:rFonts w:ascii="Arial" w:hAnsi="Arial"/>
                <w:b/>
                <w:color w:val="FFFFFF"/>
                <w:sz w:val="18"/>
              </w:rPr>
              <w:t>Параметр</w:t>
            </w:r>
          </w:p>
        </w:tc>
        <w:tc>
          <w:tcPr>
            <w:tcW w:type="dxa" w:w="7370"/>
            <w:tcMar>
              <w:top w:w="65" w:type="dxa"/>
              <w:left w:w="90" w:type="dxa"/>
              <w:bottom w:w="65" w:type="dxa"/>
              <w:right w:w="90" w:type="dxa"/>
            </w:tcMar>
            <w:shd w:fill="18394E"/>
          </w:tcPr>
          <w:p>
            <w:pPr>
              <w:spacing w:after="40" w:line="250" w:lineRule="auto"/>
            </w:pPr>
            <w:r>
              <w:rPr>
                <w:rFonts w:ascii="Arial" w:hAnsi="Arial"/>
                <w:b/>
                <w:color w:val="FFFFFF"/>
                <w:sz w:val="18"/>
              </w:rPr>
              <w:t>Значение</w:t>
            </w:r>
          </w:p>
        </w:tc>
      </w:tr>
      <w:tr>
        <w:trPr>
          <w:cantSplit/>
        </w:trPr>
        <w:tc>
          <w:tcPr>
            <w:tcW w:type="dxa" w:w="2268"/>
            <w:tcMar>
              <w:top w:w="65" w:type="dxa"/>
              <w:left w:w="90" w:type="dxa"/>
              <w:bottom w:w="65" w:type="dxa"/>
              <w:right w:w="90" w:type="dxa"/>
            </w:tcMar>
            <w:shd w:fill="F1F5F8"/>
          </w:tcPr>
          <w:p>
            <w:pPr>
              <w:spacing w:after="40" w:line="250" w:lineRule="auto"/>
            </w:pPr>
            <w:r>
              <w:rPr>
                <w:rFonts w:ascii="Arial" w:hAnsi="Arial"/>
                <w:sz w:val="18"/>
              </w:rPr>
              <w:t>Мастер-строка</w:t>
            </w:r>
          </w:p>
        </w:tc>
        <w:tc>
          <w:tcPr>
            <w:tcW w:type="dxa" w:w="7370"/>
            <w:tcMar>
              <w:top w:w="65" w:type="dxa"/>
              <w:left w:w="90" w:type="dxa"/>
              <w:bottom w:w="65" w:type="dxa"/>
              <w:right w:w="90" w:type="dxa"/>
            </w:tcMar>
            <w:shd w:fill="F1F5F8"/>
          </w:tcPr>
          <w:p>
            <w:pPr>
              <w:spacing w:after="40" w:line="250" w:lineRule="auto"/>
            </w:pPr>
            <w:r>
              <w:rPr>
                <w:rFonts w:ascii="Arial" w:hAnsi="Arial"/>
                <w:sz w:val="18"/>
              </w:rPr>
              <w:t>T2-26, таблица II. Исходный статус A, уверенность 5/5. Без изменений.</w:t>
            </w:r>
          </w:p>
        </w:tc>
      </w:tr>
      <w:tr>
        <w:trPr>
          <w:cantSplit/>
        </w:trPr>
        <w:tc>
          <w:tcPr>
            <w:tcW w:type="dxa" w:w="2268"/>
            <w:tcMar>
              <w:top w:w="65" w:type="dxa"/>
              <w:left w:w="90" w:type="dxa"/>
              <w:bottom w:w="65" w:type="dxa"/>
              <w:right w:w="90" w:type="dxa"/>
            </w:tcMar>
            <w:shd w:fill="FFFFFF"/>
          </w:tcPr>
          <w:p>
            <w:pPr>
              <w:spacing w:after="40" w:line="250" w:lineRule="auto"/>
            </w:pPr>
            <w:r>
              <w:rPr>
                <w:rFonts w:ascii="Arial" w:hAnsi="Arial"/>
                <w:sz w:val="18"/>
              </w:rPr>
              <w:t>Исторический фокус</w:t>
            </w:r>
          </w:p>
        </w:tc>
        <w:tc>
          <w:tcPr>
            <w:tcW w:type="dxa" w:w="7370"/>
            <w:tcMar>
              <w:top w:w="65" w:type="dxa"/>
              <w:left w:w="90" w:type="dxa"/>
              <w:bottom w:w="65" w:type="dxa"/>
              <w:right w:w="90" w:type="dxa"/>
            </w:tcMar>
            <w:shd w:fill="FFFFFF"/>
          </w:tcPr>
          <w:p>
            <w:pPr>
              <w:spacing w:after="40" w:line="250" w:lineRule="auto"/>
            </w:pPr>
            <w:r>
              <w:rPr>
                <w:rFonts w:ascii="Arial" w:hAnsi="Arial"/>
                <w:sz w:val="18"/>
              </w:rPr>
              <w:t>Формирование XIII–XIV вв.; фиксация и канонизация XIV–XV вв. Ядро DR: 1320-е — конец XIV в.</w:t>
            </w:r>
          </w:p>
        </w:tc>
      </w:tr>
      <w:tr>
        <w:trPr>
          <w:cantSplit/>
        </w:trPr>
        <w:tc>
          <w:tcPr>
            <w:tcW w:type="dxa" w:w="2268"/>
            <w:tcMar>
              <w:top w:w="65" w:type="dxa"/>
              <w:left w:w="90" w:type="dxa"/>
              <w:bottom w:w="65" w:type="dxa"/>
              <w:right w:w="90" w:type="dxa"/>
            </w:tcMar>
            <w:shd w:fill="F1F5F8"/>
          </w:tcPr>
          <w:p>
            <w:pPr>
              <w:spacing w:after="40" w:line="250" w:lineRule="auto"/>
            </w:pPr>
            <w:r>
              <w:rPr>
                <w:rFonts w:ascii="Arial" w:hAnsi="Arial"/>
                <w:sz w:val="18"/>
              </w:rPr>
              <w:t>Источник</w:t>
            </w:r>
          </w:p>
        </w:tc>
        <w:tc>
          <w:tcPr>
            <w:tcW w:type="dxa" w:w="7370"/>
            <w:tcMar>
              <w:top w:w="65" w:type="dxa"/>
              <w:left w:w="90" w:type="dxa"/>
              <w:bottom w:w="65" w:type="dxa"/>
              <w:right w:w="90" w:type="dxa"/>
            </w:tcMar>
            <w:shd w:fill="F1F5F8"/>
          </w:tcPr>
          <w:p>
            <w:pPr>
              <w:spacing w:after="40" w:line="250" w:lineRule="auto"/>
            </w:pPr>
            <w:r>
              <w:rPr>
                <w:rFonts w:ascii="Arial" w:hAnsi="Arial"/>
                <w:sz w:val="18"/>
              </w:rPr>
              <w:t>ToS Deep Research_ T2-26 — Номинализм, логический анализ и четырнадцатый век(1).docx, 65 страниц. Исходный файл не изменён.</w:t>
            </w:r>
          </w:p>
        </w:tc>
      </w:tr>
      <w:tr>
        <w:trPr>
          <w:cantSplit/>
        </w:trPr>
        <w:tc>
          <w:tcPr>
            <w:tcW w:type="dxa" w:w="2268"/>
            <w:tcMar>
              <w:top w:w="65" w:type="dxa"/>
              <w:left w:w="90" w:type="dxa"/>
              <w:bottom w:w="65" w:type="dxa"/>
              <w:right w:w="90" w:type="dxa"/>
            </w:tcMar>
            <w:shd w:fill="FFFFFF"/>
          </w:tcPr>
          <w:p>
            <w:pPr>
              <w:spacing w:after="40" w:line="250" w:lineRule="auto"/>
            </w:pPr>
            <w:r>
              <w:rPr>
                <w:rFonts w:ascii="Arial" w:hAnsi="Arial"/>
                <w:sz w:val="18"/>
              </w:rPr>
              <w:t>Проверка</w:t>
            </w:r>
          </w:p>
        </w:tc>
        <w:tc>
          <w:tcPr>
            <w:tcW w:type="dxa" w:w="7370"/>
            <w:tcMar>
              <w:top w:w="65" w:type="dxa"/>
              <w:left w:w="90" w:type="dxa"/>
              <w:bottom w:w="65" w:type="dxa"/>
              <w:right w:w="90" w:type="dxa"/>
            </w:tcMar>
            <w:shd w:fill="FFFFFF"/>
          </w:tcPr>
          <w:p>
            <w:pPr>
              <w:spacing w:after="40" w:line="250" w:lineRule="auto"/>
            </w:pPr>
            <w:r>
              <w:rPr>
                <w:rFonts w:ascii="Arial" w:hAnsi="Arial"/>
                <w:sz w:val="18"/>
              </w:rPr>
              <w:t>4 сентября 2026. Веб-страницы, каталоги, лицензии и выборочные файлы; регистрации, покупки и обращения не выполнялись.</w:t>
            </w:r>
          </w:p>
        </w:tc>
      </w:tr>
      <w:tr>
        <w:trPr>
          <w:cantSplit/>
        </w:trPr>
        <w:tc>
          <w:tcPr>
            <w:tcW w:type="dxa" w:w="2268"/>
            <w:tcMar>
              <w:top w:w="65" w:type="dxa"/>
              <w:left w:w="90" w:type="dxa"/>
              <w:bottom w:w="65" w:type="dxa"/>
              <w:right w:w="90" w:type="dxa"/>
            </w:tcMar>
            <w:shd w:fill="F1F5F8"/>
          </w:tcPr>
          <w:p>
            <w:pPr>
              <w:spacing w:after="40" w:line="250" w:lineRule="auto"/>
            </w:pPr>
            <w:r>
              <w:rPr>
                <w:rFonts w:ascii="Arial" w:hAnsi="Arial"/>
                <w:sz w:val="18"/>
              </w:rPr>
              <w:t>Результат</w:t>
            </w:r>
          </w:p>
        </w:tc>
        <w:tc>
          <w:tcPr>
            <w:tcW w:type="dxa" w:w="7370"/>
            <w:tcMar>
              <w:top w:w="65" w:type="dxa"/>
              <w:left w:w="90" w:type="dxa"/>
              <w:bottom w:w="65" w:type="dxa"/>
              <w:right w:w="90" w:type="dxa"/>
            </w:tcMar>
            <w:shd w:fill="F1F5F8"/>
          </w:tcPr>
          <w:p>
            <w:pPr>
              <w:spacing w:after="40" w:line="250" w:lineRule="auto"/>
            </w:pPr>
            <w:r>
              <w:rPr>
                <w:rFonts w:ascii="Arial" w:hAnsi="Arial"/>
                <w:sz w:val="18"/>
              </w:rPr>
              <w:t>76 записей доступа; 34 конкретных пробела и вопроса проверки. XLSX: registry + gaps.</w:t>
            </w:r>
          </w:p>
        </w:tc>
      </w:tr>
    </w:tbl>
    <w:p>
      <w:pPr>
        <w:spacing w:after="0"/>
      </w:pPr>
    </w:p>
    <w:p>
      <w:r>
        <w:t>Ядром считались логические сочинения Оккама и Буридана, мертонские Regulae и Sophismata, трактаты об insolubilia и obligationes, а также их материальные свидетели. Логика терминов не приравнивалась к единой номиналистической школе. Политические сочинения Оккама, вся поздняя схоластика и вся история механики не включались автоматически. Основание границ: исходный DR, §§1–3, 6, 16.</w:t>
      </w:r>
    </w:p>
    <w:p>
      <w:r>
        <w:t>Поиск шёл по латинским названиям и вариантам имён, английским, русским, французским, немецким и испанским формулировкам; использованы также итальянские выходные данные и найденный литовский перевод. Искались произведения, самостоятельные издания, переводы, кодексы, ранняя печать, транскрипции, OCR, TEI, IIIF и предметные каталоги.</w:t>
      </w:r>
    </w:p>
    <w:p>
      <w:r>
        <w:t>Источники доступа: библиотеки, научные издательства, репозитории университетов и авторские университетские страницы. Библиографические сведения проверялись по каталогам, критическим изданиям и академическим библиографиям; права — по item-level заявлениям и уведомлениям в файлах. Три кандидата из слабой/неполной навигации оставлены как unverified_candidate. Wikipedia не служит источником итоговых утверждений или ссылок.</w:t>
      </w:r>
    </w:p>
    <w:p>
      <w:r>
        <w:t>Как читать пакет. R001–R076 — сокращения record_id T2-26-R001–R076; ссылки в отчёте ведут к источникам, подробности и ограничения находятся в XLSX. Наличие записи означает полезный установленный маршрут, а не обязательно успешно полученный полный файл. Coverage и verification_status имеют приоритет над общим словом «доступ».</w:t>
      </w:r>
    </w:p>
    <w:p>
      <w:r>
        <w:br w:type="page"/>
      </w:r>
    </w:p>
    <w:p>
      <w:pPr>
        <w:pStyle w:val="Caption"/>
      </w:pPr>
      <w:r>
        <w:t>ОХВАТ / КОРПУС И СПОСОБЫ ДОСТУПА</w:t>
      </w:r>
    </w:p>
    <w:p>
      <w:pPr>
        <w:pStyle w:val="Heading1"/>
      </w:pPr>
      <w:r>
        <w:t>2. Охват корпуса</w:t>
      </w:r>
    </w:p>
    <w:p>
      <w:pPr>
        <w:pStyle w:val="Heading2"/>
      </w:pPr>
      <w:r>
        <w:t>Что было в исходном DR</w:t>
      </w:r>
    </w:p>
    <w:p>
      <w:r>
        <w:t>Оккам: Summa logicae; логические Expositiones на Порфирия и Аристотеля; Tractatus de praedestinatione и будущие контингенты; Ordinatio, Reportatio и Quodlibeta как примыкающий академический корпус. Материальный якорь — UCM BH MSS 104. В реестре разведены оригинальное произведение, современные тома Opera, отдельные переводы и исторические экземпляры.</w:t>
      </w:r>
      <w:r>
        <w:t xml:space="preserve">  </w:t>
      </w:r>
      <w:hyperlink r:id="rId11">
        <w:r>
          <w:rPr>
            <w:color w:val="12668A"/>
            <w:sz w:val="19"/>
          </w:rPr>
          <w:t>[R001]</w:t>
        </w:r>
      </w:hyperlink>
      <w:r>
        <w:t xml:space="preserve"> · </w:t>
      </w:r>
      <w:hyperlink r:id="rId12">
        <w:r>
          <w:rPr>
            <w:color w:val="12668A"/>
            <w:sz w:val="19"/>
          </w:rPr>
          <w:t>[R004]</w:t>
        </w:r>
      </w:hyperlink>
      <w:r>
        <w:t xml:space="preserve"> · </w:t>
      </w:r>
      <w:hyperlink r:id="rId12">
        <w:r>
          <w:rPr>
            <w:color w:val="12668A"/>
            <w:sz w:val="19"/>
          </w:rPr>
          <w:t>[R005]</w:t>
        </w:r>
      </w:hyperlink>
      <w:r>
        <w:t xml:space="preserve"> · </w:t>
      </w:r>
      <w:hyperlink r:id="rId13">
        <w:r>
          <w:rPr>
            <w:color w:val="12668A"/>
            <w:sz w:val="19"/>
          </w:rPr>
          <w:t>[R009]</w:t>
        </w:r>
      </w:hyperlink>
      <w:r>
        <w:t xml:space="preserve"> · </w:t>
      </w:r>
      <w:hyperlink r:id="rId13">
        <w:r>
          <w:rPr>
            <w:color w:val="12668A"/>
            <w:sz w:val="19"/>
          </w:rPr>
          <w:t>[R010]</w:t>
        </w:r>
      </w:hyperlink>
      <w:r>
        <w:t xml:space="preserve"> · </w:t>
      </w:r>
      <w:hyperlink r:id="rId13">
        <w:r>
          <w:rPr>
            <w:color w:val="12668A"/>
            <w:sz w:val="19"/>
          </w:rPr>
          <w:t>[R011]</w:t>
        </w:r>
      </w:hyperlink>
    </w:p>
    <w:p>
      <w:r>
        <w:t>Буридан: Summulae de dialectica, Tractatus de consequentiis и комментарии к Аристотелю. Поиск раскрыл отдельные критические тома Summulae, комментарии к Elenchi, Perihermeneias и Topics, новое издание De anima и том Physics V–VIII. Необработанный остаток комментарийного корпуса вынесен в gaps, а не объявлен отсутствующим.</w:t>
      </w:r>
      <w:r>
        <w:t xml:space="preserve">  </w:t>
      </w:r>
      <w:hyperlink r:id="rId14">
        <w:r>
          <w:rPr>
            <w:color w:val="12668A"/>
            <w:sz w:val="19"/>
          </w:rPr>
          <w:t>[R018]</w:t>
        </w:r>
      </w:hyperlink>
      <w:r>
        <w:t xml:space="preserve"> · </w:t>
      </w:r>
      <w:hyperlink r:id="rId15">
        <w:r>
          <w:rPr>
            <w:color w:val="12668A"/>
            <w:sz w:val="19"/>
          </w:rPr>
          <w:t>[R028]</w:t>
        </w:r>
      </w:hyperlink>
      <w:r>
        <w:t xml:space="preserve"> · </w:t>
      </w:r>
      <w:hyperlink r:id="rId16">
        <w:r>
          <w:rPr>
            <w:color w:val="12668A"/>
            <w:sz w:val="19"/>
          </w:rPr>
          <w:t>[R029]</w:t>
        </w:r>
      </w:hyperlink>
      <w:r>
        <w:t xml:space="preserve"> · </w:t>
      </w:r>
      <w:hyperlink r:id="rId17">
        <w:r>
          <w:rPr>
            <w:color w:val="12668A"/>
            <w:sz w:val="19"/>
          </w:rPr>
          <w:t>[R030]</w:t>
        </w:r>
      </w:hyperlink>
      <w:r>
        <w:t xml:space="preserve"> · </w:t>
      </w:r>
      <w:hyperlink r:id="rId18">
        <w:r>
          <w:rPr>
            <w:color w:val="12668A"/>
            <w:sz w:val="19"/>
          </w:rPr>
          <w:t>[R031]</w:t>
        </w:r>
      </w:hyperlink>
      <w:r>
        <w:t xml:space="preserve"> · </w:t>
      </w:r>
      <w:hyperlink r:id="rId19">
        <w:r>
          <w:rPr>
            <w:color w:val="12668A"/>
            <w:sz w:val="19"/>
          </w:rPr>
          <w:t>[R063]</w:t>
        </w:r>
      </w:hyperlink>
      <w:r>
        <w:t xml:space="preserve"> · </w:t>
      </w:r>
      <w:hyperlink r:id="rId20">
        <w:r>
          <w:rPr>
            <w:color w:val="12668A"/>
            <w:sz w:val="19"/>
          </w:rPr>
          <w:t>[R074]</w:t>
        </w:r>
      </w:hyperlink>
    </w:p>
    <w:p>
      <w:r>
        <w:t>Оксфордский круг и полемика: Bradwardine, Insolubilia; Heytesbury, Regulae и Sophismata; Roger Swyneshed, Insolubilia и obligationes; Kilvington, Sophismata; Burley, De puritate. Орем сохранён как пограничная дверь логико-математического анализа, а не повод включать всю его биографию.</w:t>
      </w:r>
      <w:r>
        <w:t xml:space="preserve">  </w:t>
      </w:r>
      <w:hyperlink r:id="rId21">
        <w:r>
          <w:rPr>
            <w:color w:val="12668A"/>
            <w:sz w:val="19"/>
          </w:rPr>
          <w:t>[R032]</w:t>
        </w:r>
      </w:hyperlink>
      <w:r>
        <w:t xml:space="preserve"> · </w:t>
      </w:r>
      <w:hyperlink r:id="rId22">
        <w:r>
          <w:rPr>
            <w:color w:val="12668A"/>
            <w:sz w:val="19"/>
          </w:rPr>
          <w:t>[R034]</w:t>
        </w:r>
      </w:hyperlink>
      <w:r>
        <w:t xml:space="preserve"> · </w:t>
      </w:r>
      <w:hyperlink r:id="rId23">
        <w:r>
          <w:rPr>
            <w:color w:val="12668A"/>
            <w:sz w:val="19"/>
          </w:rPr>
          <w:t>[R035]</w:t>
        </w:r>
      </w:hyperlink>
      <w:r>
        <w:t xml:space="preserve"> · </w:t>
      </w:r>
      <w:hyperlink r:id="rId24">
        <w:r>
          <w:rPr>
            <w:color w:val="12668A"/>
            <w:sz w:val="19"/>
          </w:rPr>
          <w:t>[R041]</w:t>
        </w:r>
      </w:hyperlink>
      <w:r>
        <w:t xml:space="preserve"> · </w:t>
      </w:r>
      <w:hyperlink r:id="rId25">
        <w:r>
          <w:rPr>
            <w:color w:val="12668A"/>
            <w:sz w:val="19"/>
          </w:rPr>
          <w:t>[R017]</w:t>
        </w:r>
      </w:hyperlink>
      <w:r>
        <w:t xml:space="preserve"> · </w:t>
      </w:r>
      <w:hyperlink r:id="rId26">
        <w:r>
          <w:rPr>
            <w:color w:val="12668A"/>
            <w:sz w:val="19"/>
          </w:rPr>
          <w:t>[R055]</w:t>
        </w:r>
      </w:hyperlink>
      <w:r>
        <w:t xml:space="preserve"> · </w:t>
      </w:r>
      <w:hyperlink r:id="rId27">
        <w:r>
          <w:rPr>
            <w:color w:val="12668A"/>
            <w:sz w:val="19"/>
          </w:rPr>
          <w:t>[R036]</w:t>
        </w:r>
      </w:hyperlink>
      <w:r>
        <w:t xml:space="preserve"> · </w:t>
      </w:r>
      <w:hyperlink r:id="rId28">
        <w:r>
          <w:rPr>
            <w:color w:val="12668A"/>
            <w:sz w:val="19"/>
          </w:rPr>
          <w:t>[R060]</w:t>
        </w:r>
      </w:hyperlink>
    </w:p>
    <w:p>
      <w:pPr>
        <w:pStyle w:val="Heading2"/>
      </w:pPr>
      <w:r>
        <w:t>Что добавил веб-поиск</w:t>
      </w:r>
    </w:p>
    <w:p>
      <w:r>
        <w:t>Добавлены Segrave, Brinkley, три вопроса John of Wesel, Casus obligationis, Strode, Dumbleton, Peter of Ailly, Albert of Saxony, Holland, Marsilius of Inghen, Bricot и трактат Insolubilia из Logica magna Павла Венецианского. Каждый связан с конкретной линией терминов, следования, парадоксов, диспута или софизмов; это не выборка по одному национальному или религиозному признаку.</w:t>
      </w:r>
      <w:r>
        <w:t xml:space="preserve">  </w:t>
      </w:r>
      <w:hyperlink r:id="rId29">
        <w:r>
          <w:rPr>
            <w:color w:val="12668A"/>
            <w:sz w:val="19"/>
          </w:rPr>
          <w:t>[R016]</w:t>
        </w:r>
      </w:hyperlink>
      <w:r>
        <w:t xml:space="preserve"> · </w:t>
      </w:r>
      <w:hyperlink r:id="rId30">
        <w:r>
          <w:rPr>
            <w:color w:val="12668A"/>
            <w:sz w:val="19"/>
          </w:rPr>
          <w:t>[R037]</w:t>
        </w:r>
      </w:hyperlink>
      <w:r>
        <w:t xml:space="preserve"> · </w:t>
      </w:r>
      <w:hyperlink r:id="rId31">
        <w:r>
          <w:rPr>
            <w:color w:val="12668A"/>
            <w:sz w:val="19"/>
          </w:rPr>
          <w:t>[R038]</w:t>
        </w:r>
      </w:hyperlink>
      <w:r>
        <w:t xml:space="preserve"> · </w:t>
      </w:r>
      <w:hyperlink r:id="rId32">
        <w:r>
          <w:rPr>
            <w:color w:val="12668A"/>
            <w:sz w:val="19"/>
          </w:rPr>
          <w:t>[R040]</w:t>
        </w:r>
      </w:hyperlink>
      <w:r>
        <w:t xml:space="preserve"> · </w:t>
      </w:r>
      <w:hyperlink r:id="rId33">
        <w:r>
          <w:rPr>
            <w:color w:val="12668A"/>
            <w:sz w:val="19"/>
          </w:rPr>
          <w:t>[R047]</w:t>
        </w:r>
      </w:hyperlink>
      <w:r>
        <w:t xml:space="preserve"> · </w:t>
      </w:r>
      <w:hyperlink r:id="rId34">
        <w:r>
          <w:rPr>
            <w:color w:val="12668A"/>
            <w:sz w:val="19"/>
          </w:rPr>
          <w:t>[R048]</w:t>
        </w:r>
      </w:hyperlink>
      <w:r>
        <w:t xml:space="preserve"> · </w:t>
      </w:r>
      <w:hyperlink r:id="rId35">
        <w:r>
          <w:rPr>
            <w:color w:val="12668A"/>
            <w:sz w:val="19"/>
          </w:rPr>
          <w:t>[R051]</w:t>
        </w:r>
      </w:hyperlink>
      <w:r>
        <w:t xml:space="preserve"> · </w:t>
      </w:r>
      <w:hyperlink r:id="rId36">
        <w:r>
          <w:rPr>
            <w:color w:val="12668A"/>
            <w:sz w:val="19"/>
          </w:rPr>
          <w:t>[R059]</w:t>
        </w:r>
      </w:hyperlink>
      <w:r>
        <w:t xml:space="preserve"> · </w:t>
      </w:r>
      <w:hyperlink r:id="rId37">
        <w:r>
          <w:rPr>
            <w:color w:val="12668A"/>
            <w:sz w:val="19"/>
          </w:rPr>
          <w:t>[R065]</w:t>
        </w:r>
      </w:hyperlink>
      <w:r>
        <w:t xml:space="preserve"> · </w:t>
      </w:r>
      <w:hyperlink r:id="rId38">
        <w:r>
          <w:rPr>
            <w:color w:val="12668A"/>
            <w:sz w:val="19"/>
          </w:rPr>
          <w:t>[R073]</w:t>
        </w:r>
      </w:hyperlink>
    </w:p>
    <w:p>
      <w:r>
        <w:t>Наиболее значимые новые цифровые находки — CC0 TEI всей Summa по старой оксфордской печати, открытый латинский TXT Сегрейва, лицензированные материалы Spade и ранняя печать Quodlibeta с OCR. Добавлены также два экземпляра Summa 1508, сборник Heytesbury–Strode 1491 и BSB Clm 23530 с явной оговоркой о непроверенной выдаче листов.</w:t>
      </w:r>
      <w:r>
        <w:t xml:space="preserve">  </w:t>
      </w:r>
      <w:hyperlink r:id="rId39">
        <w:r>
          <w:rPr>
            <w:color w:val="12668A"/>
            <w:sz w:val="19"/>
          </w:rPr>
          <w:t>[R056]</w:t>
        </w:r>
      </w:hyperlink>
      <w:r>
        <w:t xml:space="preserve"> · </w:t>
      </w:r>
      <w:hyperlink r:id="rId29">
        <w:r>
          <w:rPr>
            <w:color w:val="12668A"/>
            <w:sz w:val="19"/>
          </w:rPr>
          <w:t>[R016]</w:t>
        </w:r>
      </w:hyperlink>
      <w:r>
        <w:t xml:space="preserve"> · </w:t>
      </w:r>
      <w:hyperlink r:id="rId30">
        <w:r>
          <w:rPr>
            <w:color w:val="12668A"/>
            <w:sz w:val="19"/>
          </w:rPr>
          <w:t>[R037]</w:t>
        </w:r>
      </w:hyperlink>
      <w:r>
        <w:t xml:space="preserve"> · </w:t>
      </w:r>
      <w:hyperlink r:id="rId31">
        <w:r>
          <w:rPr>
            <w:color w:val="12668A"/>
            <w:sz w:val="19"/>
          </w:rPr>
          <w:t>[R038]</w:t>
        </w:r>
      </w:hyperlink>
      <w:r>
        <w:t xml:space="preserve"> · </w:t>
      </w:r>
      <w:hyperlink r:id="rId40">
        <w:r>
          <w:rPr>
            <w:color w:val="12668A"/>
            <w:sz w:val="19"/>
          </w:rPr>
          <w:t>[R039]</w:t>
        </w:r>
      </w:hyperlink>
      <w:r>
        <w:t xml:space="preserve"> · </w:t>
      </w:r>
      <w:hyperlink r:id="rId41">
        <w:r>
          <w:rPr>
            <w:color w:val="12668A"/>
            <w:sz w:val="19"/>
          </w:rPr>
          <w:t>[R052]</w:t>
        </w:r>
      </w:hyperlink>
      <w:r>
        <w:t xml:space="preserve"> · </w:t>
      </w:r>
      <w:hyperlink r:id="rId42">
        <w:r>
          <w:rPr>
            <w:color w:val="12668A"/>
            <w:sz w:val="19"/>
          </w:rPr>
          <w:t>[R057]</w:t>
        </w:r>
      </w:hyperlink>
      <w:r>
        <w:t xml:space="preserve"> · </w:t>
      </w:r>
      <w:hyperlink r:id="rId43">
        <w:r>
          <w:rPr>
            <w:color w:val="12668A"/>
            <w:sz w:val="19"/>
          </w:rPr>
          <w:t>[R058]</w:t>
        </w:r>
      </w:hyperlink>
      <w:r>
        <w:t xml:space="preserve"> · </w:t>
      </w:r>
      <w:hyperlink r:id="rId44">
        <w:r>
          <w:rPr>
            <w:color w:val="12668A"/>
            <w:sz w:val="19"/>
          </w:rPr>
          <w:t>[R069]</w:t>
        </w:r>
      </w:hyperlink>
    </w:p>
    <w:p>
      <w:pPr>
        <w:pStyle w:val="Heading2"/>
      </w:pPr>
      <w:r>
        <w:t>Количество без смешения текстов и ссылок</w:t>
      </w:r>
    </w:p>
    <w:p>
      <w:r>
        <w:t>76 записей — это способы доступа. Из них 72 относятся к первичным текстам, корпусам, свидетелям, изданиям и переводам; ещё четыре — исправления к изданию, предметный портал и две навигационные библиографии. При объединении переводов, частей и свидетелей одного произведения получаются 47 укрупнённых библиографических групп первичного материала. В это число входят составные сборники: оно не является числом 47 независимых авторских сочинений.</w:t>
      </w:r>
    </w:p>
    <w:p>
      <w:r>
        <w:t>Например, десять маршрутов к Summulae Буридана учитываются как одна группа произведения; разные части Summa, TEI и её факсимиле также объединяются. Сборники и авторские Opera не разложены в искусственный каталог каждого внутреннего трактата. В листе gaps 34 записи обозначают как недостающий доступ, так и конфликт атрибуции, качества или прав, а не 34 «утраченных произведения».</w:t>
      </w:r>
    </w:p>
    <w:p>
      <w:r>
        <w:br w:type="page"/>
      </w:r>
    </w:p>
    <w:p>
      <w:pPr>
        <w:pStyle w:val="Caption"/>
      </w:pPr>
      <w:r>
        <w:t>ОХВАТ / ОТКРЫТЫЙ ХРОНОЛОГИЧЕСКИЙ КОНТУР</w:t>
      </w:r>
    </w:p>
    <w:p>
      <w:pPr>
        <w:pStyle w:val="Heading2"/>
      </w:pPr>
      <w:r>
        <w:t>Поиск назад: непосредственные предшественники</w:t>
      </w:r>
    </w:p>
    <w:p>
      <w:r>
        <w:t>Аристотель, Порфирий и Боэций включены в пределах логического учебного канона: Organon, Isagoge и De topicis differentiis. Их связь — тексты, комментируемые в оккамовско-буридановском корпусе, и теория loci, а не общее влияние античности. Найдены старые английские и немецкий переводы и современный перевод Боэция; чистая греческая/латинская цифровая основа всей этой входящей линии ещё не установлена.</w:t>
      </w:r>
      <w:r>
        <w:t xml:space="preserve">  </w:t>
      </w:r>
      <w:hyperlink r:id="rId45">
        <w:r>
          <w:rPr>
            <w:color w:val="12668A"/>
            <w:sz w:val="19"/>
          </w:rPr>
          <w:t>[R061]</w:t>
        </w:r>
      </w:hyperlink>
      <w:r>
        <w:t xml:space="preserve"> · </w:t>
      </w:r>
      <w:hyperlink r:id="rId46">
        <w:r>
          <w:rPr>
            <w:color w:val="12668A"/>
            <w:sz w:val="19"/>
          </w:rPr>
          <w:t>[R067]</w:t>
        </w:r>
      </w:hyperlink>
      <w:r>
        <w:t xml:space="preserve"> · </w:t>
      </w:r>
      <w:hyperlink r:id="rId47">
        <w:r>
          <w:rPr>
            <w:color w:val="12668A"/>
            <w:sz w:val="19"/>
          </w:rPr>
          <w:t>[R068]</w:t>
        </w:r>
      </w:hyperlink>
      <w:r>
        <w:t xml:space="preserve"> · </w:t>
      </w:r>
      <w:hyperlink r:id="rId48">
        <w:r>
          <w:rPr>
            <w:color w:val="12668A"/>
            <w:sz w:val="19"/>
          </w:rPr>
          <w:t>[R071]</w:t>
        </w:r>
      </w:hyperlink>
    </w:p>
    <w:p>
      <w:r>
        <w:t>Для XIII-вековой логики терминов зарегистрированы Tractatus / Summulae Петра Испанского, Logica / Summa Lamberti и Introductiones in logicam Шервуда, а также ранние парижские distinctiones sophismatum. Пётр особенно важен как композиционная основа Summulae Буридана; Lambert и Sherwood позволяют не выдавать всю теорию свойств терминов за изобретение XIV века. Отдельные Syncategoremata в основной реестр не подменены их другими учебниками: для них оставлен самостоятельный пробел.</w:t>
      </w:r>
      <w:r>
        <w:t xml:space="preserve">  </w:t>
      </w:r>
      <w:hyperlink r:id="rId49">
        <w:r>
          <w:rPr>
            <w:color w:val="12668A"/>
            <w:sz w:val="19"/>
          </w:rPr>
          <w:t>[R044]</w:t>
        </w:r>
      </w:hyperlink>
      <w:r>
        <w:t xml:space="preserve"> · </w:t>
      </w:r>
      <w:hyperlink r:id="rId50">
        <w:r>
          <w:rPr>
            <w:color w:val="12668A"/>
            <w:sz w:val="19"/>
          </w:rPr>
          <w:t>[R045]</w:t>
        </w:r>
      </w:hyperlink>
      <w:r>
        <w:t xml:space="preserve"> · </w:t>
      </w:r>
      <w:hyperlink r:id="rId51">
        <w:r>
          <w:rPr>
            <w:color w:val="12668A"/>
            <w:sz w:val="19"/>
          </w:rPr>
          <w:t>[R046]</w:t>
        </w:r>
      </w:hyperlink>
      <w:r>
        <w:t xml:space="preserve"> · </w:t>
      </w:r>
      <w:hyperlink r:id="rId52">
        <w:r>
          <w:rPr>
            <w:color w:val="12668A"/>
            <w:sz w:val="19"/>
          </w:rPr>
          <w:t>[R050]</w:t>
        </w:r>
      </w:hyperlink>
    </w:p>
    <w:p>
      <w:pPr>
        <w:pStyle w:val="Heading2"/>
      </w:pPr>
      <w:r>
        <w:t>Поиск вперёд: продолжения, канонизация, сохранение</w:t>
      </w:r>
    </w:p>
    <w:p>
      <w:r>
        <w:t>Поздняя логика представлена трактатами Holland, Marsilius, Peter of Ailly, Bricot и Павла Венецианского. В зависимости от связи использованы same_corpus_or_tradition или continuation: более поздняя дата сама по себе не превращает член той же текстовой семьи в «соседнюю тему». Logica magna представлена лишь разделом Insolubilia; этого недостаточно для утверждения полного доступа ко всему многосоставному труду.</w:t>
      </w:r>
      <w:r>
        <w:t xml:space="preserve">  </w:t>
      </w:r>
      <w:hyperlink r:id="rId33">
        <w:r>
          <w:rPr>
            <w:color w:val="12668A"/>
            <w:sz w:val="19"/>
          </w:rPr>
          <w:t>[R047]</w:t>
        </w:r>
      </w:hyperlink>
      <w:r>
        <w:t xml:space="preserve"> · </w:t>
      </w:r>
      <w:hyperlink r:id="rId34">
        <w:r>
          <w:rPr>
            <w:color w:val="12668A"/>
            <w:sz w:val="19"/>
          </w:rPr>
          <w:t>[R048]</w:t>
        </w:r>
      </w:hyperlink>
      <w:r>
        <w:t xml:space="preserve"> · </w:t>
      </w:r>
      <w:hyperlink r:id="rId35">
        <w:r>
          <w:rPr>
            <w:color w:val="12668A"/>
            <w:sz w:val="19"/>
          </w:rPr>
          <w:t>[R051]</w:t>
        </w:r>
      </w:hyperlink>
      <w:r>
        <w:t xml:space="preserve"> · </w:t>
      </w:r>
      <w:hyperlink r:id="rId36">
        <w:r>
          <w:rPr>
            <w:color w:val="12668A"/>
            <w:sz w:val="19"/>
          </w:rPr>
          <w:t>[R059]</w:t>
        </w:r>
      </w:hyperlink>
      <w:r>
        <w:t xml:space="preserve"> · </w:t>
      </w:r>
      <w:hyperlink r:id="rId53">
        <w:r>
          <w:rPr>
            <w:color w:val="12668A"/>
            <w:sz w:val="19"/>
          </w:rPr>
          <w:t>[R042]</w:t>
        </w:r>
      </w:hyperlink>
    </w:p>
    <w:p>
      <w:r>
        <w:t>Рукописная и печатная передача вынесена в transmission_or_preservation. Сборник 1491 связывает Regulae и Sophismata Хейтсбери с Consequentiae и Obligationes Строда; Summa 1508 и оксфордская печать с титулом 1675 показывают более позднюю жизнь основного текста. Их включение не расширяет исторические границы мастер-строки до XVII века.</w:t>
      </w:r>
      <w:r>
        <w:t xml:space="preserve">  </w:t>
      </w:r>
      <w:hyperlink r:id="rId43">
        <w:r>
          <w:rPr>
            <w:color w:val="12668A"/>
            <w:sz w:val="19"/>
          </w:rPr>
          <w:t>[R058]</w:t>
        </w:r>
      </w:hyperlink>
      <w:r>
        <w:t xml:space="preserve"> · </w:t>
      </w:r>
      <w:hyperlink r:id="rId41">
        <w:r>
          <w:rPr>
            <w:color w:val="12668A"/>
            <w:sz w:val="19"/>
          </w:rPr>
          <w:t>[R052]</w:t>
        </w:r>
      </w:hyperlink>
      <w:r>
        <w:t xml:space="preserve"> · </w:t>
      </w:r>
      <w:hyperlink r:id="rId42">
        <w:r>
          <w:rPr>
            <w:color w:val="12668A"/>
            <w:sz w:val="19"/>
          </w:rPr>
          <w:t>[R057]</w:t>
        </w:r>
      </w:hyperlink>
      <w:r>
        <w:t xml:space="preserve"> · </w:t>
      </w:r>
      <w:hyperlink r:id="rId39">
        <w:r>
          <w:rPr>
            <w:color w:val="12668A"/>
            <w:sz w:val="19"/>
          </w:rPr>
          <w:t>[R056]</w:t>
        </w:r>
      </w:hyperlink>
    </w:p>
    <w:p>
      <w:r>
        <w:t>Конкретная дальняя рецепция обнаружена у Alvarus Thomas: Liber de triplici motu разбирает Calculationes Richard Swineshead. Связь подтверждена научным томом Edition Open Sources с перечнем экземпляров. В registry включён этот навигационный том, а сам исторический Liber пока находится в gaps: внешние факсимиле ECHO/Sevilla не проверены до нужного уровня. Cajetan of Thiene, Venator и Paul of Pergola оставлены как адресные продолжения поиска, а не исключены из-за даты.</w:t>
      </w:r>
      <w:r>
        <w:t xml:space="preserve">  </w:t>
      </w:r>
      <w:hyperlink r:id="rId54">
        <w:r>
          <w:rPr>
            <w:color w:val="12668A"/>
            <w:sz w:val="19"/>
          </w:rPr>
          <w:t>[R076]</w:t>
        </w:r>
      </w:hyperlink>
    </w:p>
    <w:p>
      <w:pPr>
        <w:pStyle w:val="Heading2"/>
      </w:pPr>
      <w:r>
        <w:t>Распределение релевантности</w:t>
      </w:r>
    </w:p>
    <w:tbl>
      <w:tblPr>
        <w:tblW w:type="auto" w:w="0"/>
        <w:tblLayout w:type="fixed"/>
        <w:tblLook w:firstColumn="1" w:firstRow="1" w:lastColumn="0" w:lastRow="0" w:noHBand="0" w:noVBand="1" w:val="04A0"/>
      </w:tblPr>
      <w:tblGrid>
        <w:gridCol w:w="3061"/>
        <w:gridCol w:w="964"/>
        <w:gridCol w:w="5613"/>
      </w:tblGrid>
      <w:tr>
        <w:trPr>
          <w:tblHeader/>
          <w:cantSplit/>
        </w:trPr>
        <w:tc>
          <w:tcPr>
            <w:tcW w:type="dxa" w:w="3061"/>
            <w:tcMar>
              <w:top w:w="65" w:type="dxa"/>
              <w:left w:w="90" w:type="dxa"/>
              <w:bottom w:w="65" w:type="dxa"/>
              <w:right w:w="90" w:type="dxa"/>
            </w:tcMar>
            <w:shd w:fill="18394E"/>
          </w:tcPr>
          <w:p>
            <w:pPr>
              <w:spacing w:after="40" w:line="250" w:lineRule="auto"/>
            </w:pPr>
            <w:r>
              <w:rPr>
                <w:rFonts w:ascii="Arial" w:hAnsi="Arial"/>
                <w:b/>
                <w:color w:val="FFFFFF"/>
                <w:sz w:val="18"/>
              </w:rPr>
              <w:t>Роль</w:t>
            </w:r>
          </w:p>
        </w:tc>
        <w:tc>
          <w:tcPr>
            <w:tcW w:type="dxa" w:w="964"/>
            <w:tcMar>
              <w:top w:w="65" w:type="dxa"/>
              <w:left w:w="90" w:type="dxa"/>
              <w:bottom w:w="65" w:type="dxa"/>
              <w:right w:w="90" w:type="dxa"/>
            </w:tcMar>
            <w:shd w:fill="18394E"/>
          </w:tcPr>
          <w:p>
            <w:pPr>
              <w:spacing w:after="40" w:line="250" w:lineRule="auto"/>
            </w:pPr>
            <w:r>
              <w:rPr>
                <w:rFonts w:ascii="Arial" w:hAnsi="Arial"/>
                <w:b/>
                <w:color w:val="FFFFFF"/>
                <w:sz w:val="18"/>
              </w:rPr>
              <w:t>Записей</w:t>
            </w:r>
          </w:p>
        </w:tc>
        <w:tc>
          <w:tcPr>
            <w:tcW w:type="dxa" w:w="5613"/>
            <w:tcMar>
              <w:top w:w="65" w:type="dxa"/>
              <w:left w:w="90" w:type="dxa"/>
              <w:bottom w:w="65" w:type="dxa"/>
              <w:right w:w="90" w:type="dxa"/>
            </w:tcMar>
            <w:shd w:fill="18394E"/>
          </w:tcPr>
          <w:p>
            <w:pPr>
              <w:spacing w:after="40" w:line="250" w:lineRule="auto"/>
            </w:pPr>
            <w:r>
              <w:rPr>
                <w:rFonts w:ascii="Arial" w:hAnsi="Arial"/>
                <w:b/>
                <w:color w:val="FFFFFF"/>
                <w:sz w:val="18"/>
              </w:rPr>
              <w:t>Что это означает</w:t>
            </w:r>
          </w:p>
        </w:tc>
      </w:tr>
      <w:tr>
        <w:trPr>
          <w:cantSplit/>
        </w:trPr>
        <w:tc>
          <w:tcPr>
            <w:tcW w:type="dxa" w:w="3061"/>
            <w:tcMar>
              <w:top w:w="65" w:type="dxa"/>
              <w:left w:w="90" w:type="dxa"/>
              <w:bottom w:w="65" w:type="dxa"/>
              <w:right w:w="90" w:type="dxa"/>
            </w:tcMar>
            <w:shd w:fill="F1F5F8"/>
          </w:tcPr>
          <w:p>
            <w:pPr>
              <w:spacing w:after="40" w:line="250" w:lineRule="auto"/>
            </w:pPr>
            <w:r>
              <w:rPr>
                <w:rFonts w:ascii="Arial" w:hAnsi="Arial"/>
                <w:sz w:val="18"/>
              </w:rPr>
              <w:t>core</w:t>
            </w:r>
          </w:p>
        </w:tc>
        <w:tc>
          <w:tcPr>
            <w:tcW w:type="dxa" w:w="964"/>
            <w:tcMar>
              <w:top w:w="65" w:type="dxa"/>
              <w:left w:w="90" w:type="dxa"/>
              <w:bottom w:w="65" w:type="dxa"/>
              <w:right w:w="90" w:type="dxa"/>
            </w:tcMar>
            <w:shd w:fill="F1F5F8"/>
          </w:tcPr>
          <w:p>
            <w:pPr>
              <w:spacing w:after="40" w:line="250" w:lineRule="auto"/>
            </w:pPr>
            <w:r>
              <w:rPr>
                <w:rFonts w:ascii="Arial" w:hAnsi="Arial"/>
                <w:sz w:val="18"/>
              </w:rPr>
              <w:t>30</w:t>
            </w:r>
          </w:p>
        </w:tc>
        <w:tc>
          <w:tcPr>
            <w:tcW w:type="dxa" w:w="5613"/>
            <w:tcMar>
              <w:top w:w="65" w:type="dxa"/>
              <w:left w:w="90" w:type="dxa"/>
              <w:bottom w:w="65" w:type="dxa"/>
              <w:right w:w="90" w:type="dxa"/>
            </w:tcMar>
            <w:shd w:fill="F1F5F8"/>
          </w:tcPr>
          <w:p>
            <w:pPr>
              <w:spacing w:after="40" w:line="250" w:lineRule="auto"/>
            </w:pPr>
            <w:r>
              <w:rPr>
                <w:rFonts w:ascii="Arial" w:hAnsi="Arial"/>
                <w:sz w:val="18"/>
              </w:rPr>
              <w:t>Основные произведения и их версии.</w:t>
            </w:r>
          </w:p>
        </w:tc>
      </w:tr>
      <w:tr>
        <w:trPr>
          <w:cantSplit/>
        </w:trPr>
        <w:tc>
          <w:tcPr>
            <w:tcW w:type="dxa" w:w="3061"/>
            <w:tcMar>
              <w:top w:w="65" w:type="dxa"/>
              <w:left w:w="90" w:type="dxa"/>
              <w:bottom w:w="65" w:type="dxa"/>
              <w:right w:w="90" w:type="dxa"/>
            </w:tcMar>
            <w:shd w:fill="FFFFFF"/>
          </w:tcPr>
          <w:p>
            <w:pPr>
              <w:spacing w:after="40" w:line="250" w:lineRule="auto"/>
            </w:pPr>
            <w:r>
              <w:rPr>
                <w:rFonts w:ascii="Arial" w:hAnsi="Arial"/>
                <w:sz w:val="18"/>
              </w:rPr>
              <w:t>same_corpus_or_tradition</w:t>
            </w:r>
          </w:p>
        </w:tc>
        <w:tc>
          <w:tcPr>
            <w:tcW w:type="dxa" w:w="964"/>
            <w:tcMar>
              <w:top w:w="65" w:type="dxa"/>
              <w:left w:w="90" w:type="dxa"/>
              <w:bottom w:w="65" w:type="dxa"/>
              <w:right w:w="90" w:type="dxa"/>
            </w:tcMar>
            <w:shd w:fill="FFFFFF"/>
          </w:tcPr>
          <w:p>
            <w:pPr>
              <w:spacing w:after="40" w:line="250" w:lineRule="auto"/>
            </w:pPr>
            <w:r>
              <w:rPr>
                <w:rFonts w:ascii="Arial" w:hAnsi="Arial"/>
                <w:sz w:val="18"/>
              </w:rPr>
              <w:t>19</w:t>
            </w:r>
          </w:p>
        </w:tc>
        <w:tc>
          <w:tcPr>
            <w:tcW w:type="dxa" w:w="5613"/>
            <w:tcMar>
              <w:top w:w="65" w:type="dxa"/>
              <w:left w:w="90" w:type="dxa"/>
              <w:bottom w:w="65" w:type="dxa"/>
              <w:right w:w="90" w:type="dxa"/>
            </w:tcMar>
            <w:shd w:fill="FFFFFF"/>
          </w:tcPr>
          <w:p>
            <w:pPr>
              <w:spacing w:after="40" w:line="250" w:lineRule="auto"/>
            </w:pPr>
            <w:r>
              <w:rPr>
                <w:rFonts w:ascii="Arial" w:hAnsi="Arial"/>
                <w:sz w:val="18"/>
              </w:rPr>
              <w:t>Прямые корпусные и жанровые родственники.</w:t>
            </w:r>
          </w:p>
        </w:tc>
      </w:tr>
      <w:tr>
        <w:trPr>
          <w:cantSplit/>
        </w:trPr>
        <w:tc>
          <w:tcPr>
            <w:tcW w:type="dxa" w:w="3061"/>
            <w:tcMar>
              <w:top w:w="65" w:type="dxa"/>
              <w:left w:w="90" w:type="dxa"/>
              <w:bottom w:w="65" w:type="dxa"/>
              <w:right w:w="90" w:type="dxa"/>
            </w:tcMar>
            <w:shd w:fill="F1F5F8"/>
          </w:tcPr>
          <w:p>
            <w:pPr>
              <w:spacing w:after="40" w:line="250" w:lineRule="auto"/>
            </w:pPr>
            <w:r>
              <w:rPr>
                <w:rFonts w:ascii="Arial" w:hAnsi="Arial"/>
                <w:sz w:val="18"/>
              </w:rPr>
              <w:t>antecedent</w:t>
            </w:r>
          </w:p>
        </w:tc>
        <w:tc>
          <w:tcPr>
            <w:tcW w:type="dxa" w:w="964"/>
            <w:tcMar>
              <w:top w:w="65" w:type="dxa"/>
              <w:left w:w="90" w:type="dxa"/>
              <w:bottom w:w="65" w:type="dxa"/>
              <w:right w:w="90" w:type="dxa"/>
            </w:tcMar>
            <w:shd w:fill="F1F5F8"/>
          </w:tcPr>
          <w:p>
            <w:pPr>
              <w:spacing w:after="40" w:line="250" w:lineRule="auto"/>
            </w:pPr>
            <w:r>
              <w:rPr>
                <w:rFonts w:ascii="Arial" w:hAnsi="Arial"/>
                <w:sz w:val="18"/>
              </w:rPr>
              <w:t>8</w:t>
            </w:r>
          </w:p>
        </w:tc>
        <w:tc>
          <w:tcPr>
            <w:tcW w:type="dxa" w:w="5613"/>
            <w:tcMar>
              <w:top w:w="65" w:type="dxa"/>
              <w:left w:w="90" w:type="dxa"/>
              <w:bottom w:w="65" w:type="dxa"/>
              <w:right w:w="90" w:type="dxa"/>
            </w:tcMar>
            <w:shd w:fill="F1F5F8"/>
          </w:tcPr>
          <w:p>
            <w:pPr>
              <w:spacing w:after="40" w:line="250" w:lineRule="auto"/>
            </w:pPr>
            <w:r>
              <w:rPr>
                <w:rFonts w:ascii="Arial" w:hAnsi="Arial"/>
                <w:sz w:val="18"/>
              </w:rPr>
              <w:t>Входящие тексты и терминологические учебники.</w:t>
            </w:r>
          </w:p>
        </w:tc>
      </w:tr>
      <w:tr>
        <w:trPr>
          <w:cantSplit/>
        </w:trPr>
        <w:tc>
          <w:tcPr>
            <w:tcW w:type="dxa" w:w="3061"/>
            <w:tcMar>
              <w:top w:w="65" w:type="dxa"/>
              <w:left w:w="90" w:type="dxa"/>
              <w:bottom w:w="65" w:type="dxa"/>
              <w:right w:w="90" w:type="dxa"/>
            </w:tcMar>
            <w:shd w:fill="FFFFFF"/>
          </w:tcPr>
          <w:p>
            <w:pPr>
              <w:spacing w:after="40" w:line="250" w:lineRule="auto"/>
            </w:pPr>
            <w:r>
              <w:rPr>
                <w:rFonts w:ascii="Arial" w:hAnsi="Arial"/>
                <w:sz w:val="18"/>
              </w:rPr>
              <w:t>continuation</w:t>
            </w:r>
          </w:p>
        </w:tc>
        <w:tc>
          <w:tcPr>
            <w:tcW w:type="dxa" w:w="964"/>
            <w:tcMar>
              <w:top w:w="65" w:type="dxa"/>
              <w:left w:w="90" w:type="dxa"/>
              <w:bottom w:w="65" w:type="dxa"/>
              <w:right w:w="90" w:type="dxa"/>
            </w:tcMar>
            <w:shd w:fill="FFFFFF"/>
          </w:tcPr>
          <w:p>
            <w:pPr>
              <w:spacing w:after="40" w:line="250" w:lineRule="auto"/>
            </w:pPr>
            <w:r>
              <w:rPr>
                <w:rFonts w:ascii="Arial" w:hAnsi="Arial"/>
                <w:sz w:val="18"/>
              </w:rPr>
              <w:t>4</w:t>
            </w:r>
          </w:p>
        </w:tc>
        <w:tc>
          <w:tcPr>
            <w:tcW w:type="dxa" w:w="5613"/>
            <w:tcMar>
              <w:top w:w="65" w:type="dxa"/>
              <w:left w:w="90" w:type="dxa"/>
              <w:bottom w:w="65" w:type="dxa"/>
              <w:right w:w="90" w:type="dxa"/>
            </w:tcMar>
            <w:shd w:fill="FFFFFF"/>
          </w:tcPr>
          <w:p>
            <w:pPr>
              <w:spacing w:after="40" w:line="250" w:lineRule="auto"/>
            </w:pPr>
            <w:r>
              <w:rPr>
                <w:rFonts w:ascii="Arial" w:hAnsi="Arial"/>
                <w:sz w:val="18"/>
              </w:rPr>
              <w:t>Поздние фазы той же логической семьи.</w:t>
            </w:r>
          </w:p>
        </w:tc>
      </w:tr>
      <w:tr>
        <w:trPr>
          <w:cantSplit/>
        </w:trPr>
        <w:tc>
          <w:tcPr>
            <w:tcW w:type="dxa" w:w="3061"/>
            <w:tcMar>
              <w:top w:w="65" w:type="dxa"/>
              <w:left w:w="90" w:type="dxa"/>
              <w:bottom w:w="65" w:type="dxa"/>
              <w:right w:w="90" w:type="dxa"/>
            </w:tcMar>
            <w:shd w:fill="F1F5F8"/>
          </w:tcPr>
          <w:p>
            <w:pPr>
              <w:spacing w:after="40" w:line="250" w:lineRule="auto"/>
            </w:pPr>
            <w:r>
              <w:rPr>
                <w:rFonts w:ascii="Arial" w:hAnsi="Arial"/>
                <w:sz w:val="18"/>
              </w:rPr>
              <w:t>transmission_or_preservation</w:t>
            </w:r>
          </w:p>
        </w:tc>
        <w:tc>
          <w:tcPr>
            <w:tcW w:type="dxa" w:w="964"/>
            <w:tcMar>
              <w:top w:w="65" w:type="dxa"/>
              <w:left w:w="90" w:type="dxa"/>
              <w:bottom w:w="65" w:type="dxa"/>
              <w:right w:w="90" w:type="dxa"/>
            </w:tcMar>
            <w:shd w:fill="F1F5F8"/>
          </w:tcPr>
          <w:p>
            <w:pPr>
              <w:spacing w:after="40" w:line="250" w:lineRule="auto"/>
            </w:pPr>
            <w:r>
              <w:rPr>
                <w:rFonts w:ascii="Arial" w:hAnsi="Arial"/>
                <w:sz w:val="18"/>
              </w:rPr>
              <w:t>8</w:t>
            </w:r>
          </w:p>
        </w:tc>
        <w:tc>
          <w:tcPr>
            <w:tcW w:type="dxa" w:w="5613"/>
            <w:tcMar>
              <w:top w:w="65" w:type="dxa"/>
              <w:left w:w="90" w:type="dxa"/>
              <w:bottom w:w="65" w:type="dxa"/>
              <w:right w:w="90" w:type="dxa"/>
            </w:tcMar>
            <w:shd w:fill="F1F5F8"/>
          </w:tcPr>
          <w:p>
            <w:pPr>
              <w:spacing w:after="40" w:line="250" w:lineRule="auto"/>
            </w:pPr>
            <w:r>
              <w:rPr>
                <w:rFonts w:ascii="Arial" w:hAnsi="Arial"/>
                <w:sz w:val="18"/>
              </w:rPr>
              <w:t>Конкретные формы исторического сохранения.</w:t>
            </w:r>
          </w:p>
        </w:tc>
      </w:tr>
      <w:tr>
        <w:trPr>
          <w:cantSplit/>
        </w:trPr>
        <w:tc>
          <w:tcPr>
            <w:tcW w:type="dxa" w:w="3061"/>
            <w:tcMar>
              <w:top w:w="65" w:type="dxa"/>
              <w:left w:w="90" w:type="dxa"/>
              <w:bottom w:w="65" w:type="dxa"/>
              <w:right w:w="90" w:type="dxa"/>
            </w:tcMar>
            <w:shd w:fill="FFFFFF"/>
          </w:tcPr>
          <w:p>
            <w:pPr>
              <w:spacing w:after="40" w:line="250" w:lineRule="auto"/>
            </w:pPr>
            <w:r>
              <w:rPr>
                <w:rFonts w:ascii="Arial" w:hAnsi="Arial"/>
                <w:sz w:val="18"/>
              </w:rPr>
              <w:t>boundary</w:t>
            </w:r>
          </w:p>
        </w:tc>
        <w:tc>
          <w:tcPr>
            <w:tcW w:type="dxa" w:w="964"/>
            <w:tcMar>
              <w:top w:w="65" w:type="dxa"/>
              <w:left w:w="90" w:type="dxa"/>
              <w:bottom w:w="65" w:type="dxa"/>
              <w:right w:w="90" w:type="dxa"/>
            </w:tcMar>
            <w:shd w:fill="FFFFFF"/>
          </w:tcPr>
          <w:p>
            <w:pPr>
              <w:spacing w:after="40" w:line="250" w:lineRule="auto"/>
            </w:pPr>
            <w:r>
              <w:rPr>
                <w:rFonts w:ascii="Arial" w:hAnsi="Arial"/>
                <w:sz w:val="18"/>
              </w:rPr>
              <w:t>3</w:t>
            </w:r>
          </w:p>
        </w:tc>
        <w:tc>
          <w:tcPr>
            <w:tcW w:type="dxa" w:w="5613"/>
            <w:tcMar>
              <w:top w:w="65" w:type="dxa"/>
              <w:left w:w="90" w:type="dxa"/>
              <w:bottom w:w="65" w:type="dxa"/>
              <w:right w:w="90" w:type="dxa"/>
            </w:tcMar>
            <w:shd w:fill="FFFFFF"/>
          </w:tcPr>
          <w:p>
            <w:pPr>
              <w:spacing w:after="40" w:line="250" w:lineRule="auto"/>
            </w:pPr>
            <w:r>
              <w:rPr>
                <w:rFonts w:ascii="Arial" w:hAnsi="Arial"/>
                <w:sz w:val="18"/>
              </w:rPr>
              <w:t>Оккамовская физика, Oresme, Physics Буридана.</w:t>
            </w:r>
          </w:p>
        </w:tc>
      </w:tr>
      <w:tr>
        <w:trPr>
          <w:cantSplit/>
        </w:trPr>
        <w:tc>
          <w:tcPr>
            <w:tcW w:type="dxa" w:w="3061"/>
            <w:tcMar>
              <w:top w:w="65" w:type="dxa"/>
              <w:left w:w="90" w:type="dxa"/>
              <w:bottom w:w="65" w:type="dxa"/>
              <w:right w:w="90" w:type="dxa"/>
            </w:tcMar>
            <w:shd w:fill="F1F5F8"/>
          </w:tcPr>
          <w:p>
            <w:pPr>
              <w:spacing w:after="40" w:line="250" w:lineRule="auto"/>
            </w:pPr>
            <w:r>
              <w:rPr>
                <w:rFonts w:ascii="Arial" w:hAnsi="Arial"/>
                <w:sz w:val="18"/>
              </w:rPr>
              <w:t>supporting / infrastructure / secondary_navigation</w:t>
            </w:r>
          </w:p>
        </w:tc>
        <w:tc>
          <w:tcPr>
            <w:tcW w:type="dxa" w:w="964"/>
            <w:tcMar>
              <w:top w:w="65" w:type="dxa"/>
              <w:left w:w="90" w:type="dxa"/>
              <w:bottom w:w="65" w:type="dxa"/>
              <w:right w:w="90" w:type="dxa"/>
            </w:tcMar>
            <w:shd w:fill="F1F5F8"/>
          </w:tcPr>
          <w:p>
            <w:pPr>
              <w:spacing w:after="40" w:line="250" w:lineRule="auto"/>
            </w:pPr>
            <w:r>
              <w:rPr>
                <w:rFonts w:ascii="Arial" w:hAnsi="Arial"/>
                <w:sz w:val="18"/>
              </w:rPr>
              <w:t>4</w:t>
            </w:r>
          </w:p>
        </w:tc>
        <w:tc>
          <w:tcPr>
            <w:tcW w:type="dxa" w:w="5613"/>
            <w:tcMar>
              <w:top w:w="65" w:type="dxa"/>
              <w:left w:w="90" w:type="dxa"/>
              <w:bottom w:w="65" w:type="dxa"/>
              <w:right w:w="90" w:type="dxa"/>
            </w:tcMar>
            <w:shd w:fill="F1F5F8"/>
          </w:tcPr>
          <w:p>
            <w:pPr>
              <w:spacing w:after="40" w:line="250" w:lineRule="auto"/>
            </w:pPr>
            <w:r>
              <w:rPr>
                <w:rFonts w:ascii="Arial" w:hAnsi="Arial"/>
                <w:sz w:val="18"/>
              </w:rPr>
              <w:t>Исправления, предметный портал, две библиографии.</w:t>
            </w:r>
          </w:p>
        </w:tc>
      </w:tr>
    </w:tbl>
    <w:p>
      <w:pPr>
        <w:spacing w:after="0"/>
      </w:pPr>
    </w:p>
    <w:p>
      <w:r>
        <w:t>Отдельного тега commentary_or_reception в основном registry нет: содержательно важные дальние комментарии ещё требуют первичного доступа и перечислены в gaps. Отсутствие тега не означает, что поиск вперёд не проводился.</w:t>
      </w:r>
    </w:p>
    <w:p>
      <w:r>
        <w:br w:type="page"/>
      </w:r>
    </w:p>
    <w:p>
      <w:pPr>
        <w:pStyle w:val="Caption"/>
      </w:pPr>
      <w:r>
        <w:t>ВХОДЫ / ОККАМ</w:t>
      </w:r>
    </w:p>
    <w:p>
      <w:pPr>
        <w:pStyle w:val="Heading1"/>
      </w:pPr>
      <w:r>
        <w:t>3. Лучшие пути доступа</w:t>
      </w:r>
    </w:p>
    <w:p>
      <w:pPr>
        <w:pStyle w:val="Heading2"/>
      </w:pPr>
      <w:r>
        <w:t>Summa logicae: от свободного текста к критическому изданию</w:t>
      </w:r>
    </w:p>
    <w:p>
      <w:r>
        <w:t>Лучший найденный машиночитаемый оригинал — EEBO-TCP A53187 в официальном репозитории Text Creation Partnership. Файл TEI действительно открылся; лицензия CC0 находится в его собственном заголовке. Это латинская транскрипция исторической печати, пригодная как начальная основа поиска, сопоставления и собственного перевода, но не замена критическому OPh I. Изображения ProQuest/EEBO не входят в разрешение на текст.</w:t>
      </w:r>
      <w:r>
        <w:t xml:space="preserve">  </w:t>
      </w:r>
      <w:hyperlink r:id="rId55">
        <w:r>
          <w:rPr>
            <w:color w:val="12668A"/>
            <w:sz w:val="19"/>
          </w:rPr>
          <w:t>[R056]</w:t>
        </w:r>
      </w:hyperlink>
    </w:p>
    <w:p>
      <w:r>
        <w:t>При проверке обнаружен важный конфликт: editionStmt содержит 1665, тогда как sourceDesc и транскрибированный титул M.DC.LXXV указывают 1675. Основное описание сохраняет дату титула, а противоречие — в notes и gaps. Равно важно, что метаданные profileDesc называют язык eng, хотя сам текст размечен как lat. Такие поля нельзя переносить в ToS без проверки.</w:t>
      </w:r>
      <w:r>
        <w:t xml:space="preserve">  </w:t>
      </w:r>
      <w:hyperlink r:id="rId39">
        <w:r>
          <w:rPr>
            <w:color w:val="12668A"/>
            <w:sz w:val="19"/>
          </w:rPr>
          <w:t>[R056]</w:t>
        </w:r>
      </w:hyperlink>
    </w:p>
    <w:p>
      <w:r>
        <w:t>Для чтения по-английски доступны открытые публикации Paul Vincent Spade: выбранные главы части I и отдельная глава III.3.46 об insolubilia. Обе имеют item-level CC BY 4.0. Это удобный свободный вход, но не полный перевод Summa. Более полное последовательное чтение нужных частей обеспечивают защищённые Loux — Theory of Terms, Freddoso/Schuurman — Theory of Propositions и Longeway — Demonstration and Scientific Knowledge.</w:t>
      </w:r>
      <w:r>
        <w:t xml:space="preserve">  </w:t>
      </w:r>
      <w:hyperlink r:id="rId56">
        <w:r>
          <w:rPr>
            <w:color w:val="12668A"/>
            <w:sz w:val="19"/>
          </w:rPr>
          <w:t>[R002]</w:t>
        </w:r>
      </w:hyperlink>
      <w:r>
        <w:t xml:space="preserve"> · </w:t>
      </w:r>
      <w:hyperlink r:id="rId57">
        <w:r>
          <w:rPr>
            <w:color w:val="12668A"/>
            <w:sz w:val="19"/>
          </w:rPr>
          <w:t>[R003]</w:t>
        </w:r>
      </w:hyperlink>
      <w:r>
        <w:t xml:space="preserve"> · </w:t>
      </w:r>
      <w:hyperlink r:id="rId58">
        <w:r>
          <w:rPr>
            <w:color w:val="12668A"/>
            <w:sz w:val="19"/>
          </w:rPr>
          <w:t>[R012]</w:t>
        </w:r>
      </w:hyperlink>
      <w:r>
        <w:t xml:space="preserve"> · </w:t>
      </w:r>
      <w:hyperlink r:id="rId59">
        <w:r>
          <w:rPr>
            <w:color w:val="12668A"/>
            <w:sz w:val="19"/>
          </w:rPr>
          <w:t>[R013]</w:t>
        </w:r>
      </w:hyperlink>
      <w:r>
        <w:t xml:space="preserve"> · </w:t>
      </w:r>
      <w:hyperlink r:id="rId60">
        <w:r>
          <w:rPr>
            <w:color w:val="12668A"/>
            <w:sz w:val="19"/>
          </w:rPr>
          <w:t>[R014]</w:t>
        </w:r>
      </w:hyperlink>
    </w:p>
    <w:p>
      <w:r>
        <w:t>Предпочтительная научная латинская редакция — Opera Philosophica I, Boehner, Gál и Brown. Для неё найден официальный маршрут покупки FIP. Бесплатный современный критический PDF с доказанным разрешением не установлен; найденный CC0-текст опирается на другую, раннюю печатную основу.</w:t>
      </w:r>
      <w:r>
        <w:t xml:space="preserve">  </w:t>
      </w:r>
      <w:hyperlink r:id="rId12">
        <w:r>
          <w:rPr>
            <w:color w:val="12668A"/>
            <w:sz w:val="19"/>
          </w:rPr>
          <w:t>[R004]</w:t>
        </w:r>
      </w:hyperlink>
    </w:p>
    <w:p>
      <w:r>
        <w:t>Для материального чтения сохранены UCM BH MSS 104, каталог HathiTrust и экземпляры печати 1508 в BSB/Regensburg и Salamanca. У UCM проверена карточка, но не все листы; HathiTrust заявил Full view, однако viewer вернул 403. BSB выдал оболочку просмотра. Salamanca указала PDF и CC BY-NC-ND 4.0, но его поток не был получен. Поэтому ни один из этих маршрутов не описан как лично просмотренный полный кодекс.</w:t>
      </w:r>
      <w:r>
        <w:t xml:space="preserve">  </w:t>
      </w:r>
      <w:hyperlink r:id="rId11">
        <w:r>
          <w:rPr>
            <w:color w:val="12668A"/>
            <w:sz w:val="19"/>
          </w:rPr>
          <w:t>[R001]</w:t>
        </w:r>
      </w:hyperlink>
      <w:r>
        <w:t xml:space="preserve"> · </w:t>
      </w:r>
      <w:hyperlink r:id="rId61">
        <w:r>
          <w:rPr>
            <w:color w:val="12668A"/>
            <w:sz w:val="19"/>
          </w:rPr>
          <w:t>[R015]</w:t>
        </w:r>
      </w:hyperlink>
      <w:r>
        <w:t xml:space="preserve"> · </w:t>
      </w:r>
      <w:hyperlink r:id="rId41">
        <w:r>
          <w:rPr>
            <w:color w:val="12668A"/>
            <w:sz w:val="19"/>
          </w:rPr>
          <w:t>[R052]</w:t>
        </w:r>
      </w:hyperlink>
      <w:r>
        <w:t xml:space="preserve"> · </w:t>
      </w:r>
      <w:hyperlink r:id="rId42">
        <w:r>
          <w:rPr>
            <w:color w:val="12668A"/>
            <w:sz w:val="19"/>
          </w:rPr>
          <w:t>[R057]</w:t>
        </w:r>
      </w:hyperlink>
    </w:p>
    <w:p>
      <w:pPr>
        <w:pStyle w:val="Heading2"/>
      </w:pPr>
      <w:r>
        <w:t>Остальной академический корпус Оккама</w:t>
      </w:r>
    </w:p>
    <w:p>
      <w:r>
        <w:t>FIP даёт официальный вход в логические Expositiones, Ordinatio, Reportatio, Quodlibeta и пограничные физические тома. В OPh II проверено присутствие не только логических экспозиций, но и трактата о предопределении; сокращённое описание магазина не является полным оглавлением. Современный английский перевод Predestination, God’s Foreknowledge and Future Contingents сохранён через preview и покупку. Русское «Избранное» — подтверждённый путь к выборке, а не к полному корпусу.</w:t>
      </w:r>
      <w:r>
        <w:t xml:space="preserve">  </w:t>
      </w:r>
      <w:hyperlink r:id="rId12">
        <w:r>
          <w:rPr>
            <w:color w:val="12668A"/>
            <w:sz w:val="19"/>
          </w:rPr>
          <w:t>[R005]</w:t>
        </w:r>
      </w:hyperlink>
      <w:r>
        <w:t xml:space="preserve"> · </w:t>
      </w:r>
      <w:hyperlink r:id="rId12">
        <w:r>
          <w:rPr>
            <w:color w:val="12668A"/>
            <w:sz w:val="19"/>
          </w:rPr>
          <w:t>[R006]</w:t>
        </w:r>
      </w:hyperlink>
      <w:r>
        <w:t xml:space="preserve"> · </w:t>
      </w:r>
      <w:hyperlink r:id="rId13">
        <w:r>
          <w:rPr>
            <w:color w:val="12668A"/>
            <w:sz w:val="19"/>
          </w:rPr>
          <w:t>[R009]</w:t>
        </w:r>
      </w:hyperlink>
      <w:r>
        <w:t xml:space="preserve"> · </w:t>
      </w:r>
      <w:hyperlink r:id="rId13">
        <w:r>
          <w:rPr>
            <w:color w:val="12668A"/>
            <w:sz w:val="19"/>
          </w:rPr>
          <w:t>[R010]</w:t>
        </w:r>
      </w:hyperlink>
      <w:r>
        <w:t xml:space="preserve"> · </w:t>
      </w:r>
      <w:hyperlink r:id="rId13">
        <w:r>
          <w:rPr>
            <w:color w:val="12668A"/>
            <w:sz w:val="19"/>
          </w:rPr>
          <w:t>[R011]</w:t>
        </w:r>
      </w:hyperlink>
      <w:r>
        <w:t xml:space="preserve"> · </w:t>
      </w:r>
      <w:hyperlink r:id="rId62">
        <w:r>
          <w:rPr>
            <w:color w:val="12668A"/>
            <w:sz w:val="19"/>
          </w:rPr>
          <w:t>[R053]</w:t>
        </w:r>
      </w:hyperlink>
      <w:r>
        <w:t xml:space="preserve"> · </w:t>
      </w:r>
      <w:hyperlink r:id="rId63">
        <w:r>
          <w:rPr>
            <w:color w:val="12668A"/>
            <w:sz w:val="19"/>
          </w:rPr>
          <w:t>[R054]</w:t>
        </w:r>
      </w:hyperlink>
      <w:r>
        <w:t xml:space="preserve"> · </w:t>
      </w:r>
      <w:hyperlink r:id="rId64">
        <w:r>
          <w:rPr>
            <w:color w:val="12668A"/>
            <w:sz w:val="19"/>
          </w:rPr>
          <w:t>[R043]</w:t>
        </w:r>
      </w:hyperlink>
    </w:p>
    <w:p>
      <w:r>
        <w:t>Наиболее свободное факсимильное дополнение — Quodlibeta, Strasbourg, Georg Husner, 1491, экземпляр UB Basel в e-rara. Item-level Public Domain Mark относится к данному объекту; открытый TXT реально прочитан, PDF, ALTO и IIIF перечислены на странице. Это позволяет отделить доступный исторический текст от защищённого современного OTh IX; OCR требует сверки с изображениями.</w:t>
      </w:r>
      <w:r>
        <w:t xml:space="preserve">  </w:t>
      </w:r>
      <w:hyperlink r:id="rId40">
        <w:r>
          <w:rPr>
            <w:color w:val="12668A"/>
            <w:sz w:val="19"/>
          </w:rPr>
          <w:t>[R039]</w:t>
        </w:r>
      </w:hyperlink>
    </w:p>
    <w:p>
      <w:r>
        <w:br w:type="page"/>
      </w:r>
    </w:p>
    <w:p>
      <w:pPr>
        <w:pStyle w:val="Caption"/>
      </w:pPr>
      <w:r>
        <w:t>ВХОДЫ / БУРИДАН</w:t>
      </w:r>
    </w:p>
    <w:p>
      <w:pPr>
        <w:pStyle w:val="Heading2"/>
      </w:pPr>
      <w:r>
        <w:t>Summulae de dialectica</w:t>
      </w:r>
    </w:p>
    <w:p>
      <w:r>
        <w:t>Для первого полного чтения наиболее цельный найденный современный вариант — английский аннотированный перевод Gyula Klima, Yale, 2001, с институциональным доступом через JSTOR. Запись R018 относится ко всему переводу, но не даёт свободного латинского текста или разрешения на зеркало. Она не заменена слабым открытым пересказом только потому, что доступ платный.</w:t>
      </w:r>
      <w:r>
        <w:t xml:space="preserve">  </w:t>
      </w:r>
      <w:hyperlink r:id="rId14">
        <w:r>
          <w:rPr>
            <w:color w:val="12668A"/>
            <w:sz w:val="19"/>
          </w:rPr>
          <w:t>[R018]</w:t>
        </w:r>
      </w:hyperlink>
    </w:p>
    <w:p>
      <w:r>
        <w:t>Для работы с оригиналом зарегистрированы восемь самостоятельных критических томов Artistarium: De propositionibus, De praedicabilibus, In Praedicamenta, De suppositionibus, De syllogismis, De locis dialecticis, De demonstrationibus и De practica sophismatum. Каждый имеет собственную издательскую страницу и представляет существенную часть Summulae; все восемь остаются одной группой произведения при оценке охвата.</w:t>
      </w:r>
      <w:r>
        <w:t xml:space="preserve">  </w:t>
      </w:r>
      <w:hyperlink r:id="rId65">
        <w:r>
          <w:rPr>
            <w:color w:val="12668A"/>
            <w:sz w:val="19"/>
          </w:rPr>
          <w:t>[R019]</w:t>
        </w:r>
      </w:hyperlink>
      <w:r>
        <w:t xml:space="preserve"> · </w:t>
      </w:r>
      <w:hyperlink r:id="rId66">
        <w:r>
          <w:rPr>
            <w:color w:val="12668A"/>
            <w:sz w:val="19"/>
          </w:rPr>
          <w:t>[R020]</w:t>
        </w:r>
      </w:hyperlink>
      <w:r>
        <w:t xml:space="preserve"> · </w:t>
      </w:r>
      <w:hyperlink r:id="rId67">
        <w:r>
          <w:rPr>
            <w:color w:val="12668A"/>
            <w:sz w:val="19"/>
          </w:rPr>
          <w:t>[R021]</w:t>
        </w:r>
      </w:hyperlink>
      <w:r>
        <w:t xml:space="preserve"> · </w:t>
      </w:r>
      <w:hyperlink r:id="rId68">
        <w:r>
          <w:rPr>
            <w:color w:val="12668A"/>
            <w:sz w:val="19"/>
          </w:rPr>
          <w:t>[R022]</w:t>
        </w:r>
      </w:hyperlink>
      <w:r>
        <w:t xml:space="preserve"> · </w:t>
      </w:r>
      <w:hyperlink r:id="rId69">
        <w:r>
          <w:rPr>
            <w:color w:val="12668A"/>
            <w:sz w:val="19"/>
          </w:rPr>
          <w:t>[R023]</w:t>
        </w:r>
      </w:hyperlink>
      <w:r>
        <w:t xml:space="preserve"> · </w:t>
      </w:r>
      <w:hyperlink r:id="rId70">
        <w:r>
          <w:rPr>
            <w:color w:val="12668A"/>
            <w:sz w:val="19"/>
          </w:rPr>
          <w:t>[R024]</w:t>
        </w:r>
      </w:hyperlink>
      <w:r>
        <w:t xml:space="preserve"> · </w:t>
      </w:r>
      <w:hyperlink r:id="rId71">
        <w:r>
          <w:rPr>
            <w:color w:val="12668A"/>
            <w:sz w:val="19"/>
          </w:rPr>
          <w:t>[R025]</w:t>
        </w:r>
      </w:hyperlink>
      <w:r>
        <w:t xml:space="preserve"> · </w:t>
      </w:r>
      <w:hyperlink r:id="rId72">
        <w:r>
          <w:rPr>
            <w:color w:val="12668A"/>
            <w:sz w:val="19"/>
          </w:rPr>
          <w:t>[R026]</w:t>
        </w:r>
      </w:hyperlink>
    </w:p>
    <w:p>
      <w:r>
        <w:t>Отдельный надёжный путь к латинскому тому De fallaciis не найден. Это пробел издания/доступа, а не утверждение об отсутствии VII части. Годы отдельных выпусков расходятся между текущими карточками и академическими библиографиями; в XLSX сохранены обе версии, без насильственной единой датировки.</w:t>
      </w:r>
      <w:r>
        <w:t xml:space="preserve">  </w:t>
      </w:r>
      <w:hyperlink r:id="rId65">
        <w:r>
          <w:rPr>
            <w:color w:val="12668A"/>
            <w:sz w:val="19"/>
          </w:rPr>
          <w:t>[R019]</w:t>
        </w:r>
      </w:hyperlink>
      <w:r>
        <w:t xml:space="preserve"> · </w:t>
      </w:r>
      <w:hyperlink r:id="rId72">
        <w:r>
          <w:rPr>
            <w:color w:val="12668A"/>
            <w:sz w:val="19"/>
          </w:rPr>
          <w:t>[R026]</w:t>
        </w:r>
      </w:hyperlink>
      <w:r>
        <w:t xml:space="preserve"> · </w:t>
      </w:r>
      <w:hyperlink r:id="rId73">
        <w:r>
          <w:rPr>
            <w:color w:val="12668A"/>
            <w:sz w:val="19"/>
          </w:rPr>
          <w:t>[R075]</w:t>
        </w:r>
      </w:hyperlink>
    </w:p>
    <w:p>
      <w:r>
        <w:t>Наиболее свободный переводной компонент этой ветви — опубликованный в Problemos литовский фрагмент De syllogismis под CC BY 4.0. Он полезен для сопоставления терминологии, однако не даёт права считать открытыми все Summulae. Полный надёжно лицензированный латинский TEI/XML Буридана в этом запуске не установлен.</w:t>
      </w:r>
      <w:r>
        <w:t xml:space="preserve">  </w:t>
      </w:r>
      <w:hyperlink r:id="rId74">
        <w:r>
          <w:rPr>
            <w:color w:val="12668A"/>
            <w:sz w:val="19"/>
          </w:rPr>
          <w:t>[R027]</w:t>
        </w:r>
      </w:hyperlink>
    </w:p>
    <w:p>
      <w:pPr>
        <w:pStyle w:val="Heading2"/>
      </w:pPr>
      <w:r>
        <w:t>Теория следования и комментарии</w:t>
      </w:r>
    </w:p>
    <w:p>
      <w:r>
        <w:t>Tractatus de consequentiis имеет официальный маршрут к современному английскому переводу Stephen Read. Латинское издание Henri Hubien 1976 подтверждено сильной библиографией и рецензией, но пригодная проверенная выдача самого латинского текста остаётся отдельной задачей. Перевод Read не объявлен публичнодоменным из-за возраста Буридана.</w:t>
      </w:r>
      <w:r>
        <w:t xml:space="preserve">  </w:t>
      </w:r>
      <w:hyperlink r:id="rId15">
        <w:r>
          <w:rPr>
            <w:color w:val="12668A"/>
            <w:sz w:val="19"/>
          </w:rPr>
          <w:t>[R028]</w:t>
        </w:r>
      </w:hyperlink>
      <w:r>
        <w:t xml:space="preserve"> · </w:t>
      </w:r>
      <w:hyperlink r:id="rId73">
        <w:r>
          <w:rPr>
            <w:color w:val="12668A"/>
            <w:sz w:val="19"/>
          </w:rPr>
          <w:t>[R075]</w:t>
        </w:r>
      </w:hyperlink>
    </w:p>
    <w:p>
      <w:r>
        <w:t>По логическим комментариям сохранены официальные критические издания Questiones Elencorum, Questiones longe super Librum Perihermeneias и Quaestiones topicorum. Для второго из них различаются недоступность прежней печатной формы и существование электронного издания в каталоге: out of print не равнозначно отсутствию любого законного пути.</w:t>
      </w:r>
      <w:r>
        <w:t xml:space="preserve">  </w:t>
      </w:r>
      <w:hyperlink r:id="rId16">
        <w:r>
          <w:rPr>
            <w:color w:val="12668A"/>
            <w:sz w:val="19"/>
          </w:rPr>
          <w:t>[R029]</w:t>
        </w:r>
      </w:hyperlink>
      <w:r>
        <w:t xml:space="preserve"> · </w:t>
      </w:r>
      <w:hyperlink r:id="rId17">
        <w:r>
          <w:rPr>
            <w:color w:val="12668A"/>
            <w:sz w:val="19"/>
          </w:rPr>
          <w:t>[R030]</w:t>
        </w:r>
      </w:hyperlink>
      <w:r>
        <w:t xml:space="preserve"> · </w:t>
      </w:r>
      <w:hyperlink r:id="rId18">
        <w:r>
          <w:rPr>
            <w:color w:val="12668A"/>
            <w:sz w:val="19"/>
          </w:rPr>
          <w:t>[R031]</w:t>
        </w:r>
      </w:hyperlink>
    </w:p>
    <w:p>
      <w:r>
        <w:t>В качестве точно определённых приложений аналитики зарегистрированы полное латинско-английское De anima 2023 и Physics V–VIII 2024. У De anima проверены издательские способы покупки/институционального доступа и preview; у Physics издательская выдача блокировалась, поэтому полнота самого тома подтверждена библиографически, но не его получение. Другие редакции Physics и оставшиеся комментарии находятся в gaps.</w:t>
      </w:r>
      <w:r>
        <w:t xml:space="preserve">  </w:t>
      </w:r>
      <w:hyperlink r:id="rId19">
        <w:r>
          <w:rPr>
            <w:color w:val="12668A"/>
            <w:sz w:val="19"/>
          </w:rPr>
          <w:t>[R063]</w:t>
        </w:r>
      </w:hyperlink>
      <w:r>
        <w:t xml:space="preserve"> · </w:t>
      </w:r>
      <w:hyperlink r:id="rId20">
        <w:r>
          <w:rPr>
            <w:color w:val="12668A"/>
            <w:sz w:val="19"/>
          </w:rPr>
          <w:t>[R074]</w:t>
        </w:r>
      </w:hyperlink>
      <w:r>
        <w:t xml:space="preserve"> · </w:t>
      </w:r>
      <w:hyperlink r:id="rId73">
        <w:r>
          <w:rPr>
            <w:color w:val="12668A"/>
            <w:sz w:val="19"/>
          </w:rPr>
          <w:t>[R075]</w:t>
        </w:r>
      </w:hyperlink>
    </w:p>
    <w:p>
      <w:r>
        <w:t>Итог по Буридану: корпус хорошо идентифицирован и имеет сильные научные издания, но его наиболее полезный полный слой преимущественно защищён. Для ToS сейчас обоснованы внешние карточки, покупка и доступ через библиотеки; публичный полнотекстовый индекс либо зеркало этих изданий не разрешены по умолчанию.</w:t>
      </w:r>
    </w:p>
    <w:p>
      <w:pPr>
        <w:pStyle w:val="Heading2"/>
      </w:pPr>
      <w:r>
        <w:t>Почему ранние печати ещё важны</w:t>
      </w:r>
    </w:p>
    <w:p>
      <w:r>
        <w:t>Поздние печати, университетские эпитомы и рукописи могут дать независимую основу для оригинального текста. Поэтому Lectura Erfordiensis с XV-вековой Abbreviatio Caminensis, ранние Metaphysica, Ethics и De caelo не исключены как «другой период»: для них требуется отдельный поиск конкретных свидетелей и прав.</w:t>
      </w:r>
      <w:r>
        <w:t xml:space="preserve">  </w:t>
      </w:r>
      <w:hyperlink r:id="rId73">
        <w:r>
          <w:rPr>
            <w:color w:val="12668A"/>
            <w:sz w:val="19"/>
          </w:rPr>
          <w:t>[R075]</w:t>
        </w:r>
      </w:hyperlink>
    </w:p>
    <w:p>
      <w:r>
        <w:br w:type="page"/>
      </w:r>
    </w:p>
    <w:p>
      <w:pPr>
        <w:pStyle w:val="Caption"/>
      </w:pPr>
      <w:r>
        <w:t>ВХОДЫ / ПАРАДОКСЫ, ДИСПУТ, СОФИЗМЫ</w:t>
      </w:r>
    </w:p>
    <w:p>
      <w:pPr>
        <w:pStyle w:val="Heading2"/>
      </w:pPr>
      <w:r>
        <w:t>Bradwardine, Segrave, Swyneshed и открытые латинские островки</w:t>
      </w:r>
    </w:p>
    <w:p>
      <w:r>
        <w:t>Для Bradwardine предпочтительный современный научный вариант — латинский текст и английский перевод Stephen Read, Peeters, 2010. У автора есть открытые исправления к изданию; это полезное дополнение, но не бесплатный полный трактат. Для Roger Swyneshed найден доступный авторский английский PDF на сайте St Andrews: читать и сохранять исследовательскую копию можно по этому маршруту, тогда как открытая лицензия на публичное переиздание не установлена.</w:t>
      </w:r>
      <w:r>
        <w:t xml:space="preserve">  </w:t>
      </w:r>
      <w:hyperlink r:id="rId21">
        <w:r>
          <w:rPr>
            <w:color w:val="12668A"/>
            <w:sz w:val="19"/>
          </w:rPr>
          <w:t>[R032]</w:t>
        </w:r>
      </w:hyperlink>
      <w:r>
        <w:t xml:space="preserve"> · </w:t>
      </w:r>
      <w:hyperlink r:id="rId75">
        <w:r>
          <w:rPr>
            <w:color w:val="12668A"/>
            <w:sz w:val="19"/>
          </w:rPr>
          <w:t>[R033]</w:t>
        </w:r>
      </w:hyperlink>
      <w:r>
        <w:t xml:space="preserve"> · </w:t>
      </w:r>
      <w:hyperlink r:id="rId25">
        <w:r>
          <w:rPr>
            <w:color w:val="12668A"/>
            <w:sz w:val="19"/>
          </w:rPr>
          <w:t>[R017]</w:t>
        </w:r>
      </w:hyperlink>
    </w:p>
    <w:p>
      <w:r>
        <w:t>Для прямого полемического родственника, Walter Segrave, положение значительно лучше: Open Book Publishers предлагает критический латинский текст, английский перевод и скачиваемые форматы под CC BY-NC 4.0. Латинский TXT действительно открыт. Это лучший найденный современный оригинальный слой для некоммерческого перевода ToS в этой ветви; атрибуция и указание изменений обязательны, а отдельно обозначенные чужие материалы требуют собственной проверки.</w:t>
      </w:r>
      <w:r>
        <w:t xml:space="preserve">  </w:t>
      </w:r>
      <w:hyperlink r:id="rId29">
        <w:r>
          <w:rPr>
            <w:color w:val="12668A"/>
            <w:sz w:val="19"/>
          </w:rPr>
          <w:t>[R016]</w:t>
        </w:r>
      </w:hyperlink>
    </w:p>
    <w:p>
      <w:r>
        <w:t>Indiana ScholarWorks даёт ещё два важных оригинальных слоя под CC BY 4.0: Insolubilia как часть VI Summa Richard Brinkley и три латинских вопроса John of Wesel. В первом случае лицензия и запись подтверждены, но загрузка большого PDF не завершилась. Во втором прочитан 22-страничный файл. Ни один путь не превращает фрагмент или часть в доступ ко всей сумме автора.</w:t>
      </w:r>
      <w:r>
        <w:t xml:space="preserve">  </w:t>
      </w:r>
      <w:hyperlink r:id="rId30">
        <w:r>
          <w:rPr>
            <w:color w:val="12668A"/>
            <w:sz w:val="19"/>
          </w:rPr>
          <w:t>[R037]</w:t>
        </w:r>
      </w:hyperlink>
      <w:r>
        <w:t xml:space="preserve"> · </w:t>
      </w:r>
      <w:hyperlink r:id="rId31">
        <w:r>
          <w:rPr>
            <w:color w:val="12668A"/>
            <w:sz w:val="19"/>
          </w:rPr>
          <w:t>[R038]</w:t>
        </w:r>
      </w:hyperlink>
    </w:p>
    <w:p>
      <w:pPr>
        <w:pStyle w:val="Heading2"/>
      </w:pPr>
      <w:r>
        <w:t>Heytesbury, Strode и мертонский круг</w:t>
      </w:r>
    </w:p>
    <w:p>
      <w:r>
        <w:t>Regulae Хейтсбери покрыты неравномерно: глава I представлена каталогом издания Spade, глава V и связанный De maximo et minimo — научным изданием Longeway с покупкой/институциональным доступом. Sophismata asinina имеет отдельную критическую латинско-французскую редакцию Pironet. PDF исследования Casus obligationis содержит первичный латинский материал, но его атрибуция Хейтсбери не принята безоговорочно.</w:t>
      </w:r>
      <w:r>
        <w:t xml:space="preserve">  </w:t>
      </w:r>
      <w:hyperlink r:id="rId22">
        <w:r>
          <w:rPr>
            <w:color w:val="12668A"/>
            <w:sz w:val="19"/>
          </w:rPr>
          <w:t>[R034]</w:t>
        </w:r>
      </w:hyperlink>
      <w:r>
        <w:t xml:space="preserve"> · </w:t>
      </w:r>
      <w:hyperlink r:id="rId23">
        <w:r>
          <w:rPr>
            <w:color w:val="12668A"/>
            <w:sz w:val="19"/>
          </w:rPr>
          <w:t>[R035]</w:t>
        </w:r>
      </w:hyperlink>
      <w:r>
        <w:t xml:space="preserve"> · </w:t>
      </w:r>
      <w:hyperlink r:id="rId24">
        <w:r>
          <w:rPr>
            <w:color w:val="12668A"/>
            <w:sz w:val="19"/>
          </w:rPr>
          <w:t>[R041]</w:t>
        </w:r>
      </w:hyperlink>
      <w:r>
        <w:t xml:space="preserve"> · </w:t>
      </w:r>
      <w:hyperlink r:id="rId32">
        <w:r>
          <w:rPr>
            <w:color w:val="12668A"/>
            <w:sz w:val="19"/>
          </w:rPr>
          <w:t>[R040]</w:t>
        </w:r>
      </w:hyperlink>
    </w:p>
    <w:p>
      <w:r>
        <w:t>Исторический сборник Salamanca 1491 объединяет несколько трактатов: нельзя приписывать всё первому автору на титуле. В частности, Consequentiae и Obligationes в каталоге отнесены к Ralph Strode. Для неизменённого факсимиле указана CC BY-NC-ND 3.0, однако его загрузка нестабильна; современная транскрипция всего сборника с независимой открытой лицензией не найдена.</w:t>
      </w:r>
      <w:r>
        <w:t xml:space="preserve">  </w:t>
      </w:r>
      <w:hyperlink r:id="rId43">
        <w:r>
          <w:rPr>
            <w:color w:val="12668A"/>
            <w:sz w:val="19"/>
          </w:rPr>
          <w:t>[R058]</w:t>
        </w:r>
      </w:hyperlink>
    </w:p>
    <w:p>
      <w:r>
        <w:t>Новое издание Obligationes Строда 2026 — важное расширение доступа: Ashworth и Read, ABMA 46, латинский текст и английский перевод, с приложениями De arte obligatoria Строда и Дамблтона. Публикация уже состоялась, но текущий цифровой путь — подписные библиотеки JSTOR Path to Open. UW–Madison показывает электронный и печатный экземпляры; выдача зависит от прав читателя. Объявленный OA через три года нельзя трактовать как свободную загрузку в 2026.</w:t>
      </w:r>
      <w:r>
        <w:t xml:space="preserve">  </w:t>
      </w:r>
      <w:hyperlink r:id="rId26">
        <w:r>
          <w:rPr>
            <w:color w:val="12668A"/>
            <w:sz w:val="19"/>
          </w:rPr>
          <w:t>[R066]</w:t>
        </w:r>
      </w:hyperlink>
      <w:r>
        <w:t xml:space="preserve"> · </w:t>
      </w:r>
      <w:hyperlink r:id="rId76">
        <w:r>
          <w:rPr>
            <w:color w:val="12668A"/>
            <w:sz w:val="19"/>
          </w:rPr>
          <w:t>[R073]</w:t>
        </w:r>
      </w:hyperlink>
    </w:p>
    <w:p>
      <w:pPr>
        <w:pStyle w:val="Heading2"/>
      </w:pPr>
      <w:r>
        <w:t>Предшественники и поздние читатели</w:t>
      </w:r>
    </w:p>
    <w:p>
      <w:r>
        <w:t>Для входа в XIII век сохранены защищённые научные переводы Lambert, Sherwood и Peter of Spain; старый Owen даёт свободно размещённую английскую Isagoge, а Gutenberg — немецкую Topica Rolfes. Для поздних логиков есть издания Holland, Marsilius, Ailly, Bricot, Albert of Saxony и части Magna Павла Венецианского. Они особенно полезны для сопоставления одной проблемы во времени, но бесплатного полного текста для каждого из них не найдено.</w:t>
      </w:r>
      <w:r>
        <w:t xml:space="preserve">  </w:t>
      </w:r>
      <w:hyperlink r:id="rId49">
        <w:r>
          <w:rPr>
            <w:color w:val="12668A"/>
            <w:sz w:val="19"/>
          </w:rPr>
          <w:t>[R044]</w:t>
        </w:r>
      </w:hyperlink>
      <w:r>
        <w:t xml:space="preserve"> · </w:t>
      </w:r>
      <w:hyperlink r:id="rId50">
        <w:r>
          <w:rPr>
            <w:color w:val="12668A"/>
            <w:sz w:val="19"/>
          </w:rPr>
          <w:t>[R045]</w:t>
        </w:r>
      </w:hyperlink>
      <w:r>
        <w:t xml:space="preserve"> · </w:t>
      </w:r>
      <w:hyperlink r:id="rId51">
        <w:r>
          <w:rPr>
            <w:color w:val="12668A"/>
            <w:sz w:val="19"/>
          </w:rPr>
          <w:t>[R046]</w:t>
        </w:r>
      </w:hyperlink>
      <w:r>
        <w:t xml:space="preserve"> · </w:t>
      </w:r>
      <w:hyperlink r:id="rId46">
        <w:r>
          <w:rPr>
            <w:color w:val="12668A"/>
            <w:sz w:val="19"/>
          </w:rPr>
          <w:t>[R067]</w:t>
        </w:r>
      </w:hyperlink>
      <w:r>
        <w:t xml:space="preserve"> · </w:t>
      </w:r>
      <w:hyperlink r:id="rId45">
        <w:r>
          <w:rPr>
            <w:color w:val="12668A"/>
            <w:sz w:val="19"/>
          </w:rPr>
          <w:t>[R061]</w:t>
        </w:r>
      </w:hyperlink>
      <w:r>
        <w:t xml:space="preserve"> · </w:t>
      </w:r>
      <w:hyperlink r:id="rId33">
        <w:r>
          <w:rPr>
            <w:color w:val="12668A"/>
            <w:sz w:val="19"/>
          </w:rPr>
          <w:t>[R047]</w:t>
        </w:r>
      </w:hyperlink>
      <w:r>
        <w:t xml:space="preserve"> · </w:t>
      </w:r>
      <w:hyperlink r:id="rId35">
        <w:r>
          <w:rPr>
            <w:color w:val="12668A"/>
            <w:sz w:val="19"/>
          </w:rPr>
          <w:t>[R051]</w:t>
        </w:r>
      </w:hyperlink>
      <w:r>
        <w:t xml:space="preserve"> · </w:t>
      </w:r>
      <w:hyperlink r:id="rId36">
        <w:r>
          <w:rPr>
            <w:color w:val="12668A"/>
            <w:sz w:val="19"/>
          </w:rPr>
          <w:t>[R059]</w:t>
        </w:r>
      </w:hyperlink>
      <w:r>
        <w:t xml:space="preserve"> · </w:t>
      </w:r>
      <w:hyperlink r:id="rId34">
        <w:r>
          <w:rPr>
            <w:color w:val="12668A"/>
            <w:sz w:val="19"/>
          </w:rPr>
          <w:t>[R048]</w:t>
        </w:r>
      </w:hyperlink>
      <w:r>
        <w:t xml:space="preserve"> · </w:t>
      </w:r>
      <w:hyperlink r:id="rId37">
        <w:r>
          <w:rPr>
            <w:color w:val="12668A"/>
            <w:sz w:val="19"/>
          </w:rPr>
          <w:t>[R065]</w:t>
        </w:r>
      </w:hyperlink>
      <w:r>
        <w:t xml:space="preserve"> · </w:t>
      </w:r>
      <w:hyperlink r:id="rId53">
        <w:r>
          <w:rPr>
            <w:color w:val="12668A"/>
            <w:sz w:val="19"/>
          </w:rPr>
          <w:t>[R042]</w:t>
        </w:r>
      </w:hyperlink>
    </w:p>
    <w:p>
      <w:r>
        <w:br w:type="page"/>
      </w:r>
    </w:p>
    <w:p>
      <w:pPr>
        <w:pStyle w:val="Caption"/>
      </w:pPr>
      <w:r>
        <w:t>ПРАВА / ДОКАЗАННЫЕ СЛОИ</w:t>
      </w:r>
    </w:p>
    <w:p>
      <w:pPr>
        <w:pStyle w:val="Heading1"/>
      </w:pPr>
      <w:r>
        <w:t>4. Карта прав и практического использования</w:t>
      </w:r>
    </w:p>
    <w:p>
      <w:pPr>
        <w:pStyle w:val="Heading2"/>
      </w:pPr>
      <w:r>
        <w:t>Свободное повторное использование</w:t>
      </w:r>
    </w:p>
    <w:p>
      <w:r>
        <w:t>CC0: A53187 — самый свободный найденный полнотекстовый оригинал Summa. Для его текста и TEI не требуется отдельное разрешение на копирование, изменение и распространение; ToS всё равно следует сохранять библиографическую provenance и обозначать свои исправления. Это разрешение не захватывает связанные сканы EEBO, современную редакцию OPh I или любые файлы из соседних репозиториев.</w:t>
      </w:r>
      <w:r>
        <w:t xml:space="preserve">  </w:t>
      </w:r>
      <w:hyperlink r:id="rId55">
        <w:r>
          <w:rPr>
            <w:color w:val="12668A"/>
            <w:sz w:val="19"/>
          </w:rPr>
          <w:t>[R056]</w:t>
        </w:r>
      </w:hyperlink>
    </w:p>
    <w:p>
      <w:r>
        <w:t>CC BY 4.0: переводы Spade, латинские публикации Brinkley и Wesel, а также литовский фрагмент Буридана допускают повторное использование соответствующего опубликованного слоя с атрибуцией, лицензией и отметкой изменений. Для переводов с английского допустима производная работа по условиям лицензии, но она не обозначена как независимый перевод с латинского оригинала. CC BY карточки UCM отдельно ограничена её проверенным содержанием.</w:t>
      </w:r>
      <w:r>
        <w:t xml:space="preserve">  </w:t>
      </w:r>
      <w:hyperlink r:id="rId56">
        <w:r>
          <w:rPr>
            <w:color w:val="12668A"/>
            <w:sz w:val="19"/>
          </w:rPr>
          <w:t>[R002]</w:t>
        </w:r>
      </w:hyperlink>
      <w:r>
        <w:t xml:space="preserve"> · </w:t>
      </w:r>
      <w:hyperlink r:id="rId57">
        <w:r>
          <w:rPr>
            <w:color w:val="12668A"/>
            <w:sz w:val="19"/>
          </w:rPr>
          <w:t>[R003]</w:t>
        </w:r>
      </w:hyperlink>
      <w:r>
        <w:t xml:space="preserve"> · </w:t>
      </w:r>
      <w:hyperlink r:id="rId30">
        <w:r>
          <w:rPr>
            <w:color w:val="12668A"/>
            <w:sz w:val="19"/>
          </w:rPr>
          <w:t>[R037]</w:t>
        </w:r>
      </w:hyperlink>
      <w:r>
        <w:t xml:space="preserve"> · </w:t>
      </w:r>
      <w:hyperlink r:id="rId31">
        <w:r>
          <w:rPr>
            <w:color w:val="12668A"/>
            <w:sz w:val="19"/>
          </w:rPr>
          <w:t>[R038]</w:t>
        </w:r>
      </w:hyperlink>
      <w:r>
        <w:t xml:space="preserve"> · </w:t>
      </w:r>
      <w:hyperlink r:id="rId74">
        <w:r>
          <w:rPr>
            <w:color w:val="12668A"/>
            <w:sz w:val="19"/>
          </w:rPr>
          <w:t>[R027]</w:t>
        </w:r>
      </w:hyperlink>
      <w:r>
        <w:t xml:space="preserve"> · </w:t>
      </w:r>
      <w:hyperlink r:id="rId11">
        <w:r>
          <w:rPr>
            <w:color w:val="12668A"/>
            <w:sz w:val="19"/>
          </w:rPr>
          <w:t>[R001]</w:t>
        </w:r>
      </w:hyperlink>
    </w:p>
    <w:p>
      <w:r>
        <w:t>Public Domain Mark: e-rara маркирует исторический экземпляр Quodlibeta и предоставляет его OCR. Это заявление о статусе, не новая лицензия. Реестр допускает зеркало, OCR, полнотекстовый индекс и embeddings в пределах этого объекта; ни современный OTh IX, ни другие оцифровки Оккама таким решением не охватываются.</w:t>
      </w:r>
      <w:r>
        <w:t xml:space="preserve">  </w:t>
      </w:r>
      <w:hyperlink r:id="rId40">
        <w:r>
          <w:rPr>
            <w:color w:val="12668A"/>
            <w:sz w:val="19"/>
          </w:rPr>
          <w:t>[R039]</w:t>
        </w:r>
      </w:hyperlink>
    </w:p>
    <w:p>
      <w:pPr>
        <w:pStyle w:val="Heading2"/>
      </w:pPr>
      <w:r>
        <w:t>Некоммерческие и неизменяемые материалы</w:t>
      </w:r>
    </w:p>
    <w:p>
      <w:r>
        <w:t>CC BY-NC 4.0 Сегрейва полезна публичному некоммерческому ToS: можно хранить и распространять разрешённые компоненты, строить некоммерческий индекс и производный перевод с открытой латыни, сохраняя атрибуцию. Отсутствуют требования SA и ND. Однако некоммерческий характер нынешнего проекта не гарантирует, что любое будущее использование, включая сторонний коммерческий сервис, также удовлетворит NC.</w:t>
      </w:r>
      <w:r>
        <w:t xml:space="preserve">  </w:t>
      </w:r>
      <w:hyperlink r:id="rId29">
        <w:r>
          <w:rPr>
            <w:color w:val="12668A"/>
            <w:sz w:val="19"/>
          </w:rPr>
          <w:t>[R016]</w:t>
        </w:r>
      </w:hyperlink>
    </w:p>
    <w:p>
      <w:r>
        <w:t>CC BY-NC-SA 3.0 DE в EOS относится к современному навигационному тому Trzeciok. Для некоммерческих производных требуется ShareAlike; лицензия не переходит на внешние факсимиле. У BSB Clm 23530 указан другой вариант — CC BY-NC-SA 4.0 для изображения, но выдача листов не проверена, поэтому автоматические сильные теги не назначены.</w:t>
      </w:r>
      <w:r>
        <w:t xml:space="preserve">  </w:t>
      </w:r>
      <w:hyperlink r:id="rId54">
        <w:r>
          <w:rPr>
            <w:color w:val="12668A"/>
            <w:sz w:val="19"/>
          </w:rPr>
          <w:t>[R076]</w:t>
        </w:r>
      </w:hyperlink>
      <w:r>
        <w:t xml:space="preserve"> · </w:t>
      </w:r>
      <w:hyperlink r:id="rId44">
        <w:r>
          <w:rPr>
            <w:color w:val="12668A"/>
            <w:sz w:val="19"/>
          </w:rPr>
          <w:t>[R069]</w:t>
        </w:r>
      </w:hyperlink>
    </w:p>
    <w:p>
      <w:r>
        <w:t>CC BY-NC-ND у Salamanca разрешает только тот вариант повторного распространения, который совместим с запретом производных: в пакете это неизменённый лицензированный PDF с атрибуцией и некоммерческой целью, после успешного получения файла. OCR как новая опубликованная транскрипция, публичный индекс, embeddings и собственный перевод не выведены из одной кнопки Download. Техническое преобразование, исследовательское использование и публикация производного слоя требуют раздельной оценки.</w:t>
      </w:r>
      <w:r>
        <w:t xml:space="preserve">  </w:t>
      </w:r>
      <w:hyperlink r:id="rId42">
        <w:r>
          <w:rPr>
            <w:color w:val="12668A"/>
            <w:sz w:val="19"/>
          </w:rPr>
          <w:t>[R057]</w:t>
        </w:r>
      </w:hyperlink>
      <w:r>
        <w:t xml:space="preserve"> · </w:t>
      </w:r>
      <w:hyperlink r:id="rId43">
        <w:r>
          <w:rPr>
            <w:color w:val="12668A"/>
            <w:sz w:val="19"/>
          </w:rPr>
          <w:t>[R058]</w:t>
        </w:r>
      </w:hyperlink>
    </w:p>
    <w:p>
      <w:pPr>
        <w:pStyle w:val="Heading2"/>
      </w:pPr>
      <w:r>
        <w:t>Что остаётся чтением, ссылкой, preview или библиотекой</w:t>
      </w:r>
    </w:p>
    <w:p>
      <w:r>
        <w:t>Открытый авторский PDF без лицензии, каталожный Full view, publisher preview и доступ по подписке — разные ситуации. Защищённые FIP, Artistarium, Yale, Peeters, Springer, Meiner и другие издания сохраняются как полноценные исследовательские маршруты, но не как источники автоматического зеркалирования. Для Strode 2026 найден именно библиотечный путь, а не свободный Controlled Digital Lending для любого зарегистрированного посетителя.</w:t>
      </w:r>
      <w:r>
        <w:t xml:space="preserve">  </w:t>
      </w:r>
      <w:hyperlink r:id="rId25">
        <w:r>
          <w:rPr>
            <w:color w:val="12668A"/>
            <w:sz w:val="19"/>
          </w:rPr>
          <w:t>[R017]</w:t>
        </w:r>
      </w:hyperlink>
      <w:r>
        <w:t xml:space="preserve"> · </w:t>
      </w:r>
      <w:hyperlink r:id="rId12">
        <w:r>
          <w:rPr>
            <w:color w:val="12668A"/>
            <w:sz w:val="19"/>
          </w:rPr>
          <w:t>[R004]</w:t>
        </w:r>
      </w:hyperlink>
      <w:r>
        <w:t xml:space="preserve"> · </w:t>
      </w:r>
      <w:hyperlink r:id="rId14">
        <w:r>
          <w:rPr>
            <w:color w:val="12668A"/>
            <w:sz w:val="19"/>
          </w:rPr>
          <w:t>[R018]</w:t>
        </w:r>
      </w:hyperlink>
      <w:r>
        <w:t xml:space="preserve"> · </w:t>
      </w:r>
      <w:hyperlink r:id="rId21">
        <w:r>
          <w:rPr>
            <w:color w:val="12668A"/>
            <w:sz w:val="19"/>
          </w:rPr>
          <w:t>[R032]</w:t>
        </w:r>
      </w:hyperlink>
      <w:r>
        <w:t xml:space="preserve"> · </w:t>
      </w:r>
      <w:hyperlink r:id="rId77">
        <w:r>
          <w:rPr>
            <w:color w:val="12668A"/>
            <w:sz w:val="19"/>
          </w:rPr>
          <w:t>[R064]</w:t>
        </w:r>
      </w:hyperlink>
      <w:r>
        <w:t xml:space="preserve"> · </w:t>
      </w:r>
      <w:hyperlink r:id="rId38">
        <w:r>
          <w:rPr>
            <w:color w:val="12668A"/>
            <w:sz w:val="19"/>
          </w:rPr>
          <w:t>[R073]</w:t>
        </w:r>
      </w:hyperlink>
    </w:p>
    <w:p>
      <w:r>
        <w:t>В 40 записях есть purchase, в 19 — free_full_read, в 17 — free_download, в 13 — preview_or_snippet, в шести — institutional_access, в одной — library_borrow. Значения пересекаются; часть бесплатной выдачи заявлена каталогом, но отмечена временно недоступной. Эти числа не следует складывать и нельзя читать как число успешно загруженных полных книг.</w:t>
      </w:r>
    </w:p>
    <w:p>
      <w:r>
        <w:br w:type="page"/>
      </w:r>
    </w:p>
    <w:p>
      <w:pPr>
        <w:pStyle w:val="Caption"/>
      </w:pPr>
      <w:r>
        <w:t>ПРАВА / ТЕКСТОЛОГИЧЕСКИЕ И ЦИФРОВЫЕ ГРАНИЦЫ</w:t>
      </w:r>
    </w:p>
    <w:p>
      <w:pPr>
        <w:pStyle w:val="Heading1"/>
      </w:pPr>
      <w:r>
        <w:t>5. Характерные правовые тонкости</w:t>
      </w:r>
    </w:p>
    <w:p>
      <w:pPr>
        <w:pStyle w:val="Heading2"/>
      </w:pPr>
      <w:r>
        <w:t>Древний автор не освобождает современную версию</w:t>
      </w:r>
    </w:p>
    <w:p>
      <w:r>
        <w:t>В этой строке главный риск — не авторские права Оккама XIV века, а права на современную работу: перевод, выбор чтений, реконструкцию, комментарий и аппарат. Поэтому наличие общественного достояния у исходного текста не объявляет свободным весь PDF критического издания. Где применимость конкретного охраняемого слоя сложна, реестр выбирает review_required, а не универсальную юридическую формулу.</w:t>
      </w:r>
    </w:p>
    <w:p>
      <w:r>
        <w:t>Старые переводы также имеют две проверки: срок охраны самого перевода и права/условия конкретной цифровой выдачи. Project Gutenberg заявляет Public Domain в США для Topica Rolfes; это не всемирная гарантия. Internet Archive с институциональным происхождением старой книги даёт полезный законный вход, но наличие файла там само по себе не заменяет права. У отдельной HTML-Isagoge есть явное разрешение транскрибировавшего её лица на материал страницы.</w:t>
      </w:r>
      <w:r>
        <w:t xml:space="preserve">  </w:t>
      </w:r>
      <w:hyperlink r:id="rId78">
        <w:r>
          <w:rPr>
            <w:color w:val="12668A"/>
            <w:sz w:val="19"/>
          </w:rPr>
          <w:t>[R061]</w:t>
        </w:r>
      </w:hyperlink>
      <w:r>
        <w:t xml:space="preserve"> · </w:t>
      </w:r>
      <w:hyperlink r:id="rId48">
        <w:r>
          <w:rPr>
            <w:color w:val="12668A"/>
            <w:sz w:val="19"/>
          </w:rPr>
          <w:t>[R071]</w:t>
        </w:r>
      </w:hyperlink>
      <w:r>
        <w:t xml:space="preserve"> · </w:t>
      </w:r>
      <w:hyperlink r:id="rId46">
        <w:r>
          <w:rPr>
            <w:color w:val="12668A"/>
            <w:sz w:val="19"/>
          </w:rPr>
          <w:t>[R067]</w:t>
        </w:r>
      </w:hyperlink>
    </w:p>
    <w:p>
      <w:pPr>
        <w:pStyle w:val="Heading2"/>
      </w:pPr>
      <w:r>
        <w:t>Одна страница может содержать разные права</w:t>
      </w:r>
    </w:p>
    <w:p>
      <w:r>
        <w:t>UCM: открытая карточка не равна доказанно открытым изображениям всех листов. TCP: открытый текст не равен свободным ProQuest TIFF. EOS: лицензия исследования не равна лицензии внешнего ECHO-факсимиле. В каждом случае rights_scope ограничивает положительные теги. RIGHTS_REVIEW_REQUIRED рядом с положительным тегом не отменяет доказанного разрешения, но блокирует его перенос на непроверенный компонент.</w:t>
      </w:r>
      <w:r>
        <w:t xml:space="preserve">  </w:t>
      </w:r>
      <w:hyperlink r:id="rId11">
        <w:r>
          <w:rPr>
            <w:color w:val="12668A"/>
            <w:sz w:val="19"/>
          </w:rPr>
          <w:t>[R001]</w:t>
        </w:r>
      </w:hyperlink>
      <w:r>
        <w:t xml:space="preserve"> · </w:t>
      </w:r>
      <w:hyperlink r:id="rId55">
        <w:r>
          <w:rPr>
            <w:color w:val="12668A"/>
            <w:sz w:val="19"/>
          </w:rPr>
          <w:t>[R056]</w:t>
        </w:r>
      </w:hyperlink>
      <w:r>
        <w:t xml:space="preserve"> · </w:t>
      </w:r>
      <w:hyperlink r:id="rId54">
        <w:r>
          <w:rPr>
            <w:color w:val="12668A"/>
            <w:sz w:val="19"/>
          </w:rPr>
          <w:t>[R076]</w:t>
        </w:r>
      </w:hyperlink>
    </w:p>
    <w:p>
      <w:pPr>
        <w:pStyle w:val="Heading2"/>
      </w:pPr>
      <w:r>
        <w:t>Coverage важнее рекламного слова «полный»</w:t>
      </w:r>
    </w:p>
    <w:p>
      <w:r>
        <w:t>Полный файл одного трактата — не полный корпус. У Spade часть I Summa представлена выбранными главами; у Brinkley — часть VI суммы; у Wesel — три вопроса; у Paul of Venice — Insolubilia внутри Magna. Современные тома Summulae самостоятельны как издания, но не являются каждый полной Summulae. Собственный перевод возможен только в объёме реально доступного чистого слоя.</w:t>
      </w:r>
      <w:r>
        <w:t xml:space="preserve">  </w:t>
      </w:r>
      <w:hyperlink r:id="rId56">
        <w:r>
          <w:rPr>
            <w:color w:val="12668A"/>
            <w:sz w:val="19"/>
          </w:rPr>
          <w:t>[R002]</w:t>
        </w:r>
      </w:hyperlink>
      <w:r>
        <w:t xml:space="preserve"> · </w:t>
      </w:r>
      <w:hyperlink r:id="rId30">
        <w:r>
          <w:rPr>
            <w:color w:val="12668A"/>
            <w:sz w:val="19"/>
          </w:rPr>
          <w:t>[R037]</w:t>
        </w:r>
      </w:hyperlink>
      <w:r>
        <w:t xml:space="preserve"> · </w:t>
      </w:r>
      <w:hyperlink r:id="rId31">
        <w:r>
          <w:rPr>
            <w:color w:val="12668A"/>
            <w:sz w:val="19"/>
          </w:rPr>
          <w:t>[R038]</w:t>
        </w:r>
      </w:hyperlink>
      <w:r>
        <w:t xml:space="preserve"> · </w:t>
      </w:r>
      <w:hyperlink r:id="rId53">
        <w:r>
          <w:rPr>
            <w:color w:val="12668A"/>
            <w:sz w:val="19"/>
          </w:rPr>
          <w:t>[R042]</w:t>
        </w:r>
      </w:hyperlink>
      <w:r>
        <w:t xml:space="preserve"> · </w:t>
      </w:r>
      <w:hyperlink r:id="rId65">
        <w:r>
          <w:rPr>
            <w:color w:val="12668A"/>
            <w:sz w:val="19"/>
          </w:rPr>
          <w:t>[R019]</w:t>
        </w:r>
      </w:hyperlink>
    </w:p>
    <w:p>
      <w:r>
        <w:t>Пять записей получили OWN_TRANSLATION_POSSIBLE: Summa TCP, Quodlibeta e-rara, Segrave, Brinkley и Wesel. Это пять маршрутов к чистой основе, а не разрешение на пять полных авторских корпусов. Для Brinkley дополнительно требуется повторно получить заявленный PDF. Для CC BY и NC сохраняются соответствующие условия; для OCR Quodlibeta — необходимость исправить машинные ошибки.</w:t>
      </w:r>
      <w:r>
        <w:t xml:space="preserve">  </w:t>
      </w:r>
      <w:hyperlink r:id="rId55">
        <w:r>
          <w:rPr>
            <w:color w:val="12668A"/>
            <w:sz w:val="19"/>
          </w:rPr>
          <w:t>[R056]</w:t>
        </w:r>
      </w:hyperlink>
      <w:r>
        <w:t xml:space="preserve"> · </w:t>
      </w:r>
      <w:hyperlink r:id="rId40">
        <w:r>
          <w:rPr>
            <w:color w:val="12668A"/>
            <w:sz w:val="19"/>
          </w:rPr>
          <w:t>[R039]</w:t>
        </w:r>
      </w:hyperlink>
      <w:r>
        <w:t xml:space="preserve"> · </w:t>
      </w:r>
      <w:hyperlink r:id="rId29">
        <w:r>
          <w:rPr>
            <w:color w:val="12668A"/>
            <w:sz w:val="19"/>
          </w:rPr>
          <w:t>[R016]</w:t>
        </w:r>
      </w:hyperlink>
      <w:r>
        <w:t xml:space="preserve"> · </w:t>
      </w:r>
      <w:hyperlink r:id="rId30">
        <w:r>
          <w:rPr>
            <w:color w:val="12668A"/>
            <w:sz w:val="19"/>
          </w:rPr>
          <w:t>[R037]</w:t>
        </w:r>
      </w:hyperlink>
      <w:r>
        <w:t xml:space="preserve"> · </w:t>
      </w:r>
      <w:hyperlink r:id="rId31">
        <w:r>
          <w:rPr>
            <w:color w:val="12668A"/>
            <w:sz w:val="19"/>
          </w:rPr>
          <w:t>[R038]</w:t>
        </w:r>
      </w:hyperlink>
    </w:p>
    <w:p>
      <w:pPr>
        <w:pStyle w:val="Heading2"/>
      </w:pPr>
      <w:r>
        <w:t>Метаданные и атрибуции не следует «чинить» догадкой</w:t>
      </w:r>
    </w:p>
    <w:p>
      <w:r>
        <w:t>TCP сохраняет конфликт 1665/1675 и eng/lat; BSB Clm 23530 — расхождение между общим объёмом и указанными фолиациями; IA Organon — Volume=2 против титула OCR VOL.I. Эти противоречия не устранены удобным выбором одной строки. Открытый объект остаётся полезным, но его качество и идентичность версии требуют отдельной сверки.</w:t>
      </w:r>
      <w:r>
        <w:t xml:space="preserve">  </w:t>
      </w:r>
      <w:hyperlink r:id="rId39">
        <w:r>
          <w:rPr>
            <w:color w:val="12668A"/>
            <w:sz w:val="19"/>
          </w:rPr>
          <w:t>[R056]</w:t>
        </w:r>
      </w:hyperlink>
      <w:r>
        <w:t xml:space="preserve"> · </w:t>
      </w:r>
      <w:hyperlink r:id="rId44">
        <w:r>
          <w:rPr>
            <w:color w:val="12668A"/>
            <w:sz w:val="19"/>
          </w:rPr>
          <w:t>[R069]</w:t>
        </w:r>
      </w:hyperlink>
      <w:r>
        <w:t xml:space="preserve"> · </w:t>
      </w:r>
      <w:hyperlink r:id="rId48">
        <w:r>
          <w:rPr>
            <w:color w:val="12668A"/>
            <w:sz w:val="19"/>
          </w:rPr>
          <w:t>[R071]</w:t>
        </w:r>
      </w:hyperlink>
    </w:p>
    <w:p>
      <w:r>
        <w:t>Roger Swyneshed, автор Insolubilia, и Richard Swineshead, связанный с Calculationes, не объединены. Издание спорного Casus obligationis не доказывает подлинность всего псевдо-хейтсбериевского корпуса. Сходным образом ранняя печать с именем Heytesbury не делает его автором соседних Consequentiae и Obligationes.</w:t>
      </w:r>
      <w:r>
        <w:t xml:space="preserve">  </w:t>
      </w:r>
      <w:hyperlink r:id="rId25">
        <w:r>
          <w:rPr>
            <w:color w:val="12668A"/>
            <w:sz w:val="19"/>
          </w:rPr>
          <w:t>[R017]</w:t>
        </w:r>
      </w:hyperlink>
      <w:r>
        <w:t xml:space="preserve"> · </w:t>
      </w:r>
      <w:hyperlink r:id="rId32">
        <w:r>
          <w:rPr>
            <w:color w:val="12668A"/>
            <w:sz w:val="19"/>
          </w:rPr>
          <w:t>[R040]</w:t>
        </w:r>
      </w:hyperlink>
      <w:r>
        <w:t xml:space="preserve"> · </w:t>
      </w:r>
      <w:hyperlink r:id="rId43">
        <w:r>
          <w:rPr>
            <w:color w:val="12668A"/>
            <w:sz w:val="19"/>
          </w:rPr>
          <w:t>[R058]</w:t>
        </w:r>
      </w:hyperlink>
    </w:p>
    <w:p>
      <w:r>
        <w:t>Юрисдикция будущего хостинга и конкретные режимы публичного использования ToS не определены. Поэтому сроки охраны и возможные исключения для научного анализа не превращены здесь в универсальное разрешение на любой OCR, публичный поиск или вычислительную обработку. Для сильных действий использованы прямые лицензии; в остальных случаях сохранён путь доступа без обещания переиздания.</w:t>
      </w:r>
    </w:p>
    <w:p>
      <w:r>
        <w:br w:type="page"/>
      </w:r>
    </w:p>
    <w:p>
      <w:pPr>
        <w:pStyle w:val="Caption"/>
      </w:pPr>
      <w:r>
        <w:t>ПРОБЕЛЫ / ЧТО ИМЕННО ОСТАЛОСЬ НЕУСТАНОВЛЕННЫМ</w:t>
      </w:r>
    </w:p>
    <w:p>
      <w:pPr>
        <w:pStyle w:val="Heading1"/>
      </w:pPr>
      <w:r>
        <w:t>6. Пробелы и дальнейший поиск</w:t>
      </w:r>
    </w:p>
    <w:p>
      <w:pPr>
        <w:pStyle w:val="Heading2"/>
      </w:pPr>
      <w:r>
        <w:t>Незавершённость ядра</w:t>
      </w:r>
    </w:p>
    <w:p>
      <w:r>
        <w:t>Основное ядро получило хотя бы один маршрут либо конкретный пробел. Но это ещё не полный цифровой корпус: у Buridan остаются отдельное латинское De fallaciis, выдача Hubien Consequentiae, транскрипции Analytics и ряд аристотелевских комментариев. У Heytesbury нет подтверждённого полного открытого критического Regulae; у Kilvington найден преимущественно библиографический, а не полнотекстовый вход. Полные русские переводы этой группы не установлены.</w:t>
      </w:r>
    </w:p>
    <w:p>
      <w:r>
        <w:t>Для Roger Swyneshed Obligationes нужен другой поиск, чем для уже найденного Insolubilia. Для Dumbleton надо связать точные рукописи и редакционные состояния с читаемыми объектами. Орем представлен защищённым Clagett 1968 в режиме каталога/ограниченного поиска: это не полноценный доступ ко всему латинскому тексту.</w:t>
      </w:r>
    </w:p>
    <w:p>
      <w:pPr>
        <w:pStyle w:val="Heading2"/>
      </w:pPr>
      <w:r>
        <w:t>Неоткрытые ссылки и неясные права</w:t>
      </w:r>
    </w:p>
    <w:p>
      <w:r>
        <w:t>Основные технические ограничения: viewer HathiTrust для BH MSS 104; выдача листов UCM/BSB; PDF GREDOS; часть Brill/De Gruyter Brill; OUP и LUP; Toronto resources. Использованы альтернативные институциональные подтверждения идентичности, но они не выдаются за просмотр полного текста. Прямая ссылка в direct_download_url может быть установлена по официальной странице и при этом отмечена как не сработавшая.</w:t>
      </w:r>
    </w:p>
    <w:p>
      <w:r>
        <w:t>Наибольшая правовая неопределённость — у авторских файлов без открытой лицензии, непроверенных цифровых изображений и современных критических транскрипций третьих лиц. Нельзя автоматически применять лицензию портала к таким компонентам. Для зарегистрированных NC/ND-объектов сама лицензия известна, а неполнота относится к способу получения и к правам на производные публичные слои.</w:t>
      </w:r>
    </w:p>
    <w:p>
      <w:pPr>
        <w:pStyle w:val="Heading2"/>
      </w:pPr>
      <w:r>
        <w:t>Хронологический ореол, который нельзя потерять</w:t>
      </w:r>
    </w:p>
    <w:p>
      <w:r>
        <w:t>В gaps сохранены прямые дальнейшие линии: Buridan Lectura Erfordiensis и Abbreviatio Caminensis; Paul of Venice вне раздела Insolubilia; Peter of Mantua; Paul of Pergola; комментарии Cajetan of Thiene и Venator; псевдо-хейтсбериевские Probationes. Для Richard Swineshead нужны конкретные ранние печати Calculationes; для Alvarus Thomas — проверенные экземпляры Liber de triplici motu. Это не удалённая тематическая периферия: их связь является корпусной или текстовой.</w:t>
      </w:r>
    </w:p>
    <w:p>
      <w:r>
        <w:t>У входящего слоя остаются отдельные Syncategoremata Шервуда и Петра Испанского, а также оригинальные латинские/греческие версии комментируемых книг. Старые и современные переводы сохранили полезные маршруты чтения, но не закрыли поиск независимой оригинальной основы.</w:t>
      </w:r>
    </w:p>
    <w:p>
      <w:pPr>
        <w:pStyle w:val="Heading2"/>
      </w:pPr>
      <w:r>
        <w:t>Кандидаты, не поднятые до установленных объектов</w:t>
      </w:r>
    </w:p>
    <w:p>
      <w:r>
        <w:t>Три записи имеют unverified_candidate: новая публикация Hanke 2025 о Holland, Calculator Suiset Силисео и предполагаемое латинско-испанское издание Albert of Saxony в UNAM. Для первого недоступная страница не дала достаточного подтверждения состава/лицензии; для двух остальных слабые указатели не были заменены item-level подтверждением. Они не включены как доказанные издания в registry.</w:t>
      </w:r>
    </w:p>
    <w:p>
      <w:r>
        <w:t>Alvarus Thomas, напротив, прошёл дополнительную проверку через EOS: содержательная связь стала подтверждённой. Однако это подняло в основной реестр только навигационный научный том, а не все факсимиле по его внешним ссылкам. Wikisource также рассмотрен отдельно от Wikipedia: проблема найденной Summa — неопределённая редакционная основа и полнота, а не принадлежность к проектам Wikimedia.</w:t>
      </w:r>
      <w:r>
        <w:t xml:space="preserve">  </w:t>
      </w:r>
      <w:hyperlink r:id="rId54">
        <w:r>
          <w:rPr>
            <w:color w:val="12668A"/>
            <w:sz w:val="19"/>
          </w:rPr>
          <w:t>[R076]</w:t>
        </w:r>
      </w:hyperlink>
    </w:p>
    <w:p>
      <w:r>
        <w:t>Насыщение поиска не достигнуто для всех рукописей и поздних комментариев. Завершено ядро карты доступа; дальнейшие варианты ограничены объёмом текущей проверки и технической выдачей сайтов. «Не найден пригодный цифровой вход» нигде не означает «произведение не существует».</w:t>
      </w:r>
    </w:p>
    <w:p>
      <w:r>
        <w:br w:type="page"/>
      </w:r>
    </w:p>
    <w:p>
      <w:pPr>
        <w:pStyle w:val="Caption"/>
      </w:pPr>
      <w:r>
        <w:t>ПРОБЕЛЫ / ВОСЕМЬ АДРЕСНЫХ НАПРАВЛЕНИЙ</w:t>
      </w:r>
    </w:p>
    <w:p>
      <w:pPr>
        <w:pStyle w:val="Heading2"/>
      </w:pPr>
      <w:r>
        <w:t>Приоритетный дальнейший поиск</w:t>
      </w:r>
    </w:p>
    <w:p>
      <w:r>
        <w:t>1. Summa: сопоставить A53187 с титулом Cambridge University Library и хотя бы одним ранним факсимиле; проверить дату 1675, последовательность частей и gap-разметку. Это даст не новый портал, а более надёжную основу будущего перевода и индекса.</w:t>
      </w:r>
      <w:r>
        <w:t xml:space="preserve">  </w:t>
      </w:r>
      <w:hyperlink r:id="rId39">
        <w:r>
          <w:rPr>
            <w:color w:val="12668A"/>
            <w:sz w:val="19"/>
          </w:rPr>
          <w:t>[R056]</w:t>
        </w:r>
      </w:hyperlink>
    </w:p>
    <w:p>
      <w:r>
        <w:t>2. Буридан: закрыть De fallaciis, Latin Consequentiae Hubien и оба Analytics. Искать по издателю, редактору, incipit и точному каталожному ID; фиксировать авторство цифровой транскрипции и права на неё до получения сильных тегов.</w:t>
      </w:r>
      <w:r>
        <w:t xml:space="preserve">  </w:t>
      </w:r>
      <w:hyperlink r:id="rId73">
        <w:r>
          <w:rPr>
            <w:color w:val="12668A"/>
            <w:sz w:val="19"/>
          </w:rPr>
          <w:t>[R075]</w:t>
        </w:r>
      </w:hyperlink>
    </w:p>
    <w:p>
      <w:r>
        <w:t>3. Heytesbury–Strode: получить состав и листы печати 1491, разделить авторство внутренних трактатов, затем сопоставить с Regulae I–VI и Strode 2026. Новый том уже имеет библиотечный маршрут; открытый выпуск проверять по факту, а не по обещанию Path to Open.</w:t>
      </w:r>
      <w:r>
        <w:t xml:space="preserve">  </w:t>
      </w:r>
      <w:hyperlink r:id="rId43">
        <w:r>
          <w:rPr>
            <w:color w:val="12668A"/>
            <w:sz w:val="19"/>
          </w:rPr>
          <w:t>[R058]</w:t>
        </w:r>
      </w:hyperlink>
      <w:r>
        <w:t xml:space="preserve"> · </w:t>
      </w:r>
      <w:hyperlink r:id="rId38">
        <w:r>
          <w:rPr>
            <w:color w:val="12668A"/>
            <w:sz w:val="19"/>
          </w:rPr>
          <w:t>[R073]</w:t>
        </w:r>
      </w:hyperlink>
    </w:p>
    <w:p>
      <w:r>
        <w:t>4. Парадоксальная линия: проверить Roger Swyneshed Obligationes, Robert Fland/Elandus, Peter of Mantua и остальные разделы Magna. Сравнить с уже открытыми Segrave, Brinkley и Wesel; не объединять разные решения и авторов в один «трактат о лжеце».</w:t>
      </w:r>
      <w:r>
        <w:t xml:space="preserve">  </w:t>
      </w:r>
      <w:hyperlink r:id="rId29">
        <w:r>
          <w:rPr>
            <w:color w:val="12668A"/>
            <w:sz w:val="19"/>
          </w:rPr>
          <w:t>[R016]</w:t>
        </w:r>
      </w:hyperlink>
      <w:r>
        <w:t xml:space="preserve"> · </w:t>
      </w:r>
      <w:hyperlink r:id="rId30">
        <w:r>
          <w:rPr>
            <w:color w:val="12668A"/>
            <w:sz w:val="19"/>
          </w:rPr>
          <w:t>[R037]</w:t>
        </w:r>
      </w:hyperlink>
      <w:r>
        <w:t xml:space="preserve"> · </w:t>
      </w:r>
      <w:hyperlink r:id="rId31">
        <w:r>
          <w:rPr>
            <w:color w:val="12668A"/>
            <w:sz w:val="19"/>
          </w:rPr>
          <w:t>[R038]</w:t>
        </w:r>
      </w:hyperlink>
      <w:r>
        <w:t xml:space="preserve"> · </w:t>
      </w:r>
      <w:hyperlink r:id="rId79">
        <w:r>
          <w:rPr>
            <w:color w:val="12668A"/>
            <w:sz w:val="19"/>
          </w:rPr>
          <w:t>[R072]</w:t>
        </w:r>
      </w:hyperlink>
    </w:p>
    <w:p>
      <w:r>
        <w:t>5. Оригиналы предшественников: найти конкретные латинские Summulae/Syncategoremata Петра, Sherwood и Lambert, а также Aristoteles Latinus, Boethius и Porphyry. Цель — не очередной перевод-посредник, а проверенная оригинальная основа с определёнными правами.</w:t>
      </w:r>
      <w:r>
        <w:t xml:space="preserve">  </w:t>
      </w:r>
      <w:hyperlink r:id="rId49">
        <w:r>
          <w:rPr>
            <w:color w:val="12668A"/>
            <w:sz w:val="19"/>
          </w:rPr>
          <w:t>[R044]</w:t>
        </w:r>
      </w:hyperlink>
      <w:r>
        <w:t xml:space="preserve"> · </w:t>
      </w:r>
      <w:hyperlink r:id="rId50">
        <w:r>
          <w:rPr>
            <w:color w:val="12668A"/>
            <w:sz w:val="19"/>
          </w:rPr>
          <w:t>[R045]</w:t>
        </w:r>
      </w:hyperlink>
      <w:r>
        <w:t xml:space="preserve"> · </w:t>
      </w:r>
      <w:hyperlink r:id="rId51">
        <w:r>
          <w:rPr>
            <w:color w:val="12668A"/>
            <w:sz w:val="19"/>
          </w:rPr>
          <w:t>[R046]</w:t>
        </w:r>
      </w:hyperlink>
      <w:r>
        <w:t xml:space="preserve"> · </w:t>
      </w:r>
      <w:hyperlink r:id="rId73">
        <w:r>
          <w:rPr>
            <w:color w:val="12668A"/>
            <w:sz w:val="19"/>
          </w:rPr>
          <w:t>[R075]</w:t>
        </w:r>
      </w:hyperlink>
    </w:p>
    <w:p>
      <w:r>
        <w:t>6. Материальная передача: повторно проверить UCM BH MSS 104, Clm 23530, Vat.lat.6750 и Salamanca. Сначала item-level изображение и применимая лицензия, затем IIIF/полный PDF, только после этого решение о зеркале, OCR и публичном поиске.</w:t>
      </w:r>
      <w:r>
        <w:t xml:space="preserve">  </w:t>
      </w:r>
      <w:hyperlink r:id="rId11">
        <w:r>
          <w:rPr>
            <w:color w:val="12668A"/>
            <w:sz w:val="19"/>
          </w:rPr>
          <w:t>[R001]</w:t>
        </w:r>
      </w:hyperlink>
      <w:r>
        <w:t xml:space="preserve"> · </w:t>
      </w:r>
      <w:hyperlink r:id="rId44">
        <w:r>
          <w:rPr>
            <w:color w:val="12668A"/>
            <w:sz w:val="19"/>
          </w:rPr>
          <w:t>[R069]</w:t>
        </w:r>
      </w:hyperlink>
      <w:r>
        <w:t xml:space="preserve"> · </w:t>
      </w:r>
      <w:hyperlink r:id="rId80">
        <w:r>
          <w:rPr>
            <w:color w:val="12668A"/>
            <w:sz w:val="19"/>
          </w:rPr>
          <w:t>[R070]</w:t>
        </w:r>
      </w:hyperlink>
      <w:r>
        <w:t xml:space="preserve"> · </w:t>
      </w:r>
      <w:hyperlink r:id="rId42">
        <w:r>
          <w:rPr>
            <w:color w:val="12668A"/>
            <w:sz w:val="19"/>
          </w:rPr>
          <w:t>[R057]</w:t>
        </w:r>
      </w:hyperlink>
    </w:p>
    <w:p>
      <w:r>
        <w:t>7. Merton → ранняя печать → поздняя рецепция: найти BSB Calculationes Richard Swineshead, экземпляры Alvarus Thomas и комментарии Cajetan/Venator/Pergola. EOS уже даёт содержательный и экземплярный указатель; это позволяет не разрастаться в общую историю науки.</w:t>
      </w:r>
      <w:r>
        <w:t xml:space="preserve">  </w:t>
      </w:r>
      <w:hyperlink r:id="rId54">
        <w:r>
          <w:rPr>
            <w:color w:val="12668A"/>
            <w:sz w:val="19"/>
          </w:rPr>
          <w:t>[R076]</w:t>
        </w:r>
      </w:hyperlink>
    </w:p>
    <w:p>
      <w:r>
        <w:t>8. Переводы для чтения: проверить российские и испаноязычные институциональные каталоги по точным названиям и переводчикам, прежде всего Buridan, Bradwardine, Heytesbury и Albert of Saxony. Параллельно сохранять защищённые научные издания и реальные библиотечные способы доступа, а не заменять их неподтверждёнными файлами.</w:t>
      </w:r>
      <w:r>
        <w:t xml:space="preserve">  </w:t>
      </w:r>
      <w:hyperlink r:id="rId64">
        <w:r>
          <w:rPr>
            <w:color w:val="12668A"/>
            <w:sz w:val="19"/>
          </w:rPr>
          <w:t>[R043]</w:t>
        </w:r>
      </w:hyperlink>
      <w:r>
        <w:t xml:space="preserve"> · </w:t>
      </w:r>
      <w:hyperlink r:id="rId37">
        <w:r>
          <w:rPr>
            <w:color w:val="12668A"/>
            <w:sz w:val="19"/>
          </w:rPr>
          <w:t>[R065]</w:t>
        </w:r>
      </w:hyperlink>
      <w:r>
        <w:t xml:space="preserve"> · </w:t>
      </w:r>
      <w:hyperlink r:id="rId38">
        <w:r>
          <w:rPr>
            <w:color w:val="12668A"/>
            <w:sz w:val="19"/>
          </w:rPr>
          <w:t>[R073]</w:t>
        </w:r>
      </w:hyperlink>
    </w:p>
    <w:p>
      <w:pPr>
        <w:pStyle w:val="Heading2"/>
      </w:pPr>
      <w:r>
        <w:t>Что не требуется повторять</w:t>
      </w:r>
    </w:p>
    <w:p>
      <w:r>
        <w:t>Не нужен новый общий поиск «средневековая философия» или сотни дополнительных ссылок на уже зарегистрированные порталы. Следующий прирост покрытия должен давать конкретный текст, другую редакцию/перевод, новый свидетель, действительно иной способ доступа либо прояснение прав.</w:t>
      </w:r>
    </w:p>
    <w:p>
      <w:r>
        <w:t>Не требуется заранее строить глобальные ID, граф отношений, схему данных или загрузочный конвейер. В пакет передаются локальные record_id, источники, полнота, четыре слоя прав и адресные вопросы; дедупликация между мастер-строками остаётся последующим этапом.</w:t>
      </w:r>
    </w:p>
    <w:p>
      <w:r>
        <w:br w:type="page"/>
      </w:r>
    </w:p>
    <w:p>
      <w:pPr>
        <w:pStyle w:val="Caption"/>
      </w:pPr>
      <w:r>
        <w:t>ИТОГ / ПЕРЕДАЧА ИССЛЕДОВАТЕЛЬСКОГО ПАКЕТА</w:t>
      </w:r>
    </w:p>
    <w:p>
      <w:pPr>
        <w:pStyle w:val="Heading1"/>
      </w:pPr>
      <w:r>
        <w:t>7. Итоговая оценка</w:t>
      </w:r>
    </w:p>
    <w:p>
      <w:r>
        <w:t>T2-26 хорошо покрыт как карта научных входов и неравномерно — как уже готовый свободный цифровой корпус. Все центральные названия исходного DR получили запись доступа либо адресный пробел. Наиболее плотны ветви Оккама, Summulae Буридана и парадоксальной логики; слабее покрыты целые Regulae, латинские Analytics, часть мертонских авторов, полный натурфилософский пограничный слой и поздние комментарии.</w:t>
      </w:r>
    </w:p>
    <w:p>
      <w:r>
        <w:t>Оригиналы сохранены и доступны принципиально, но не всегда бесплатно и не всегда через работающий viewer. Существенное практическое исключение — латинский TEI Summa под CC0. Дополняют его историческое Quodlibeta с PDM, латинский Segrave под CC BY-NC и ограниченные латинские публикации Brinkley/Wesel под CC BY. Этот слой даёт реальные исходные материалы, а не только библиографические обещания.</w:t>
      </w:r>
      <w:r>
        <w:t xml:space="preserve">  </w:t>
      </w:r>
      <w:hyperlink r:id="rId39">
        <w:r>
          <w:rPr>
            <w:color w:val="12668A"/>
            <w:sz w:val="19"/>
          </w:rPr>
          <w:t>[R056]</w:t>
        </w:r>
      </w:hyperlink>
      <w:r>
        <w:t xml:space="preserve"> · </w:t>
      </w:r>
      <w:hyperlink r:id="rId40">
        <w:r>
          <w:rPr>
            <w:color w:val="12668A"/>
            <w:sz w:val="19"/>
          </w:rPr>
          <w:t>[R039]</w:t>
        </w:r>
      </w:hyperlink>
      <w:r>
        <w:t xml:space="preserve"> · </w:t>
      </w:r>
      <w:hyperlink r:id="rId29">
        <w:r>
          <w:rPr>
            <w:color w:val="12668A"/>
            <w:sz w:val="19"/>
          </w:rPr>
          <w:t>[R016]</w:t>
        </w:r>
      </w:hyperlink>
      <w:r>
        <w:t xml:space="preserve"> · </w:t>
      </w:r>
      <w:hyperlink r:id="rId30">
        <w:r>
          <w:rPr>
            <w:color w:val="12668A"/>
            <w:sz w:val="19"/>
          </w:rPr>
          <w:t>[R037]</w:t>
        </w:r>
      </w:hyperlink>
      <w:r>
        <w:t xml:space="preserve"> · </w:t>
      </w:r>
      <w:hyperlink r:id="rId31">
        <w:r>
          <w:rPr>
            <w:color w:val="12668A"/>
            <w:sz w:val="19"/>
          </w:rPr>
          <w:t>[R038]</w:t>
        </w:r>
      </w:hyperlink>
    </w:p>
    <w:p>
      <w:r>
        <w:t>Переводы представлены английским, русским, французским, немецким и литовским путями; полнота разная. Полный современный английский Buridan и значительная часть научных переводов защищены. Лучший бесплатный переводной вход часто фрагментарен; полноценной старой публичнодоменной замены современным переводам центральных XIV-вековых текстов не найдено. Старые Owen/Rolfes относятся прежде всего к входящему античному слою.</w:t>
      </w:r>
      <w:r>
        <w:t xml:space="preserve">  </w:t>
      </w:r>
      <w:hyperlink r:id="rId14">
        <w:r>
          <w:rPr>
            <w:color w:val="12668A"/>
            <w:sz w:val="19"/>
          </w:rPr>
          <w:t>[R018]</w:t>
        </w:r>
      </w:hyperlink>
      <w:r>
        <w:t xml:space="preserve"> · </w:t>
      </w:r>
      <w:hyperlink r:id="rId56">
        <w:r>
          <w:rPr>
            <w:color w:val="12668A"/>
            <w:sz w:val="19"/>
          </w:rPr>
          <w:t>[R002]</w:t>
        </w:r>
      </w:hyperlink>
      <w:r>
        <w:t xml:space="preserve"> · </w:t>
      </w:r>
      <w:hyperlink r:id="rId57">
        <w:r>
          <w:rPr>
            <w:color w:val="12668A"/>
            <w:sz w:val="19"/>
          </w:rPr>
          <w:t>[R003]</w:t>
        </w:r>
      </w:hyperlink>
      <w:r>
        <w:t xml:space="preserve"> · </w:t>
      </w:r>
      <w:hyperlink r:id="rId64">
        <w:r>
          <w:rPr>
            <w:color w:val="12668A"/>
            <w:sz w:val="19"/>
          </w:rPr>
          <w:t>[R043]</w:t>
        </w:r>
      </w:hyperlink>
      <w:r>
        <w:t xml:space="preserve"> · </w:t>
      </w:r>
      <w:hyperlink r:id="rId24">
        <w:r>
          <w:rPr>
            <w:color w:val="12668A"/>
            <w:sz w:val="19"/>
          </w:rPr>
          <w:t>[R041]</w:t>
        </w:r>
      </w:hyperlink>
      <w:r>
        <w:t xml:space="preserve"> · </w:t>
      </w:r>
      <w:hyperlink r:id="rId37">
        <w:r>
          <w:rPr>
            <w:color w:val="12668A"/>
            <w:sz w:val="19"/>
          </w:rPr>
          <w:t>[R065]</w:t>
        </w:r>
      </w:hyperlink>
      <w:r>
        <w:t xml:space="preserve"> · </w:t>
      </w:r>
      <w:hyperlink r:id="rId81">
        <w:r>
          <w:rPr>
            <w:color w:val="12668A"/>
            <w:sz w:val="19"/>
          </w:rPr>
          <w:t>[R027]</w:t>
        </w:r>
      </w:hyperlink>
      <w:r>
        <w:t xml:space="preserve"> · </w:t>
      </w:r>
      <w:hyperlink r:id="rId46">
        <w:r>
          <w:rPr>
            <w:color w:val="12668A"/>
            <w:sz w:val="19"/>
          </w:rPr>
          <w:t>[R067]</w:t>
        </w:r>
      </w:hyperlink>
      <w:r>
        <w:t xml:space="preserve"> · </w:t>
      </w:r>
      <w:hyperlink r:id="rId45">
        <w:r>
          <w:rPr>
            <w:color w:val="12668A"/>
            <w:sz w:val="19"/>
          </w:rPr>
          <w:t>[R061]</w:t>
        </w:r>
      </w:hyperlink>
    </w:p>
    <w:p>
      <w:r>
        <w:t>Главные ограничения сосредоточены не в древности произведений, а в правах на современные версии, в смешанных цифровых компонентах и в качестве выдачи. Поэтому пакет пригоден для передачи Codex как исследовательский реестр с доказательствами и очередью вопросов, но не как безусловное разрешение массово скачивать и зеркалировать всё перечисленное.</w:t>
      </w:r>
    </w:p>
    <w:p>
      <w:pPr>
        <w:pStyle w:val="Heading2"/>
      </w:pPr>
      <w:r>
        <w:t>Что передаётся</w:t>
      </w:r>
    </w:p>
    <w:tbl>
      <w:tblPr>
        <w:tblW w:type="auto" w:w="0"/>
        <w:tblLayout w:type="fixed"/>
        <w:tblLook w:firstColumn="1" w:firstRow="1" w:lastColumn="0" w:lastRow="0" w:noHBand="0" w:noVBand="1" w:val="04A0"/>
      </w:tblPr>
      <w:tblGrid>
        <w:gridCol w:w="3912"/>
        <w:gridCol w:w="5726"/>
      </w:tblGrid>
      <w:tr>
        <w:trPr>
          <w:tblHeader/>
          <w:cantSplit/>
        </w:trPr>
        <w:tc>
          <w:tcPr>
            <w:tcW w:type="dxa" w:w="3912"/>
            <w:tcMar>
              <w:top w:w="65" w:type="dxa"/>
              <w:left w:w="90" w:type="dxa"/>
              <w:bottom w:w="65" w:type="dxa"/>
              <w:right w:w="90" w:type="dxa"/>
            </w:tcMar>
            <w:shd w:fill="18394E"/>
          </w:tcPr>
          <w:p>
            <w:pPr>
              <w:spacing w:after="40" w:line="250" w:lineRule="auto"/>
            </w:pPr>
            <w:r>
              <w:rPr>
                <w:rFonts w:ascii="Arial" w:hAnsi="Arial"/>
                <w:b/>
                <w:color w:val="FFFFFF"/>
                <w:sz w:val="18"/>
              </w:rPr>
              <w:t>Файл</w:t>
            </w:r>
          </w:p>
        </w:tc>
        <w:tc>
          <w:tcPr>
            <w:tcW w:type="dxa" w:w="5726"/>
            <w:tcMar>
              <w:top w:w="65" w:type="dxa"/>
              <w:left w:w="90" w:type="dxa"/>
              <w:bottom w:w="65" w:type="dxa"/>
              <w:right w:w="90" w:type="dxa"/>
            </w:tcMar>
            <w:shd w:fill="18394E"/>
          </w:tcPr>
          <w:p>
            <w:pPr>
              <w:spacing w:after="40" w:line="250" w:lineRule="auto"/>
            </w:pPr>
            <w:r>
              <w:rPr>
                <w:rFonts w:ascii="Arial" w:hAnsi="Arial"/>
                <w:b/>
                <w:color w:val="FFFFFF"/>
                <w:sz w:val="18"/>
              </w:rPr>
              <w:t>Содержание и границы</w:t>
            </w:r>
          </w:p>
        </w:tc>
      </w:tr>
      <w:tr>
        <w:trPr>
          <w:cantSplit/>
        </w:trPr>
        <w:tc>
          <w:tcPr>
            <w:tcW w:type="dxa" w:w="3912"/>
            <w:tcMar>
              <w:top w:w="65" w:type="dxa"/>
              <w:left w:w="90" w:type="dxa"/>
              <w:bottom w:w="65" w:type="dxa"/>
              <w:right w:w="90" w:type="dxa"/>
            </w:tcMar>
            <w:shd w:fill="F1F5F8"/>
          </w:tcPr>
          <w:p>
            <w:pPr>
              <w:spacing w:after="40" w:line="250" w:lineRule="auto"/>
            </w:pPr>
            <w:r>
              <w:rPr>
                <w:rFonts w:ascii="Arial" w:hAnsi="Arial"/>
                <w:sz w:val="18"/>
              </w:rPr>
              <w:t>ToS_Corpus_Rights_T2-26_registry.xlsx</w:t>
            </w:r>
          </w:p>
        </w:tc>
        <w:tc>
          <w:tcPr>
            <w:tcW w:type="dxa" w:w="5726"/>
            <w:tcMar>
              <w:top w:w="65" w:type="dxa"/>
              <w:left w:w="90" w:type="dxa"/>
              <w:bottom w:w="65" w:type="dxa"/>
              <w:right w:w="90" w:type="dxa"/>
            </w:tcMar>
            <w:shd w:fill="F1F5F8"/>
          </w:tcPr>
          <w:p>
            <w:pPr>
              <w:spacing w:after="40" w:line="250" w:lineRule="auto"/>
            </w:pPr>
            <w:r>
              <w:rPr>
                <w:rFonts w:ascii="Arial" w:hAnsi="Arial"/>
                <w:sz w:val="18"/>
              </w:rPr>
              <w:t>registry: 76 записей, 32 обязательных поля. gaps: 34 адресных вопроса. Первый столбец record_id; технические индексы отсутствуют.</w:t>
            </w:r>
          </w:p>
        </w:tc>
      </w:tr>
      <w:tr>
        <w:trPr>
          <w:cantSplit/>
        </w:trPr>
        <w:tc>
          <w:tcPr>
            <w:tcW w:type="dxa" w:w="3912"/>
            <w:tcMar>
              <w:top w:w="65" w:type="dxa"/>
              <w:left w:w="90" w:type="dxa"/>
              <w:bottom w:w="65" w:type="dxa"/>
              <w:right w:w="90" w:type="dxa"/>
            </w:tcMar>
            <w:shd w:fill="FFFFFF"/>
          </w:tcPr>
          <w:p>
            <w:pPr>
              <w:spacing w:after="40" w:line="250" w:lineRule="auto"/>
            </w:pPr>
            <w:r>
              <w:rPr>
                <w:rFonts w:ascii="Arial" w:hAnsi="Arial"/>
                <w:sz w:val="18"/>
              </w:rPr>
              <w:t>ToS_Corpus_Rights_T2-26_report.docx</w:t>
            </w:r>
          </w:p>
        </w:tc>
        <w:tc>
          <w:tcPr>
            <w:tcW w:type="dxa" w:w="5726"/>
            <w:tcMar>
              <w:top w:w="65" w:type="dxa"/>
              <w:left w:w="90" w:type="dxa"/>
              <w:bottom w:w="65" w:type="dxa"/>
              <w:right w:w="90" w:type="dxa"/>
            </w:tcMar>
            <w:shd w:fill="FFFFFF"/>
          </w:tcPr>
          <w:p>
            <w:pPr>
              <w:spacing w:after="40" w:line="250" w:lineRule="auto"/>
            </w:pPr>
            <w:r>
              <w:rPr>
                <w:rFonts w:ascii="Arial" w:hAnsi="Arial"/>
                <w:sz w:val="18"/>
              </w:rPr>
              <w:t>Паспорт, охват, лучшие входы, карта прав, ограничения и приоритеты. Детальные условия каждого объекта находятся в XLSX.</w:t>
            </w:r>
          </w:p>
        </w:tc>
      </w:tr>
      <w:tr>
        <w:trPr>
          <w:cantSplit/>
        </w:trPr>
        <w:tc>
          <w:tcPr>
            <w:tcW w:type="dxa" w:w="3912"/>
            <w:tcMar>
              <w:top w:w="65" w:type="dxa"/>
              <w:left w:w="90" w:type="dxa"/>
              <w:bottom w:w="65" w:type="dxa"/>
              <w:right w:w="90" w:type="dxa"/>
            </w:tcMar>
            <w:shd w:fill="F1F5F8"/>
          </w:tcPr>
          <w:p>
            <w:pPr>
              <w:spacing w:after="40" w:line="250" w:lineRule="auto"/>
            </w:pPr>
            <w:r>
              <w:rPr>
                <w:rFonts w:ascii="Arial" w:hAnsi="Arial"/>
                <w:sz w:val="18"/>
              </w:rPr>
              <w:t>Исходный DR</w:t>
            </w:r>
          </w:p>
        </w:tc>
        <w:tc>
          <w:tcPr>
            <w:tcW w:type="dxa" w:w="5726"/>
            <w:tcMar>
              <w:top w:w="65" w:type="dxa"/>
              <w:left w:w="90" w:type="dxa"/>
              <w:bottom w:w="65" w:type="dxa"/>
              <w:right w:w="90" w:type="dxa"/>
            </w:tcMar>
            <w:shd w:fill="F1F5F8"/>
          </w:tcPr>
          <w:p>
            <w:pPr>
              <w:spacing w:after="40" w:line="250" w:lineRule="auto"/>
            </w:pPr>
            <w:r>
              <w:rPr>
                <w:rFonts w:ascii="Arial" w:hAnsi="Arial"/>
                <w:sz w:val="18"/>
              </w:rPr>
              <w:t>Использован как карта области; не отредактирован. ID T2-26, A/5 и исторические границы сохранены.</w:t>
            </w:r>
          </w:p>
        </w:tc>
      </w:tr>
    </w:tbl>
    <w:p>
      <w:pPr>
        <w:spacing w:after="0"/>
      </w:pPr>
    </w:p>
    <w:p>
      <w:pPr>
        <w:pStyle w:val="Heading2"/>
      </w:pPr>
      <w:r>
        <w:t>Приоритет использования сейчас</w:t>
      </w:r>
    </w:p>
    <w:p>
      <w:r>
        <w:t>В первую очередь — работать с доказанными открытыми оригинальными слоями и сохранять точную версию источника. Защищённые научные издания использовать через законное чтение, библиотеку или покупку и держать рядом как филологический ориентир. Непроверенные изображения и современные реконструкции не превращать в публичный корпус автоматически.</w:t>
      </w:r>
    </w:p>
    <w:p>
      <w:r>
        <w:t>Каждый положительный тег ограничен rights_scope и coverage. FREE_DOWNLOAD не означает MIRROR_OK; открытый перевод не означает открытый оригинал; одна рукопись не означает весь корпус. Дата проверки фиксирует состояние этой карты, а не гарантирует неизменность лицензий и доступности в будущем.</w:t>
      </w:r>
    </w:p>
    <w:sectPr w:rsidR="00FC693F" w:rsidRPr="0006063C" w:rsidSect="00034616">
      <w:headerReference w:type="default" r:id="rId9"/>
      <w:footerReference w:type="default" r:id="rId10"/>
      <w:pgSz w:w="11906" w:h="16838"/>
      <w:pgMar w:top="907" w:right="1134" w:bottom="794" w:left="1134"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582"/>
        <w:sz w:val="16"/>
      </w:rPr>
      <w:t xml:space="preserve">ToS  •  04.09.2026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t>ДРЕВО СОФИИ  /  CORPUS &amp; RIGHTS                          T2-26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0" w:lineRule="auto"/>
    </w:pPr>
    <w:rPr>
      <w:rFonts w:ascii="Arial" w:hAnsi="Arial"/>
      <w:color w:val="243746"/>
      <w:sz w:val="21"/>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60" w:after="100"/>
      <w:outlineLvl w:val="0"/>
    </w:pPr>
    <w:rPr>
      <w:rFonts w:asciiTheme="majorHAnsi" w:eastAsiaTheme="majorEastAsia" w:hAnsiTheme="majorHAnsi" w:cstheme="majorBidi" w:ascii="Arial" w:hAnsi="Arial"/>
      <w:b/>
      <w:bCs/>
      <w:color w:val="225B59"/>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100"/>
      <w:outlineLvl w:val="1"/>
    </w:pPr>
    <w:rPr>
      <w:rFonts w:asciiTheme="majorHAnsi" w:eastAsiaTheme="majorEastAsia" w:hAnsiTheme="majorHAnsi" w:cstheme="majorBidi" w:ascii="Arial" w:hAnsi="Arial"/>
      <w:b/>
      <w:bCs/>
      <w:color w:val="225B59"/>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100"/>
      <w:outlineLvl w:val="2"/>
    </w:pPr>
    <w:rPr>
      <w:rFonts w:asciiTheme="majorHAnsi" w:eastAsiaTheme="majorEastAsia" w:hAnsiTheme="majorHAnsi" w:cstheme="majorBidi" w:ascii="Arial" w:hAnsi="Arial"/>
      <w:b/>
      <w:bCs/>
      <w:color w:val="225B59"/>
      <w:sz w:val="22"/>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20" w:line="240" w:lineRule="auto"/>
      <w:contextualSpacing/>
    </w:pPr>
    <w:rPr>
      <w:rFonts w:asciiTheme="majorHAnsi" w:eastAsiaTheme="majorEastAsia" w:hAnsiTheme="majorHAnsi" w:cstheme="majorBidi" w:ascii="Arial" w:hAnsi="Arial"/>
      <w:b/>
      <w:color w:val="18394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00" w:line="250" w:lineRule="auto"/>
    </w:pPr>
    <w:rPr>
      <w:rFonts w:ascii="Arial" w:hAnsi="Arial"/>
      <w:color w:val="243746"/>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Arial" w:hAnsi="Arial"/>
      <w:b/>
      <w:bCs/>
      <w:color w:val="65534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atrimoniodigital.ucm.es/s/patrimonio/item/349510" TargetMode="External"/><Relationship Id="rId12" Type="http://schemas.openxmlformats.org/officeDocument/2006/relationships/hyperlink" Target="https://www.franciscanpublications.com/products/philosophical-works-of-william-of-ockham" TargetMode="External"/><Relationship Id="rId13" Type="http://schemas.openxmlformats.org/officeDocument/2006/relationships/hyperlink" Target="https://www.franciscanpublications.com/collections/william-of-ockham/products/theological-works-of-william-of-ockham" TargetMode="External"/><Relationship Id="rId14" Type="http://schemas.openxmlformats.org/officeDocument/2006/relationships/hyperlink" Target="https://www.jstor.org/stable/j.ctt1npvdr" TargetMode="External"/><Relationship Id="rId15" Type="http://schemas.openxmlformats.org/officeDocument/2006/relationships/hyperlink" Target="https://fordhampress.com/treatise-on-consequences-hb-9780823257188.html" TargetMode="External"/><Relationship Id="rId16" Type="http://schemas.openxmlformats.org/officeDocument/2006/relationships/hyperlink" Target="https://www.brepols.net/products/IS-9789070419370-1" TargetMode="External"/><Relationship Id="rId17" Type="http://schemas.openxmlformats.org/officeDocument/2006/relationships/hyperlink" Target="https://www.brepols.net/products/IS-9789070419059-1" TargetMode="External"/><Relationship Id="rId18" Type="http://schemas.openxmlformats.org/officeDocument/2006/relationships/hyperlink" Target="https://www.brepols.net/products/IS-9782503528533-1" TargetMode="External"/><Relationship Id="rId19" Type="http://schemas.openxmlformats.org/officeDocument/2006/relationships/hyperlink" Target="https://link.springer.com/book/10.1007/978-3-030-94433-9" TargetMode="External"/><Relationship Id="rId20" Type="http://schemas.openxmlformats.org/officeDocument/2006/relationships/hyperlink" Target="https://www.degruyterbrill.com/document/isbn/9789004702028/html" TargetMode="External"/><Relationship Id="rId21" Type="http://schemas.openxmlformats.org/officeDocument/2006/relationships/hyperlink" Target="https://www.peeters-leuven.be/detail.php?lang=fr&amp;search_key=9789042923171&amp;series_number_str=10" TargetMode="External"/><Relationship Id="rId22" Type="http://schemas.openxmlformats.org/officeDocument/2006/relationships/hyperlink" Target="https://www.brepols.net/products/IS-9780888442703-1" TargetMode="External"/><Relationship Id="rId23" Type="http://schemas.openxmlformats.org/officeDocument/2006/relationships/hyperlink" Target="https://link.springer.com/book/10.1007/978-94-009-6496-9" TargetMode="External"/><Relationship Id="rId24" Type="http://schemas.openxmlformats.org/officeDocument/2006/relationships/hyperlink" Target="https://www.vrin.fr/livre/9782711612208/sophismata-asinina" TargetMode="External"/><Relationship Id="rId25" Type="http://schemas.openxmlformats.org/officeDocument/2006/relationships/hyperlink" Target="https://www.st-andrews.ac.uk/~slr/Swyneshed_Insolubles_Eng_tr.pdf" TargetMode="External"/><Relationship Id="rId26" Type="http://schemas.openxmlformats.org/officeDocument/2006/relationships/hyperlink" Target="https://www.thebritishacademy.ac.uk/publishing/specialist-scholarly-publications/auctores-britannici-medii-aevi/" TargetMode="External"/><Relationship Id="rId27" Type="http://schemas.openxmlformats.org/officeDocument/2006/relationships/hyperlink" Target="https://yalebooks.yale.edu/book/9780300082005/on-the-purity-of-the-art-of-logic/" TargetMode="External"/><Relationship Id="rId28" Type="http://schemas.openxmlformats.org/officeDocument/2006/relationships/hyperlink" Target="https://catalog.hathitrust.org/Record/000473262" TargetMode="External"/><Relationship Id="rId29" Type="http://schemas.openxmlformats.org/officeDocument/2006/relationships/hyperlink" Target="https://www.openbookpublishers.com/books/10.11647/obp.0359" TargetMode="External"/><Relationship Id="rId30" Type="http://schemas.openxmlformats.org/officeDocument/2006/relationships/hyperlink" Target="https://scholarworks.iu.edu/dspace/items/92bb0c41-4e89-4aa6-8012-adb1d15bc1e2" TargetMode="External"/><Relationship Id="rId31" Type="http://schemas.openxmlformats.org/officeDocument/2006/relationships/hyperlink" Target="https://scholarworks.iu.edu/dspace/items/ba5b682e-de9b-420a-a236-89fb65f9e389" TargetMode="External"/><Relationship Id="rId32" Type="http://schemas.openxmlformats.org/officeDocument/2006/relationships/hyperlink" Target="https://cimagl.saxo.ku.dk/download/90/90hanke226-264.pdf" TargetMode="External"/><Relationship Id="rId33" Type="http://schemas.openxmlformats.org/officeDocument/2006/relationships/hyperlink" Target="https://www.brepols.net/products/IS-9789070419110-1" TargetMode="External"/><Relationship Id="rId34" Type="http://schemas.openxmlformats.org/officeDocument/2006/relationships/hyperlink" Target="https://www.brepols.net/products/IS-9789070419127-1" TargetMode="External"/><Relationship Id="rId35" Type="http://schemas.openxmlformats.org/officeDocument/2006/relationships/hyperlink" Target="https://link.springer.com/book/10.1007/978-94-009-6946-9" TargetMode="External"/><Relationship Id="rId36" Type="http://schemas.openxmlformats.org/officeDocument/2006/relationships/hyperlink" Target="https://link.springer.com/book/10.1007/978-94-009-8993-1" TargetMode="External"/><Relationship Id="rId37" Type="http://schemas.openxmlformats.org/officeDocument/2006/relationships/hyperlink" Target="https://www.hugendubel.de/de/buch_gebunden/albert_von_sachsen-logik-11253957-produkt-details.html" TargetMode="External"/><Relationship Id="rId38" Type="http://schemas.openxmlformats.org/officeDocument/2006/relationships/hyperlink" Target="https://search.library.wisc.edu/catalog/9915524515902121" TargetMode="External"/><Relationship Id="rId39" Type="http://schemas.openxmlformats.org/officeDocument/2006/relationships/hyperlink" Target="https://github.com/textcreationpartnership/A53187" TargetMode="External"/><Relationship Id="rId40" Type="http://schemas.openxmlformats.org/officeDocument/2006/relationships/hyperlink" Target="https://www.e-rara.ch/bau_1/content/titleinfo/28546252" TargetMode="External"/><Relationship Id="rId41" Type="http://schemas.openxmlformats.org/officeDocument/2006/relationships/hyperlink" Target="https://www.digitale-sammlungen.de/en/view/bsb11111283" TargetMode="External"/><Relationship Id="rId42" Type="http://schemas.openxmlformats.org/officeDocument/2006/relationships/hyperlink" Target="https://gredos.usal.es/handle/10366/150667" TargetMode="External"/><Relationship Id="rId43" Type="http://schemas.openxmlformats.org/officeDocument/2006/relationships/hyperlink" Target="https://gredos.usal.es/handle/10366/84387?locale-attribute=en" TargetMode="External"/><Relationship Id="rId44" Type="http://schemas.openxmlformats.org/officeDocument/2006/relationships/hyperlink" Target="https://www.deutsche-digitale-bibliothek.de/item/BOJKBKDVEDD6K2D65X5YHU2QYTYC43RI" TargetMode="External"/><Relationship Id="rId45" Type="http://schemas.openxmlformats.org/officeDocument/2006/relationships/hyperlink" Target="https://www.gutenberg.org/ebooks/78739" TargetMode="External"/><Relationship Id="rId46" Type="http://schemas.openxmlformats.org/officeDocument/2006/relationships/hyperlink" Target="https://www.tertullian.org/fathers/porphyry_isagogue_02_translation.htm" TargetMode="External"/><Relationship Id="rId47" Type="http://schemas.openxmlformats.org/officeDocument/2006/relationships/hyperlink" Target="https://books.google.com/books/about/Boethius_s_De_Topicis_Differentiis.html?id=TkwTU6dFTyoC" TargetMode="External"/><Relationship Id="rId48" Type="http://schemas.openxmlformats.org/officeDocument/2006/relationships/hyperlink" Target="https://archive.org/details/organonorlogical02arisuoft" TargetMode="External"/><Relationship Id="rId49" Type="http://schemas.openxmlformats.org/officeDocument/2006/relationships/hyperlink" Target="https://undpress.nd.edu/9780268035358/logica-or-summa-lamberti/" TargetMode="External"/><Relationship Id="rId50" Type="http://schemas.openxmlformats.org/officeDocument/2006/relationships/hyperlink" Target="https://assets.meiner.de/Medien-Dateien/9783787314638.pdf" TargetMode="External"/><Relationship Id="rId51" Type="http://schemas.openxmlformats.org/officeDocument/2006/relationships/hyperlink" Target="https://global.oup.com/academic/product/peter-of-spain-summaries-of-logic-9780199669585" TargetMode="External"/><Relationship Id="rId52" Type="http://schemas.openxmlformats.org/officeDocument/2006/relationships/hyperlink" Target="https://www.brepols.net/products/IS-9789070419233-1" TargetMode="External"/><Relationship Id="rId53" Type="http://schemas.openxmlformats.org/officeDocument/2006/relationships/hyperlink" Target="https://www.peeters-leuven.be/detail.php?lang=en&amp;search_key=9789042949409&amp;series_number_str=27" TargetMode="External"/><Relationship Id="rId54" Type="http://schemas.openxmlformats.org/officeDocument/2006/relationships/hyperlink" Target="https://edition-open-sources.org/sources/7/index.html" TargetMode="External"/><Relationship Id="rId55" Type="http://schemas.openxmlformats.org/officeDocument/2006/relationships/hyperlink" Target="https://raw.githubusercontent.com/textcreationpartnership/A53187/refs/heads/master/A53187.xml" TargetMode="External"/><Relationship Id="rId56" Type="http://schemas.openxmlformats.org/officeDocument/2006/relationships/hyperlink" Target="https://scholarworks.iu.edu/dspace/items/de32f06a-2e38-4834-924c-3e48e2ff9d90" TargetMode="External"/><Relationship Id="rId57" Type="http://schemas.openxmlformats.org/officeDocument/2006/relationships/hyperlink" Target="https://scholarworks.iu.edu/dspace/items/8011dfd5-58d1-4366-9932-b413c18e3a5c" TargetMode="External"/><Relationship Id="rId58" Type="http://schemas.openxmlformats.org/officeDocument/2006/relationships/hyperlink" Target="https://www.staugustine.net/9781587316067/ockhams-theory-of-terms/" TargetMode="External"/><Relationship Id="rId59" Type="http://schemas.openxmlformats.org/officeDocument/2006/relationships/hyperlink" Target="https://www.staugustine.net/9781587316050/ockhams-theory-of-propositions/" TargetMode="External"/><Relationship Id="rId60" Type="http://schemas.openxmlformats.org/officeDocument/2006/relationships/hyperlink" Target="https://undpress.nd.edu/9780268033781/demonstration-and-scientific-knowledge-in-william-of-ockham/" TargetMode="External"/><Relationship Id="rId61" Type="http://schemas.openxmlformats.org/officeDocument/2006/relationships/hyperlink" Target="https://catalog.hathitrust.org/Record/102227119" TargetMode="External"/><Relationship Id="rId62" Type="http://schemas.openxmlformats.org/officeDocument/2006/relationships/hyperlink" Target="https://books.google.com/books/about/Predestination_God_s_Foreknowledge_and_F.html?id=Al2XAQAACAAJ" TargetMode="External"/><Relationship Id="rId63" Type="http://schemas.openxmlformats.org/officeDocument/2006/relationships/hyperlink" Target="https://www.tgjonesonline.co.uk/product/william-of-ockham/predestination-gods-foreknowledge-and-future-contingents/1895799" TargetMode="External"/><Relationship Id="rId64" Type="http://schemas.openxmlformats.org/officeDocument/2006/relationships/hyperlink" Target="https://urss.ru/cgi-bin/db.pl?blang=ru&amp;id=315264&amp;lang=Ru&amp;page=Book" TargetMode="External"/><Relationship Id="rId65" Type="http://schemas.openxmlformats.org/officeDocument/2006/relationships/hyperlink" Target="https://www.brepols.net/products/IS-9782503518862-1" TargetMode="External"/><Relationship Id="rId66" Type="http://schemas.openxmlformats.org/officeDocument/2006/relationships/hyperlink" Target="https://www.brepols.net/products/IS-9789070419387-1" TargetMode="External"/><Relationship Id="rId67" Type="http://schemas.openxmlformats.org/officeDocument/2006/relationships/hyperlink" Target="https://www.brepols.net/products/IS-9789070419363-1" TargetMode="External"/><Relationship Id="rId68" Type="http://schemas.openxmlformats.org/officeDocument/2006/relationships/hyperlink" Target="https://www.brepols.net/products/IS-9789070419400-1" TargetMode="External"/><Relationship Id="rId69" Type="http://schemas.openxmlformats.org/officeDocument/2006/relationships/hyperlink" Target="https://www.brepols.net/products/IS-9782503533681-1" TargetMode="External"/><Relationship Id="rId70" Type="http://schemas.openxmlformats.org/officeDocument/2006/relationships/hyperlink" Target="https://www.brepols.net/products/IS-9782503548364-1" TargetMode="External"/><Relationship Id="rId71" Type="http://schemas.openxmlformats.org/officeDocument/2006/relationships/hyperlink" Target="https://www.brepols.net/products/IS-9789070419417-1" TargetMode="External"/><Relationship Id="rId72" Type="http://schemas.openxmlformats.org/officeDocument/2006/relationships/hyperlink" Target="https://www.brepols.net/products/IS-9782503517209-1" TargetMode="External"/><Relationship Id="rId73" Type="http://schemas.openxmlformats.org/officeDocument/2006/relationships/hyperlink" Target="https://www.cambridge.org/core/books/abs/interpreting-buridan/references/382D925C4965E95C8E574D34276BD29B" TargetMode="External"/><Relationship Id="rId74" Type="http://schemas.openxmlformats.org/officeDocument/2006/relationships/hyperlink" Target="https://www.journals.vu.lt/problemos/en/article/download/23924/23191" TargetMode="External"/><Relationship Id="rId75" Type="http://schemas.openxmlformats.org/officeDocument/2006/relationships/hyperlink" Target="https://www.st-andrews.ac.uk/~slr/Brad_errata.html" TargetMode="External"/><Relationship Id="rId76" Type="http://schemas.openxmlformats.org/officeDocument/2006/relationships/hyperlink" Target="https://www.st-andrews.ac.uk/arche/publication-stephen-read-5/" TargetMode="External"/><Relationship Id="rId77" Type="http://schemas.openxmlformats.org/officeDocument/2006/relationships/hyperlink" Target="https://assets.meiner.de/Medien-Dateien/9783787319589.pdf" TargetMode="External"/><Relationship Id="rId78" Type="http://schemas.openxmlformats.org/officeDocument/2006/relationships/hyperlink" Target="https://www.gutenberg.org/cache/epub/78739/pg78739-images.html" TargetMode="External"/><Relationship Id="rId79" Type="http://schemas.openxmlformats.org/officeDocument/2006/relationships/hyperlink" Target="https://www.st-andrews.ac.uk/~slr/paradox.html" TargetMode="External"/><Relationship Id="rId80" Type="http://schemas.openxmlformats.org/officeDocument/2006/relationships/hyperlink" Target="https://digi.vatlib.it/view/MSS_Vat.lat.6750" TargetMode="External"/><Relationship Id="rId81" Type="http://schemas.openxmlformats.org/officeDocument/2006/relationships/hyperlink" Target="https://www.journals.vu.lt/problemos/en/article/view/239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T2-26</dc:title>
  <dc:subject>Номинализм, логический анализ и четырнадцатый век: корпус, законный доступ и права</dc:subject>
  <dc:creator>ToS / Древо Софии</dc:creator>
  <cp:keywords>T2-26; Ockham; Buridan; corpus; rights; scholarly access</cp:keywords>
  <dc:description>Research-first v4.3.1. Исходный DR не изменён.</dc:description>
  <cp:lastModifiedBy/>
  <cp:revision>1</cp:revision>
  <dcterms:created xsi:type="dcterms:W3CDTF">2013-12-23T23:15:00Z</dcterms:created>
  <dcterms:modified xsi:type="dcterms:W3CDTF">2013-12-23T23:15:00Z</dcterms:modified>
  <cp:category/>
</cp:coreProperties>
</file>