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Liberation Sans" w:hAnsi="Liberation Sans"/>
          <w:b/>
          <w:color w:val="1F6D7A"/>
          <w:sz w:val="24"/>
        </w:rPr>
        <w:t>TREE OF SOPHIA</w:t>
      </w:r>
    </w:p>
    <w:p>
      <w:pPr>
        <w:pStyle w:val="Title"/>
        <w:jc w:val="center"/>
      </w:pPr>
      <w:r>
        <w:t>ToS Corpus &amp; Rights Registry</w:t>
      </w:r>
    </w:p>
    <w:p>
      <w:pPr>
        <w:pStyle w:val="Subtitle"/>
        <w:jc w:val="center"/>
      </w:pPr>
      <w:r>
        <w:t>A28 — Александрийская филология,</w:t>
        <w:br/>
        <w:t>грамматика и текстуальная критика</w:t>
      </w:r>
    </w:p>
    <w:p>
      <w:pPr>
        <w:spacing w:before="240"/>
        <w:jc w:val="center"/>
      </w:pPr>
      <w:r>
        <w:rPr>
          <w:b/>
          <w:sz w:val="22"/>
        </w:rPr>
        <w:t>Статус мастер-строки: B  ·  Дата проверки: 3 сентября 2026</w:t>
      </w:r>
    </w:p>
    <w:p>
      <w:pPr>
        <w:spacing w:before="360"/>
        <w:jc w:val="center"/>
      </w:pPr>
      <w:r>
        <w:rPr>
          <w:sz w:val="22"/>
        </w:rPr>
        <w:t>112 законных путей доступа  ·  41 различимых корпусных/объектных семей  ·  17 зафиксированных пробелов</w:t>
      </w:r>
    </w:p>
    <w:p>
      <w:pPr>
        <w:spacing w:before="400"/>
        <w:ind w:left="1247" w:right="1247"/>
        <w:jc w:val="center"/>
      </w:pPr>
      <w:r>
        <w:t>Исследовательский пакет по протоколу v4.3: первичные тексты, фрагменты, scholia, рукописные и папирусные свидетели, старые и современные издания, переводы, машиночитаемые данные, item-level права и практические рекомендации для ToS.</w:t>
      </w:r>
    </w:p>
    <w:p>
      <w:r/>
    </w:p>
    <w:p>
      <w:pPr>
        <w:jc w:val="center"/>
      </w:pPr>
      <w:r>
        <w:rPr>
          <w:b/>
          <w:sz w:val="24"/>
        </w:rPr>
        <w:t>Состав отчёта</w:t>
      </w:r>
    </w:p>
    <w:p>
      <w:pPr>
        <w:spacing w:after="20"/>
        <w:jc w:val="center"/>
      </w:pPr>
      <w:r>
        <w:t>1. Паспорт</w:t>
      </w:r>
    </w:p>
    <w:p>
      <w:pPr>
        <w:spacing w:after="20"/>
        <w:jc w:val="center"/>
      </w:pPr>
      <w:r>
        <w:t>2. Охват корпуса</w:t>
      </w:r>
    </w:p>
    <w:p>
      <w:pPr>
        <w:spacing w:after="20"/>
        <w:jc w:val="center"/>
      </w:pPr>
      <w:r>
        <w:t>3. Лучшие пути доступа</w:t>
      </w:r>
    </w:p>
    <w:p>
      <w:pPr>
        <w:spacing w:after="20"/>
        <w:jc w:val="center"/>
      </w:pPr>
      <w:r>
        <w:t>4. Карта прав и практического использования</w:t>
      </w:r>
    </w:p>
    <w:p>
      <w:pPr>
        <w:spacing w:after="20"/>
        <w:jc w:val="center"/>
      </w:pPr>
      <w:r>
        <w:t>5. Характерные правовые тонкости</w:t>
      </w:r>
    </w:p>
    <w:p>
      <w:pPr>
        <w:spacing w:after="20"/>
        <w:jc w:val="center"/>
      </w:pPr>
      <w:r>
        <w:t>6. Пробелы и дальнейший поиск</w:t>
      </w:r>
    </w:p>
    <w:p>
      <w:pPr>
        <w:spacing w:after="20"/>
        <w:jc w:val="center"/>
      </w:pPr>
      <w:r>
        <w:t>7. Итоговая оценка</w:t>
      </w:r>
    </w:p>
    <w:p>
      <w:r>
        <w:br w:type="page"/>
      </w:r>
    </w:p>
    <w:p>
      <w:pPr>
        <w:pStyle w:val="Heading1"/>
      </w:pPr>
      <w:r>
        <w:t>1. Паспорт</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2324"/>
            <w:vAlign w:val="top"/>
            <w:shd w:fill="D9EAF7"/>
            <w:tcMar>
              <w:top w:w="90" w:type="dxa"/>
              <w:start w:w="110" w:type="dxa"/>
              <w:bottom w:w="90" w:type="dxa"/>
              <w:end w:w="110" w:type="dxa"/>
            </w:tcMar>
          </w:tcPr>
          <w:p>
            <w:pPr>
              <w:spacing w:after="0"/>
            </w:pPr>
            <w:r>
              <w:rPr>
                <w:b/>
              </w:rPr>
              <w:t>ID строки ToS</w:t>
            </w:r>
          </w:p>
        </w:tc>
        <w:tc>
          <w:tcPr>
            <w:tcW w:type="dxa" w:w="6803"/>
            <w:vAlign w:val="top"/>
            <w:tcMar>
              <w:top w:w="90" w:type="dxa"/>
              <w:start w:w="110" w:type="dxa"/>
              <w:bottom w:w="90" w:type="dxa"/>
              <w:end w:w="110" w:type="dxa"/>
            </w:tcMar>
          </w:tcPr>
          <w:p>
            <w:pPr>
              <w:spacing w:after="0"/>
            </w:pPr>
            <w:r>
              <w:t>A28</w:t>
            </w:r>
          </w:p>
        </w:tc>
      </w:tr>
      <w:tr>
        <w:trPr>
          <w:cantSplit/>
        </w:trPr>
        <w:tc>
          <w:tcPr>
            <w:tcW w:type="dxa" w:w="2324"/>
            <w:vAlign w:val="top"/>
            <w:shd w:fill="D9EAF7"/>
            <w:tcMar>
              <w:top w:w="90" w:type="dxa"/>
              <w:start w:w="110" w:type="dxa"/>
              <w:bottom w:w="90" w:type="dxa"/>
              <w:end w:w="110" w:type="dxa"/>
            </w:tcMar>
          </w:tcPr>
          <w:p>
            <w:pPr>
              <w:spacing w:after="0"/>
            </w:pPr>
            <w:r>
              <w:rPr>
                <w:b/>
              </w:rPr>
              <w:t>Название</w:t>
            </w:r>
          </w:p>
        </w:tc>
        <w:tc>
          <w:tcPr>
            <w:tcW w:type="dxa" w:w="6803"/>
            <w:vAlign w:val="top"/>
            <w:tcMar>
              <w:top w:w="90" w:type="dxa"/>
              <w:start w:w="110" w:type="dxa"/>
              <w:bottom w:w="90" w:type="dxa"/>
              <w:end w:w="110" w:type="dxa"/>
            </w:tcMar>
          </w:tcPr>
          <w:p>
            <w:pPr>
              <w:spacing w:after="0"/>
            </w:pPr>
            <w:r>
              <w:t>Александрийская филология, грамматика и текстуальная критика</w:t>
            </w:r>
          </w:p>
        </w:tc>
      </w:tr>
      <w:tr>
        <w:trPr>
          <w:cantSplit/>
        </w:trPr>
        <w:tc>
          <w:tcPr>
            <w:tcW w:type="dxa" w:w="2324"/>
            <w:vAlign w:val="top"/>
            <w:shd w:fill="D9EAF7"/>
            <w:tcMar>
              <w:top w:w="90" w:type="dxa"/>
              <w:start w:w="110" w:type="dxa"/>
              <w:bottom w:w="90" w:type="dxa"/>
              <w:end w:w="110" w:type="dxa"/>
            </w:tcMar>
          </w:tcPr>
          <w:p>
            <w:pPr>
              <w:spacing w:after="0"/>
            </w:pPr>
            <w:r>
              <w:rPr>
                <w:b/>
              </w:rPr>
              <w:t>Исходный статус</w:t>
            </w:r>
          </w:p>
        </w:tc>
        <w:tc>
          <w:tcPr>
            <w:tcW w:type="dxa" w:w="6803"/>
            <w:vAlign w:val="top"/>
            <w:tcMar>
              <w:top w:w="90" w:type="dxa"/>
              <w:start w:w="110" w:type="dxa"/>
              <w:bottom w:w="90" w:type="dxa"/>
              <w:end w:w="110" w:type="dxa"/>
            </w:tcMar>
          </w:tcPr>
          <w:p>
            <w:pPr>
              <w:spacing w:after="0"/>
            </w:pPr>
            <w:r>
              <w:t>B — важный методологический узел, но корпус распределён между фрагментами, scholia, поздними рукописями и папирусами.</w:t>
            </w:r>
          </w:p>
        </w:tc>
      </w:tr>
      <w:tr>
        <w:trPr>
          <w:cantSplit/>
        </w:trPr>
        <w:tc>
          <w:tcPr>
            <w:tcW w:type="dxa" w:w="2324"/>
            <w:vAlign w:val="top"/>
            <w:shd w:fill="D9EAF7"/>
            <w:tcMar>
              <w:top w:w="90" w:type="dxa"/>
              <w:start w:w="110" w:type="dxa"/>
              <w:bottom w:w="90" w:type="dxa"/>
              <w:end w:w="110" w:type="dxa"/>
            </w:tcMar>
          </w:tcPr>
          <w:p>
            <w:pPr>
              <w:spacing w:after="0"/>
            </w:pPr>
            <w:r>
              <w:rPr>
                <w:b/>
              </w:rPr>
              <w:t>Исходный DR</w:t>
            </w:r>
          </w:p>
        </w:tc>
        <w:tc>
          <w:tcPr>
            <w:tcW w:type="dxa" w:w="6803"/>
            <w:vAlign w:val="top"/>
            <w:tcMar>
              <w:top w:w="90" w:type="dxa"/>
              <w:start w:w="110" w:type="dxa"/>
              <w:bottom w:w="90" w:type="dxa"/>
              <w:end w:w="110" w:type="dxa"/>
            </w:tcMar>
          </w:tcPr>
          <w:p>
            <w:pPr>
              <w:spacing w:after="0"/>
            </w:pPr>
            <w:r>
              <w:t>ToS Deep Research_ A28 — Александрийская филология, грамматика и текстуальная критика(1).docx</w:t>
            </w:r>
          </w:p>
        </w:tc>
      </w:tr>
      <w:tr>
        <w:trPr>
          <w:cantSplit/>
        </w:trPr>
        <w:tc>
          <w:tcPr>
            <w:tcW w:type="dxa" w:w="2324"/>
            <w:vAlign w:val="top"/>
            <w:shd w:fill="D9EAF7"/>
            <w:tcMar>
              <w:top w:w="90" w:type="dxa"/>
              <w:start w:w="110" w:type="dxa"/>
              <w:bottom w:w="90" w:type="dxa"/>
              <w:end w:w="110" w:type="dxa"/>
            </w:tcMar>
          </w:tcPr>
          <w:p>
            <w:pPr>
              <w:spacing w:after="0"/>
            </w:pPr>
            <w:r>
              <w:rPr>
                <w:b/>
              </w:rPr>
              <w:t>Дата проверки</w:t>
            </w:r>
          </w:p>
        </w:tc>
        <w:tc>
          <w:tcPr>
            <w:tcW w:type="dxa" w:w="6803"/>
            <w:vAlign w:val="top"/>
            <w:tcMar>
              <w:top w:w="90" w:type="dxa"/>
              <w:start w:w="110" w:type="dxa"/>
              <w:bottom w:w="90" w:type="dxa"/>
              <w:end w:w="110" w:type="dxa"/>
            </w:tcMar>
          </w:tcPr>
          <w:p>
            <w:pPr>
              <w:spacing w:after="0"/>
            </w:pPr>
            <w:r>
              <w:t>2026-09-03</w:t>
            </w:r>
          </w:p>
        </w:tc>
      </w:tr>
      <w:tr>
        <w:trPr>
          <w:cantSplit/>
        </w:trPr>
        <w:tc>
          <w:tcPr>
            <w:tcW w:type="dxa" w:w="2324"/>
            <w:vAlign w:val="top"/>
            <w:shd w:fill="D9EAF7"/>
            <w:tcMar>
              <w:top w:w="90" w:type="dxa"/>
              <w:start w:w="110" w:type="dxa"/>
              <w:bottom w:w="90" w:type="dxa"/>
              <w:end w:w="110" w:type="dxa"/>
            </w:tcMar>
          </w:tcPr>
          <w:p>
            <w:pPr>
              <w:spacing w:after="0"/>
            </w:pPr>
            <w:r>
              <w:rPr>
                <w:b/>
              </w:rPr>
              <w:t>Языки поиска</w:t>
            </w:r>
          </w:p>
        </w:tc>
        <w:tc>
          <w:tcPr>
            <w:tcW w:type="dxa" w:w="6803"/>
            <w:vAlign w:val="top"/>
            <w:tcMar>
              <w:top w:w="90" w:type="dxa"/>
              <w:start w:w="110" w:type="dxa"/>
              <w:bottom w:w="90" w:type="dxa"/>
              <w:end w:w="110" w:type="dxa"/>
            </w:tcMar>
          </w:tcPr>
          <w:p>
            <w:pPr>
              <w:spacing w:after="0"/>
            </w:pPr>
            <w:r>
              <w:t>Русский, английский, древнегреческий, латинский, немецкий, французский, итальянский; использовались варианты транслитерации и каталожные идентификаторы.</w:t>
            </w:r>
          </w:p>
        </w:tc>
      </w:tr>
      <w:tr>
        <w:trPr>
          <w:cantSplit/>
        </w:trPr>
        <w:tc>
          <w:tcPr>
            <w:tcW w:type="dxa" w:w="2324"/>
            <w:vAlign w:val="top"/>
            <w:shd w:fill="D9EAF7"/>
            <w:tcMar>
              <w:top w:w="90" w:type="dxa"/>
              <w:start w:w="110" w:type="dxa"/>
              <w:bottom w:w="90" w:type="dxa"/>
              <w:end w:w="110" w:type="dxa"/>
            </w:tcMar>
          </w:tcPr>
          <w:p>
            <w:pPr>
              <w:spacing w:after="0"/>
            </w:pPr>
            <w:r>
              <w:rPr>
                <w:b/>
              </w:rPr>
              <w:t>Ядро корпуса</w:t>
            </w:r>
          </w:p>
        </w:tc>
        <w:tc>
          <w:tcPr>
            <w:tcW w:type="dxa" w:w="6803"/>
            <w:vAlign w:val="top"/>
            <w:tcMar>
              <w:top w:w="90" w:type="dxa"/>
              <w:start w:w="110" w:type="dxa"/>
              <w:bottom w:w="90" w:type="dxa"/>
              <w:end w:w="110" w:type="dxa"/>
            </w:tcMar>
          </w:tcPr>
          <w:p>
            <w:pPr>
              <w:spacing w:after="0"/>
            </w:pPr>
            <w:r>
              <w:t>Pinakes Каллимаха; гомеровские экдосисы и hypomnemata Зенодота и Аристарха; фрагменты Аристофана Византийского, Дидима и Трифона; Techne grammatike; Homeric scholia; Venetus A/B; папирусные комментарии.</w:t>
            </w:r>
          </w:p>
        </w:tc>
      </w:tr>
      <w:tr>
        <w:trPr>
          <w:cantSplit/>
        </w:trPr>
        <w:tc>
          <w:tcPr>
            <w:tcW w:type="dxa" w:w="2324"/>
            <w:vAlign w:val="top"/>
            <w:shd w:fill="D9EAF7"/>
            <w:tcMar>
              <w:top w:w="90" w:type="dxa"/>
              <w:start w:w="110" w:type="dxa"/>
              <w:bottom w:w="90" w:type="dxa"/>
              <w:end w:w="110" w:type="dxa"/>
            </w:tcMar>
          </w:tcPr>
          <w:p>
            <w:pPr>
              <w:spacing w:after="0"/>
            </w:pPr>
            <w:r>
              <w:rPr>
                <w:b/>
              </w:rPr>
              <w:t>Типы объектов</w:t>
            </w:r>
          </w:p>
        </w:tc>
        <w:tc>
          <w:tcPr>
            <w:tcW w:type="dxa" w:w="6803"/>
            <w:vAlign w:val="top"/>
            <w:tcMar>
              <w:top w:w="90" w:type="dxa"/>
              <w:start w:w="110" w:type="dxa"/>
              <w:bottom w:w="90" w:type="dxa"/>
              <w:end w:w="110" w:type="dxa"/>
            </w:tcMar>
          </w:tcPr>
          <w:p>
            <w:pPr>
              <w:spacing w:after="0"/>
            </w:pPr>
            <w:r>
              <w:t>work, corpus, physical_witness, translation_or_edition, digital_text_or_facsimile, dataset_or_api, digital_project_or_catalogue, secondary_navigation.</w:t>
            </w:r>
          </w:p>
        </w:tc>
      </w:tr>
      <w:tr>
        <w:trPr>
          <w:cantSplit/>
        </w:trPr>
        <w:tc>
          <w:tcPr>
            <w:tcW w:type="dxa" w:w="2324"/>
            <w:vAlign w:val="top"/>
            <w:shd w:fill="D9EAF7"/>
            <w:tcMar>
              <w:top w:w="90" w:type="dxa"/>
              <w:start w:w="110" w:type="dxa"/>
              <w:bottom w:w="90" w:type="dxa"/>
              <w:end w:w="110" w:type="dxa"/>
            </w:tcMar>
          </w:tcPr>
          <w:p>
            <w:pPr>
              <w:spacing w:after="0"/>
            </w:pPr>
            <w:r>
              <w:rPr>
                <w:b/>
              </w:rPr>
              <w:t>Классы источников</w:t>
            </w:r>
          </w:p>
        </w:tc>
        <w:tc>
          <w:tcPr>
            <w:tcW w:type="dxa" w:w="6803"/>
            <w:vAlign w:val="top"/>
            <w:tcMar>
              <w:top w:w="90" w:type="dxa"/>
              <w:start w:w="110" w:type="dxa"/>
              <w:bottom w:w="90" w:type="dxa"/>
              <w:end w:w="110" w:type="dxa"/>
            </w:tcMar>
          </w:tcPr>
          <w:p>
            <w:pPr>
              <w:spacing w:after="0"/>
            </w:pPr>
            <w:r>
              <w:t>Официальные цифровые издания и корпуса; национальные библиотеки и музеи; manuscript/papyrus catalogues; университетские репозитории; издатели; законные public-domain платформы.</w:t>
            </w:r>
          </w:p>
        </w:tc>
      </w:tr>
      <w:tr>
        <w:trPr>
          <w:cantSplit/>
        </w:trPr>
        <w:tc>
          <w:tcPr>
            <w:tcW w:type="dxa" w:w="2324"/>
            <w:vAlign w:val="top"/>
            <w:shd w:fill="D9EAF7"/>
            <w:tcMar>
              <w:top w:w="90" w:type="dxa"/>
              <w:start w:w="110" w:type="dxa"/>
              <w:bottom w:w="90" w:type="dxa"/>
              <w:end w:w="110" w:type="dxa"/>
            </w:tcMar>
          </w:tcPr>
          <w:p>
            <w:pPr>
              <w:spacing w:after="0"/>
            </w:pPr>
            <w:r>
              <w:rPr>
                <w:b/>
              </w:rPr>
              <w:t>Слабые навигационные источники</w:t>
            </w:r>
          </w:p>
        </w:tc>
        <w:tc>
          <w:tcPr>
            <w:tcW w:type="dxa" w:w="6803"/>
            <w:vAlign w:val="top"/>
            <w:tcMar>
              <w:top w:w="90" w:type="dxa"/>
              <w:start w:w="110" w:type="dxa"/>
              <w:bottom w:w="90" w:type="dxa"/>
              <w:end w:w="110" w:type="dxa"/>
            </w:tcMar>
          </w:tcPr>
          <w:p>
            <w:pPr>
              <w:spacing w:after="0"/>
            </w:pPr>
            <w:r>
              <w:t>Wikipedia и общие пересказы не включены ни как access source, ни как evidence source. Кандидаты без достаточного подтверждения вынесены в gaps или не приняты.</w:t>
            </w:r>
          </w:p>
        </w:tc>
      </w:tr>
    </w:tbl>
    <w:p>
      <w:r>
        <w:rPr>
          <w:b/>
        </w:rPr>
        <w:t xml:space="preserve">Метод. </w:t>
      </w:r>
      <w:r>
        <w:t>Сначала из DR был извлечён центральный распределённый корпус, затем проведены три концентрических прохода: (1) прямые произведения и свидетели; (2) ранние входящие источники и жанровые предшественники; (3) поздние редакции, комментарии, переводы, канонические компиляции и цифровые инфраструктуры. Одна строка XLSX соответствует одному практически отличимому пути доступа к конкретному объекту, версии или свидетелю.</w:t>
      </w:r>
    </w:p>
    <w:p>
      <w:r>
        <w:rPr>
          <w:b/>
        </w:rPr>
        <w:t xml:space="preserve">Правовая дисциплина. </w:t>
      </w:r>
      <w:r>
        <w:t>Для каждой записи разнесены права на древнее произведение, современную редакцию/перевод, конкретный цифровой объект и условия платформы. Кнопка Download не трактовалась как разрешение зеркалировать; положительные теги ToS ограничены полями rights_scope и coverage.</w:t>
      </w:r>
    </w:p>
    <w:p>
      <w:pPr>
        <w:pStyle w:val="Heading1"/>
      </w:pPr>
      <w:r>
        <w:t>2. Охват корпуса</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4819"/>
            <w:shd w:fill="17365D"/>
            <w:tcMar>
              <w:top w:w="90" w:type="dxa"/>
              <w:start w:w="110" w:type="dxa"/>
              <w:bottom w:w="90" w:type="dxa"/>
              <w:end w:w="110" w:type="dxa"/>
            </w:tcMar>
          </w:tcPr>
          <w:p>
            <w:pPr>
              <w:jc w:val="center"/>
            </w:pPr>
            <w:r>
              <w:rPr>
                <w:b/>
                <w:color w:val="FFFFFF"/>
                <w:sz w:val="18"/>
              </w:rPr>
              <w:t>Показатель</w:t>
            </w:r>
          </w:p>
        </w:tc>
        <w:tc>
          <w:tcPr>
            <w:tcW w:type="dxa" w:w="3969"/>
            <w:shd w:fill="17365D"/>
            <w:tcMar>
              <w:top w:w="90" w:type="dxa"/>
              <w:start w:w="110" w:type="dxa"/>
              <w:bottom w:w="90" w:type="dxa"/>
              <w:end w:w="110" w:type="dxa"/>
            </w:tcMar>
          </w:tcPr>
          <w:p>
            <w:pPr>
              <w:jc w:val="center"/>
            </w:pPr>
            <w:r>
              <w:rPr>
                <w:b/>
                <w:color w:val="FFFFFF"/>
                <w:sz w:val="18"/>
              </w:rPr>
              <w:t>Текущий результат</w:t>
            </w:r>
          </w:p>
        </w:tc>
      </w:tr>
      <w:tr>
        <w:trPr>
          <w:cantSplit/>
        </w:trPr>
        <w:tc>
          <w:tcPr>
            <w:tcW w:type="dxa" w:w="4819"/>
            <w:tcMar>
              <w:top w:w="90" w:type="dxa"/>
              <w:start w:w="110" w:type="dxa"/>
              <w:bottom w:w="90" w:type="dxa"/>
              <w:end w:w="110" w:type="dxa"/>
            </w:tcMar>
            <w:vAlign w:val="top"/>
          </w:tcPr>
          <w:p>
            <w:pPr>
              <w:spacing w:after="0"/>
            </w:pPr>
            <w:r>
              <w:rPr>
                <w:sz w:val="17"/>
              </w:rPr>
              <w:t>Практически различимые пути доступа</w:t>
            </w:r>
          </w:p>
        </w:tc>
        <w:tc>
          <w:tcPr>
            <w:tcW w:type="dxa" w:w="3969"/>
            <w:tcMar>
              <w:top w:w="90" w:type="dxa"/>
              <w:start w:w="110" w:type="dxa"/>
              <w:bottom w:w="90" w:type="dxa"/>
              <w:end w:w="110" w:type="dxa"/>
            </w:tcMar>
            <w:vAlign w:val="top"/>
          </w:tcPr>
          <w:p>
            <w:pPr>
              <w:spacing w:after="0"/>
            </w:pPr>
            <w:r>
              <w:rPr>
                <w:sz w:val="17"/>
              </w:rPr>
              <w:t>112</w:t>
            </w:r>
          </w:p>
        </w:tc>
      </w:tr>
      <w:tr>
        <w:trPr>
          <w:cantSplit/>
        </w:trPr>
        <w:tc>
          <w:tcPr>
            <w:tcW w:type="dxa" w:w="4819"/>
            <w:shd w:fill="F4F8FB"/>
            <w:tcMar>
              <w:top w:w="90" w:type="dxa"/>
              <w:start w:w="110" w:type="dxa"/>
              <w:bottom w:w="90" w:type="dxa"/>
              <w:end w:w="110" w:type="dxa"/>
            </w:tcMar>
            <w:vAlign w:val="top"/>
          </w:tcPr>
          <w:p>
            <w:pPr>
              <w:spacing w:after="0"/>
            </w:pPr>
            <w:r>
              <w:rPr>
                <w:sz w:val="17"/>
              </w:rPr>
              <w:t>Корпусные/объектные семьи</w:t>
            </w:r>
          </w:p>
        </w:tc>
        <w:tc>
          <w:tcPr>
            <w:tcW w:type="dxa" w:w="3969"/>
            <w:shd w:fill="F4F8FB"/>
            <w:tcMar>
              <w:top w:w="90" w:type="dxa"/>
              <w:start w:w="110" w:type="dxa"/>
              <w:bottom w:w="90" w:type="dxa"/>
              <w:end w:w="110" w:type="dxa"/>
            </w:tcMar>
            <w:vAlign w:val="top"/>
          </w:tcPr>
          <w:p>
            <w:pPr>
              <w:spacing w:after="0"/>
            </w:pPr>
            <w:r>
              <w:rPr>
                <w:sz w:val="17"/>
              </w:rPr>
              <w:t>41</w:t>
            </w:r>
          </w:p>
        </w:tc>
      </w:tr>
      <w:tr>
        <w:trPr>
          <w:cantSplit/>
        </w:trPr>
        <w:tc>
          <w:tcPr>
            <w:tcW w:type="dxa" w:w="4819"/>
            <w:tcMar>
              <w:top w:w="90" w:type="dxa"/>
              <w:start w:w="110" w:type="dxa"/>
              <w:bottom w:w="90" w:type="dxa"/>
              <w:end w:w="110" w:type="dxa"/>
            </w:tcMar>
            <w:vAlign w:val="top"/>
          </w:tcPr>
          <w:p>
            <w:pPr>
              <w:spacing w:after="0"/>
            </w:pPr>
            <w:r>
              <w:rPr>
                <w:sz w:val="17"/>
              </w:rPr>
              <w:t>Записи core</w:t>
            </w:r>
          </w:p>
        </w:tc>
        <w:tc>
          <w:tcPr>
            <w:tcW w:type="dxa" w:w="3969"/>
            <w:tcMar>
              <w:top w:w="90" w:type="dxa"/>
              <w:start w:w="110" w:type="dxa"/>
              <w:bottom w:w="90" w:type="dxa"/>
              <w:end w:w="110" w:type="dxa"/>
            </w:tcMar>
            <w:vAlign w:val="top"/>
          </w:tcPr>
          <w:p>
            <w:pPr>
              <w:spacing w:after="0"/>
            </w:pPr>
            <w:r>
              <w:rPr>
                <w:sz w:val="17"/>
              </w:rPr>
              <w:t>28</w:t>
            </w:r>
          </w:p>
        </w:tc>
      </w:tr>
      <w:tr>
        <w:trPr>
          <w:cantSplit/>
        </w:trPr>
        <w:tc>
          <w:tcPr>
            <w:tcW w:type="dxa" w:w="4819"/>
            <w:shd w:fill="F4F8FB"/>
            <w:tcMar>
              <w:top w:w="90" w:type="dxa"/>
              <w:start w:w="110" w:type="dxa"/>
              <w:bottom w:w="90" w:type="dxa"/>
              <w:end w:w="110" w:type="dxa"/>
            </w:tcMar>
            <w:vAlign w:val="top"/>
          </w:tcPr>
          <w:p>
            <w:pPr>
              <w:spacing w:after="0"/>
            </w:pPr>
            <w:r>
              <w:rPr>
                <w:sz w:val="17"/>
              </w:rPr>
              <w:t>Antecedent-пути</w:t>
            </w:r>
          </w:p>
        </w:tc>
        <w:tc>
          <w:tcPr>
            <w:tcW w:type="dxa" w:w="3969"/>
            <w:shd w:fill="F4F8FB"/>
            <w:tcMar>
              <w:top w:w="90" w:type="dxa"/>
              <w:start w:w="110" w:type="dxa"/>
              <w:bottom w:w="90" w:type="dxa"/>
              <w:end w:w="110" w:type="dxa"/>
            </w:tcMar>
            <w:vAlign w:val="top"/>
          </w:tcPr>
          <w:p>
            <w:pPr>
              <w:spacing w:after="0"/>
            </w:pPr>
            <w:r>
              <w:rPr>
                <w:sz w:val="17"/>
              </w:rPr>
              <w:t>5</w:t>
            </w:r>
          </w:p>
        </w:tc>
      </w:tr>
      <w:tr>
        <w:trPr>
          <w:cantSplit/>
        </w:trPr>
        <w:tc>
          <w:tcPr>
            <w:tcW w:type="dxa" w:w="4819"/>
            <w:tcMar>
              <w:top w:w="90" w:type="dxa"/>
              <w:start w:w="110" w:type="dxa"/>
              <w:bottom w:w="90" w:type="dxa"/>
              <w:end w:w="110" w:type="dxa"/>
            </w:tcMar>
            <w:vAlign w:val="top"/>
          </w:tcPr>
          <w:p>
            <w:pPr>
              <w:spacing w:after="0"/>
            </w:pPr>
            <w:r>
              <w:rPr>
                <w:sz w:val="17"/>
              </w:rPr>
              <w:t>Continuation-пути</w:t>
            </w:r>
          </w:p>
        </w:tc>
        <w:tc>
          <w:tcPr>
            <w:tcW w:type="dxa" w:w="3969"/>
            <w:tcMar>
              <w:top w:w="90" w:type="dxa"/>
              <w:start w:w="110" w:type="dxa"/>
              <w:bottom w:w="90" w:type="dxa"/>
              <w:end w:w="110" w:type="dxa"/>
            </w:tcMar>
            <w:vAlign w:val="top"/>
          </w:tcPr>
          <w:p>
            <w:pPr>
              <w:spacing w:after="0"/>
            </w:pPr>
            <w:r>
              <w:rPr>
                <w:sz w:val="17"/>
              </w:rPr>
              <w:t>11</w:t>
            </w:r>
          </w:p>
        </w:tc>
      </w:tr>
      <w:tr>
        <w:trPr>
          <w:cantSplit/>
        </w:trPr>
        <w:tc>
          <w:tcPr>
            <w:tcW w:type="dxa" w:w="4819"/>
            <w:shd w:fill="F4F8FB"/>
            <w:tcMar>
              <w:top w:w="90" w:type="dxa"/>
              <w:start w:w="110" w:type="dxa"/>
              <w:bottom w:w="90" w:type="dxa"/>
              <w:end w:w="110" w:type="dxa"/>
            </w:tcMar>
            <w:vAlign w:val="top"/>
          </w:tcPr>
          <w:p>
            <w:pPr>
              <w:spacing w:after="0"/>
            </w:pPr>
            <w:r>
              <w:rPr>
                <w:sz w:val="17"/>
              </w:rPr>
              <w:t>Commentary/reception-пути</w:t>
            </w:r>
          </w:p>
        </w:tc>
        <w:tc>
          <w:tcPr>
            <w:tcW w:type="dxa" w:w="3969"/>
            <w:shd w:fill="F4F8FB"/>
            <w:tcMar>
              <w:top w:w="90" w:type="dxa"/>
              <w:start w:w="110" w:type="dxa"/>
              <w:bottom w:w="90" w:type="dxa"/>
              <w:end w:w="110" w:type="dxa"/>
            </w:tcMar>
            <w:vAlign w:val="top"/>
          </w:tcPr>
          <w:p>
            <w:pPr>
              <w:spacing w:after="0"/>
            </w:pPr>
            <w:r>
              <w:rPr>
                <w:sz w:val="17"/>
              </w:rPr>
              <w:t>10</w:t>
            </w:r>
          </w:p>
        </w:tc>
      </w:tr>
      <w:tr>
        <w:trPr>
          <w:cantSplit/>
        </w:trPr>
        <w:tc>
          <w:tcPr>
            <w:tcW w:type="dxa" w:w="4819"/>
            <w:tcMar>
              <w:top w:w="90" w:type="dxa"/>
              <w:start w:w="110" w:type="dxa"/>
              <w:bottom w:w="90" w:type="dxa"/>
              <w:end w:w="110" w:type="dxa"/>
            </w:tcMar>
            <w:vAlign w:val="top"/>
          </w:tcPr>
          <w:p>
            <w:pPr>
              <w:spacing w:after="0"/>
            </w:pPr>
            <w:r>
              <w:rPr>
                <w:sz w:val="17"/>
              </w:rPr>
              <w:t>Transmission/preservation-пути</w:t>
            </w:r>
          </w:p>
        </w:tc>
        <w:tc>
          <w:tcPr>
            <w:tcW w:type="dxa" w:w="3969"/>
            <w:tcMar>
              <w:top w:w="90" w:type="dxa"/>
              <w:start w:w="110" w:type="dxa"/>
              <w:bottom w:w="90" w:type="dxa"/>
              <w:end w:w="110" w:type="dxa"/>
            </w:tcMar>
            <w:vAlign w:val="top"/>
          </w:tcPr>
          <w:p>
            <w:pPr>
              <w:spacing w:after="0"/>
            </w:pPr>
            <w:r>
              <w:rPr>
                <w:sz w:val="17"/>
              </w:rPr>
              <w:t>27</w:t>
            </w:r>
          </w:p>
        </w:tc>
      </w:tr>
      <w:tr>
        <w:trPr>
          <w:cantSplit/>
        </w:trPr>
        <w:tc>
          <w:tcPr>
            <w:tcW w:type="dxa" w:w="4819"/>
            <w:shd w:fill="F4F8FB"/>
            <w:tcMar>
              <w:top w:w="90" w:type="dxa"/>
              <w:start w:w="110" w:type="dxa"/>
              <w:bottom w:w="90" w:type="dxa"/>
              <w:end w:w="110" w:type="dxa"/>
            </w:tcMar>
            <w:vAlign w:val="top"/>
          </w:tcPr>
          <w:p>
            <w:pPr>
              <w:spacing w:after="0"/>
            </w:pPr>
            <w:r>
              <w:rPr>
                <w:sz w:val="17"/>
              </w:rPr>
              <w:t>Инфраструктурные пути</w:t>
            </w:r>
          </w:p>
        </w:tc>
        <w:tc>
          <w:tcPr>
            <w:tcW w:type="dxa" w:w="3969"/>
            <w:shd w:fill="F4F8FB"/>
            <w:tcMar>
              <w:top w:w="90" w:type="dxa"/>
              <w:start w:w="110" w:type="dxa"/>
              <w:bottom w:w="90" w:type="dxa"/>
              <w:end w:w="110" w:type="dxa"/>
            </w:tcMar>
            <w:vAlign w:val="top"/>
          </w:tcPr>
          <w:p>
            <w:pPr>
              <w:spacing w:after="0"/>
            </w:pPr>
            <w:r>
              <w:rPr>
                <w:sz w:val="17"/>
              </w:rPr>
              <w:t>10</w:t>
            </w:r>
          </w:p>
        </w:tc>
      </w:tr>
      <w:tr>
        <w:trPr>
          <w:cantSplit/>
        </w:trPr>
        <w:tc>
          <w:tcPr>
            <w:tcW w:type="dxa" w:w="4819"/>
            <w:tcMar>
              <w:top w:w="90" w:type="dxa"/>
              <w:start w:w="110" w:type="dxa"/>
              <w:bottom w:w="90" w:type="dxa"/>
              <w:end w:w="110" w:type="dxa"/>
            </w:tcMar>
            <w:vAlign w:val="top"/>
          </w:tcPr>
          <w:p>
            <w:pPr>
              <w:spacing w:after="0"/>
            </w:pPr>
            <w:r>
              <w:rPr>
                <w:sz w:val="17"/>
              </w:rPr>
              <w:t>Зафиксированные gaps</w:t>
            </w:r>
          </w:p>
        </w:tc>
        <w:tc>
          <w:tcPr>
            <w:tcW w:type="dxa" w:w="3969"/>
            <w:tcMar>
              <w:top w:w="90" w:type="dxa"/>
              <w:start w:w="110" w:type="dxa"/>
              <w:bottom w:w="90" w:type="dxa"/>
              <w:end w:w="110" w:type="dxa"/>
            </w:tcMar>
            <w:vAlign w:val="top"/>
          </w:tcPr>
          <w:p>
            <w:pPr>
              <w:spacing w:after="0"/>
            </w:pPr>
            <w:r>
              <w:rPr>
                <w:sz w:val="17"/>
              </w:rPr>
              <w:t>17</w:t>
            </w:r>
          </w:p>
        </w:tc>
      </w:tr>
    </w:tbl>
    <w:p>
      <w:pPr>
        <w:pStyle w:val="Heading2"/>
      </w:pPr>
      <w:r>
        <w:t>2.1. Центральное ядро</w:t>
      </w:r>
    </w:p>
    <w:p>
      <w:r>
        <w:t>Реестр удерживает ядро A28 не как список «великих книг», а как систему работы с текстом: каталогизация, экдосис, критические знаки, лемматизированный комментарий, грамматическая норма и долгосрочная передача вариантов.</w:t>
      </w:r>
    </w:p>
    <w:p>
      <w:pPr>
        <w:pStyle w:val="ListBullet"/>
      </w:pPr>
      <w:r>
        <w:t>Pinakes и другие scholarly/reference works Каллимаха представлены через старые fragment editions, Scaife, Pfeiffer и современный Loeb. Полный исходный каталог утрачен.</w:t>
      </w:r>
    </w:p>
    <w:p>
      <w:pPr>
        <w:pStyle w:val="ListBullet"/>
      </w:pPr>
      <w:r>
        <w:t>Зенодот, Аристофан Византийский и Аристарх представлены через фрагменты, testimonia и рукописную передачу; Venetus A остаётся главным открытым witness-level резервуаром.</w:t>
      </w:r>
    </w:p>
    <w:p>
      <w:pPr>
        <w:pStyle w:val="ListBullet"/>
      </w:pPr>
      <w:r>
        <w:t>Viermännerkommentar — Aristonicus, Didymus, Herodian, Nicanor — выделен как отдельная линия сохранения аристарховой филологии внутри scholia.</w:t>
      </w:r>
    </w:p>
    <w:p>
      <w:pPr>
        <w:pStyle w:val="ListBullet"/>
      </w:pPr>
      <w:r>
        <w:t>Techne grammatike, Трифон, Аполлоний Дискол и Геродиан образуют переход от александрийской лексикографии/редакции к систематической грамматике.</w:t>
      </w:r>
    </w:p>
    <w:p>
      <w:pPr>
        <w:pStyle w:val="ListBullet"/>
      </w:pPr>
      <w:r>
        <w:t>Papyrus P 9780 и DCLP-папирусы показывают комментарий и лексикографию в материальном, не только византийском слое.</w:t>
      </w:r>
    </w:p>
    <w:p>
      <w:pPr>
        <w:pStyle w:val="Heading2"/>
      </w:pPr>
      <w:r>
        <w:t>2.2. Что было добавлено веб-поиском</w:t>
      </w:r>
    </w:p>
    <w:p>
      <w:r>
        <w:t>Поиск существенно расширил DR в сторону item-level доступа и лицензий. Были добавлены: открытые TEI/XML-редакции Open Greek and Latin; HMT CEX/IIIF-слои; DCLP и Papyri.info data repository; Trismegistos Data Services; item-level фотография P 9780 в SMB; DigiVatLib Vat.gr.305; старые scan editions Villoison/Dindorf/Uhlig/Lentz/Field; современные защищённые издания Erbse, Slater, Schironi, Lallot, Householder и др.</w:t>
      </w:r>
    </w:p>
    <w:p>
      <w:pPr>
        <w:pStyle w:val="Heading2"/>
      </w:pPr>
      <w:r>
        <w:t>2.3. Поиск назад во времени</w:t>
      </w:r>
    </w:p>
    <w:p>
      <w:r>
        <w:rPr>
          <w:b/>
        </w:rPr>
        <w:t xml:space="preserve">Philitas of Cos. </w:t>
      </w:r>
      <w:r>
        <w:t>Его poetical and grammatical fragments включены как прямой лексикографический antecedent; доступны старые public-domain издания и современный критический Brill.</w:t>
      </w:r>
    </w:p>
    <w:p>
      <w:r>
        <w:rPr>
          <w:b/>
        </w:rPr>
        <w:t xml:space="preserve">Homeric base text. </w:t>
      </w:r>
      <w:r>
        <w:t>Илиада и Одиссея включены не как «общая греческая литература», а как конкретный объект, относительно которого возникают варианты, знаки, lemmata и комментарии.</w:t>
      </w:r>
    </w:p>
    <w:p>
      <w:r>
        <w:rPr>
          <w:b/>
        </w:rPr>
        <w:t xml:space="preserve">Peripatetic literary analysis. </w:t>
      </w:r>
      <w:r>
        <w:t>Aristotle’s Poetics включена как конкретный ранний пример жанровой классификации и аналитического обращения с поэтическим текстом. Утраченные Homeric Problems и Didascaliae оставлены в gaps до нахождения надёжного fragment corpus.</w:t>
      </w:r>
    </w:p>
    <w:p>
      <w:pPr>
        <w:pStyle w:val="Heading2"/>
      </w:pPr>
      <w:r>
        <w:t>2.4. Поиск вперёд во времени</w:t>
      </w:r>
    </w:p>
    <w:p>
      <w:pPr>
        <w:pStyle w:val="ListBullet"/>
      </w:pPr>
      <w:r>
        <w:rPr>
          <w:b/>
        </w:rPr>
        <w:t xml:space="preserve">Аполлоний Дискол и Геродиан [continuation]. </w:t>
      </w:r>
      <w:r>
        <w:t>превращают раннюю норму, аналогию и просодию в систематическую grammatical theory; доступны Scaife/OGL и старые издания.</w:t>
      </w:r>
    </w:p>
    <w:p>
      <w:pPr>
        <w:pStyle w:val="ListBullet"/>
      </w:pPr>
      <w:r>
        <w:rPr>
          <w:b/>
        </w:rPr>
        <w:t xml:space="preserve">Порфирий [commentary_or_reception]. </w:t>
      </w:r>
      <w:r>
        <w:t>его Homeric Questions сохраняют и переорганизуют более раннюю экзегезу; доступны открытые OGL TEI и Vat.gr.305.</w:t>
      </w:r>
    </w:p>
    <w:p>
      <w:pPr>
        <w:pStyle w:val="ListBullet"/>
      </w:pPr>
      <w:r>
        <w:rPr>
          <w:b/>
        </w:rPr>
        <w:t xml:space="preserve">Eustathius of Thessalonica [transmission_or_preservation]. </w:t>
      </w:r>
      <w:r>
        <w:t>масштабно компилирует древнюю Homeric scholarship; доступны старые full-view тома и современная Brill-серия.</w:t>
      </w:r>
    </w:p>
    <w:p>
      <w:pPr>
        <w:pStyle w:val="ListBullet"/>
      </w:pPr>
      <w:r>
        <w:rPr>
          <w:b/>
        </w:rPr>
        <w:t xml:space="preserve">Suda, Etymologicum Magnum, Hesychius [transmission_or_preservation]. </w:t>
      </w:r>
      <w:r>
        <w:t>сохраняют биографические testimonia, glosses и фрагменты александрийских грамматиков.</w:t>
      </w:r>
    </w:p>
    <w:p>
      <w:pPr>
        <w:pStyle w:val="ListBullet"/>
      </w:pPr>
      <w:r>
        <w:rPr>
          <w:b/>
        </w:rPr>
        <w:t xml:space="preserve">Origen’s Hexapla [commentary_or_reception]. </w:t>
      </w:r>
      <w:r>
        <w:t>переносит систему критических знаков в библейскую текстуальную критику; доступны public-domain тома Field и современная инфраструктура Hexapla Institute.</w:t>
      </w:r>
    </w:p>
    <w:p>
      <w:pPr>
        <w:pStyle w:val="ListBullet"/>
      </w:pPr>
      <w:r>
        <w:rPr>
          <w:b/>
        </w:rPr>
        <w:t xml:space="preserve">Donatus and Priscian [continuation]. </w:t>
      </w:r>
      <w:r>
        <w:t>показывают латинскую институционализацию grammatica; включены как конкретная линия рецепции Techne, а не как общая история латинского образования.</w:t>
      </w:r>
    </w:p>
    <w:p>
      <w:pPr>
        <w:pStyle w:val="Heading2"/>
      </w:pPr>
      <w:r>
        <w:t>2.5. Роли и границы</w:t>
      </w:r>
    </w:p>
    <w:p>
      <w:r>
        <w:t>Главный реестр остаётся сосредоточенным на первичных текстах, свидетелях, изданиях и цифровых объектах. Secondary navigation включена только там, где без неё трудно идентифицировать утраченное произведение, shelfmark, fragment edition или линию передачи. Объекты вне III–I вв. до н.э. включены только при конкретной связи: preservation of fragments, same grammatical school, commentary line, translation, canonization or digital access.</w:t>
      </w:r>
    </w:p>
    <w:p>
      <w:pPr>
        <w:pStyle w:val="Heading1"/>
      </w:pPr>
      <w:r>
        <w:t>3. Лучшие пути доступа</w:t>
      </w:r>
    </w:p>
    <w:p>
      <w:r>
        <w:t>Ниже сгруппированы лучшие маршруты; полный item-level набор находится в XLSX. «Лучший» означает не всегда «самый свободный»: modern protected edition может быть научно сильнее открытого старого издания.</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1814"/>
            <w:shd w:fill="17365D"/>
            <w:tcMar>
              <w:top w:w="90" w:type="dxa"/>
              <w:start w:w="110" w:type="dxa"/>
              <w:bottom w:w="90" w:type="dxa"/>
              <w:end w:w="110" w:type="dxa"/>
            </w:tcMar>
          </w:tcPr>
          <w:p>
            <w:pPr>
              <w:jc w:val="center"/>
            </w:pPr>
            <w:r>
              <w:rPr>
                <w:b/>
                <w:color w:val="FFFFFF"/>
                <w:sz w:val="18"/>
              </w:rPr>
              <w:t>Объект</w:t>
            </w:r>
          </w:p>
        </w:tc>
        <w:tc>
          <w:tcPr>
            <w:tcW w:type="dxa" w:w="1871"/>
            <w:shd w:fill="17365D"/>
            <w:tcMar>
              <w:top w:w="90" w:type="dxa"/>
              <w:start w:w="110" w:type="dxa"/>
              <w:bottom w:w="90" w:type="dxa"/>
              <w:end w:w="110" w:type="dxa"/>
            </w:tcMar>
          </w:tcPr>
          <w:p>
            <w:pPr>
              <w:jc w:val="center"/>
            </w:pPr>
            <w:r>
              <w:rPr>
                <w:b/>
                <w:color w:val="FFFFFF"/>
                <w:sz w:val="18"/>
              </w:rPr>
              <w:t>Лучшее бесплатное чтение</w:t>
            </w:r>
          </w:p>
        </w:tc>
        <w:tc>
          <w:tcPr>
            <w:tcW w:type="dxa" w:w="2041"/>
            <w:shd w:fill="17365D"/>
            <w:tcMar>
              <w:top w:w="90" w:type="dxa"/>
              <w:start w:w="110" w:type="dxa"/>
              <w:bottom w:w="90" w:type="dxa"/>
              <w:end w:w="110" w:type="dxa"/>
            </w:tcMar>
          </w:tcPr>
          <w:p>
            <w:pPr>
              <w:jc w:val="center"/>
            </w:pPr>
            <w:r>
              <w:rPr>
                <w:b/>
                <w:color w:val="FFFFFF"/>
                <w:sz w:val="18"/>
              </w:rPr>
              <w:t>Лучшее скачивание/оригинал</w:t>
            </w:r>
          </w:p>
        </w:tc>
        <w:tc>
          <w:tcPr>
            <w:tcW w:type="dxa" w:w="2154"/>
            <w:shd w:fill="17365D"/>
            <w:tcMar>
              <w:top w:w="90" w:type="dxa"/>
              <w:start w:w="110" w:type="dxa"/>
              <w:bottom w:w="90" w:type="dxa"/>
              <w:end w:w="110" w:type="dxa"/>
            </w:tcMar>
          </w:tcPr>
          <w:p>
            <w:pPr>
              <w:jc w:val="center"/>
            </w:pPr>
            <w:r>
              <w:rPr>
                <w:b/>
                <w:color w:val="FFFFFF"/>
                <w:sz w:val="18"/>
              </w:rPr>
              <w:t>Современный научный вариант</w:t>
            </w:r>
          </w:p>
        </w:tc>
        <w:tc>
          <w:tcPr>
            <w:tcW w:type="dxa" w:w="1757"/>
            <w:shd w:fill="17365D"/>
            <w:tcMar>
              <w:top w:w="90" w:type="dxa"/>
              <w:start w:w="110" w:type="dxa"/>
              <w:bottom w:w="90" w:type="dxa"/>
              <w:end w:w="110" w:type="dxa"/>
            </w:tcMar>
          </w:tcPr>
          <w:p>
            <w:pPr>
              <w:jc w:val="center"/>
            </w:pPr>
            <w:r>
              <w:rPr>
                <w:b/>
                <w:color w:val="FFFFFF"/>
                <w:sz w:val="18"/>
              </w:rPr>
              <w:t>Свободнейший слой</w:t>
            </w:r>
          </w:p>
        </w:tc>
      </w:tr>
      <w:tr>
        <w:trPr>
          <w:cantSplit/>
        </w:trPr>
        <w:tc>
          <w:tcPr>
            <w:tcW w:type="dxa" w:w="1814"/>
            <w:tcMar>
              <w:top w:w="90" w:type="dxa"/>
              <w:start w:w="110" w:type="dxa"/>
              <w:bottom w:w="90" w:type="dxa"/>
              <w:end w:w="110" w:type="dxa"/>
            </w:tcMar>
            <w:vAlign w:val="top"/>
          </w:tcPr>
          <w:p>
            <w:pPr>
              <w:spacing w:after="0"/>
            </w:pPr>
            <w:r>
              <w:rPr>
                <w:sz w:val="17"/>
              </w:rPr>
              <w:t>Homeric scholia</w:t>
            </w:r>
          </w:p>
        </w:tc>
        <w:tc>
          <w:tcPr>
            <w:tcW w:type="dxa" w:w="1871"/>
            <w:tcMar>
              <w:top w:w="90" w:type="dxa"/>
              <w:start w:w="110" w:type="dxa"/>
              <w:bottom w:w="90" w:type="dxa"/>
              <w:end w:w="110" w:type="dxa"/>
            </w:tcMar>
            <w:vAlign w:val="top"/>
          </w:tcPr>
          <w:p>
            <w:pPr>
              <w:spacing w:after="0"/>
            </w:pPr>
            <w:r>
              <w:rPr>
                <w:sz w:val="17"/>
              </w:rPr>
              <w:t>Scaife (R006)</w:t>
            </w:r>
          </w:p>
        </w:tc>
        <w:tc>
          <w:tcPr>
            <w:tcW w:type="dxa" w:w="2041"/>
            <w:tcMar>
              <w:top w:w="90" w:type="dxa"/>
              <w:start w:w="110" w:type="dxa"/>
              <w:bottom w:w="90" w:type="dxa"/>
              <w:end w:w="110" w:type="dxa"/>
            </w:tcMar>
            <w:vAlign w:val="top"/>
          </w:tcPr>
          <w:p>
            <w:pPr>
              <w:spacing w:after="0"/>
            </w:pPr>
            <w:r>
              <w:rPr>
                <w:sz w:val="17"/>
              </w:rPr>
              <w:t>OGL TEI CC BY-SA (R007)</w:t>
            </w:r>
          </w:p>
        </w:tc>
        <w:tc>
          <w:tcPr>
            <w:tcW w:type="dxa" w:w="2154"/>
            <w:tcMar>
              <w:top w:w="90" w:type="dxa"/>
              <w:start w:w="110" w:type="dxa"/>
              <w:bottom w:w="90" w:type="dxa"/>
              <w:end w:w="110" w:type="dxa"/>
            </w:tcMar>
            <w:vAlign w:val="top"/>
          </w:tcPr>
          <w:p>
            <w:pPr>
              <w:spacing w:after="0"/>
            </w:pPr>
            <w:r>
              <w:rPr>
                <w:sz w:val="17"/>
              </w:rPr>
              <w:t>Erbse via HathiTrust (R074)</w:t>
            </w:r>
          </w:p>
        </w:tc>
        <w:tc>
          <w:tcPr>
            <w:tcW w:type="dxa" w:w="1757"/>
            <w:tcMar>
              <w:top w:w="90" w:type="dxa"/>
              <w:start w:w="110" w:type="dxa"/>
              <w:bottom w:w="90" w:type="dxa"/>
              <w:end w:w="110" w:type="dxa"/>
            </w:tcMar>
            <w:vAlign w:val="top"/>
          </w:tcPr>
          <w:p>
            <w:pPr>
              <w:spacing w:after="0"/>
            </w:pPr>
            <w:r>
              <w:rPr>
                <w:sz w:val="17"/>
              </w:rPr>
              <w:t>HMT + OGL</w:t>
            </w:r>
          </w:p>
        </w:tc>
      </w:tr>
      <w:tr>
        <w:trPr>
          <w:cantSplit/>
        </w:trPr>
        <w:tc>
          <w:tcPr>
            <w:tcW w:type="dxa" w:w="1814"/>
            <w:shd w:fill="F4F8FB"/>
            <w:tcMar>
              <w:top w:w="90" w:type="dxa"/>
              <w:start w:w="110" w:type="dxa"/>
              <w:bottom w:w="90" w:type="dxa"/>
              <w:end w:w="110" w:type="dxa"/>
            </w:tcMar>
            <w:vAlign w:val="top"/>
          </w:tcPr>
          <w:p>
            <w:pPr>
              <w:spacing w:after="0"/>
            </w:pPr>
            <w:r>
              <w:rPr>
                <w:sz w:val="17"/>
              </w:rPr>
              <w:t>Venetus A</w:t>
            </w:r>
          </w:p>
        </w:tc>
        <w:tc>
          <w:tcPr>
            <w:tcW w:type="dxa" w:w="1871"/>
            <w:shd w:fill="F4F8FB"/>
            <w:tcMar>
              <w:top w:w="90" w:type="dxa"/>
              <w:start w:w="110" w:type="dxa"/>
              <w:bottom w:w="90" w:type="dxa"/>
              <w:end w:w="110" w:type="dxa"/>
            </w:tcMar>
            <w:vAlign w:val="top"/>
          </w:tcPr>
          <w:p>
            <w:pPr>
              <w:spacing w:after="0"/>
            </w:pPr>
            <w:r>
              <w:rPr>
                <w:sz w:val="17"/>
              </w:rPr>
              <w:t>HMT witness page (R014)</w:t>
            </w:r>
          </w:p>
        </w:tc>
        <w:tc>
          <w:tcPr>
            <w:tcW w:type="dxa" w:w="2041"/>
            <w:shd w:fill="F4F8FB"/>
            <w:tcMar>
              <w:top w:w="90" w:type="dxa"/>
              <w:start w:w="110" w:type="dxa"/>
              <w:bottom w:w="90" w:type="dxa"/>
              <w:end w:w="110" w:type="dxa"/>
            </w:tcMar>
            <w:vAlign w:val="top"/>
          </w:tcPr>
          <w:p>
            <w:pPr>
              <w:spacing w:after="0"/>
            </w:pPr>
            <w:r>
              <w:rPr>
                <w:sz w:val="17"/>
              </w:rPr>
              <w:t>HMT transcription/data (R015); images (R016)</w:t>
            </w:r>
          </w:p>
        </w:tc>
        <w:tc>
          <w:tcPr>
            <w:tcW w:type="dxa" w:w="2154"/>
            <w:shd w:fill="F4F8FB"/>
            <w:tcMar>
              <w:top w:w="90" w:type="dxa"/>
              <w:start w:w="110" w:type="dxa"/>
              <w:bottom w:w="90" w:type="dxa"/>
              <w:end w:w="110" w:type="dxa"/>
            </w:tcMar>
            <w:vAlign w:val="top"/>
          </w:tcPr>
          <w:p>
            <w:pPr>
              <w:spacing w:after="0"/>
            </w:pPr>
            <w:r>
              <w:rPr>
                <w:sz w:val="17"/>
              </w:rPr>
              <w:t>HMT scholarly edition</w:t>
            </w:r>
          </w:p>
        </w:tc>
        <w:tc>
          <w:tcPr>
            <w:tcW w:type="dxa" w:w="1757"/>
            <w:shd w:fill="F4F8FB"/>
            <w:tcMar>
              <w:top w:w="90" w:type="dxa"/>
              <w:start w:w="110" w:type="dxa"/>
              <w:bottom w:w="90" w:type="dxa"/>
              <w:end w:w="110" w:type="dxa"/>
            </w:tcMar>
            <w:vAlign w:val="top"/>
          </w:tcPr>
          <w:p>
            <w:pPr>
              <w:spacing w:after="0"/>
            </w:pPr>
            <w:r>
              <w:rPr>
                <w:sz w:val="17"/>
              </w:rPr>
              <w:t>HMT NC-SA</w:t>
            </w:r>
          </w:p>
        </w:tc>
      </w:tr>
      <w:tr>
        <w:trPr>
          <w:cantSplit/>
        </w:trPr>
        <w:tc>
          <w:tcPr>
            <w:tcW w:type="dxa" w:w="1814"/>
            <w:tcMar>
              <w:top w:w="90" w:type="dxa"/>
              <w:start w:w="110" w:type="dxa"/>
              <w:bottom w:w="90" w:type="dxa"/>
              <w:end w:w="110" w:type="dxa"/>
            </w:tcMar>
            <w:vAlign w:val="top"/>
          </w:tcPr>
          <w:p>
            <w:pPr>
              <w:spacing w:after="0"/>
            </w:pPr>
            <w:r>
              <w:rPr>
                <w:sz w:val="17"/>
              </w:rPr>
              <w:t>Pinakes / Callimachus</w:t>
            </w:r>
          </w:p>
        </w:tc>
        <w:tc>
          <w:tcPr>
            <w:tcW w:type="dxa" w:w="1871"/>
            <w:tcMar>
              <w:top w:w="90" w:type="dxa"/>
              <w:start w:w="110" w:type="dxa"/>
              <w:bottom w:w="90" w:type="dxa"/>
              <w:end w:w="110" w:type="dxa"/>
            </w:tcMar>
            <w:vAlign w:val="top"/>
          </w:tcPr>
          <w:p>
            <w:pPr>
              <w:spacing w:after="0"/>
            </w:pPr>
            <w:r>
              <w:rPr>
                <w:sz w:val="17"/>
              </w:rPr>
              <w:t>Scaife fragments (R034)</w:t>
            </w:r>
          </w:p>
        </w:tc>
        <w:tc>
          <w:tcPr>
            <w:tcW w:type="dxa" w:w="2041"/>
            <w:tcMar>
              <w:top w:w="90" w:type="dxa"/>
              <w:start w:w="110" w:type="dxa"/>
              <w:bottom w:w="90" w:type="dxa"/>
              <w:end w:w="110" w:type="dxa"/>
            </w:tcMar>
            <w:vAlign w:val="top"/>
          </w:tcPr>
          <w:p>
            <w:pPr>
              <w:spacing w:after="0"/>
            </w:pPr>
            <w:r>
              <w:rPr>
                <w:sz w:val="17"/>
              </w:rPr>
              <w:t>Callimachea IA PDM (R032)</w:t>
            </w:r>
          </w:p>
        </w:tc>
        <w:tc>
          <w:tcPr>
            <w:tcW w:type="dxa" w:w="2154"/>
            <w:tcMar>
              <w:top w:w="90" w:type="dxa"/>
              <w:start w:w="110" w:type="dxa"/>
              <w:bottom w:w="90" w:type="dxa"/>
              <w:end w:w="110" w:type="dxa"/>
            </w:tcMar>
            <w:vAlign w:val="top"/>
          </w:tcPr>
          <w:p>
            <w:pPr>
              <w:spacing w:after="0"/>
            </w:pPr>
            <w:r>
              <w:rPr>
                <w:sz w:val="17"/>
              </w:rPr>
              <w:t>Pfeiffer OUP / Loeb 550 (R035–R036)</w:t>
            </w:r>
          </w:p>
        </w:tc>
        <w:tc>
          <w:tcPr>
            <w:tcW w:type="dxa" w:w="1757"/>
            <w:tcMar>
              <w:top w:w="90" w:type="dxa"/>
              <w:start w:w="110" w:type="dxa"/>
              <w:bottom w:w="90" w:type="dxa"/>
              <w:end w:w="110" w:type="dxa"/>
            </w:tcMar>
            <w:vAlign w:val="top"/>
          </w:tcPr>
          <w:p>
            <w:pPr>
              <w:spacing w:after="0"/>
            </w:pPr>
            <w:r>
              <w:rPr>
                <w:sz w:val="17"/>
              </w:rPr>
              <w:t>Old scan / Scaife</w:t>
            </w:r>
          </w:p>
        </w:tc>
      </w:tr>
      <w:tr>
        <w:trPr>
          <w:cantSplit/>
        </w:trPr>
        <w:tc>
          <w:tcPr>
            <w:tcW w:type="dxa" w:w="1814"/>
            <w:shd w:fill="F4F8FB"/>
            <w:tcMar>
              <w:top w:w="90" w:type="dxa"/>
              <w:start w:w="110" w:type="dxa"/>
              <w:bottom w:w="90" w:type="dxa"/>
              <w:end w:w="110" w:type="dxa"/>
            </w:tcMar>
            <w:vAlign w:val="top"/>
          </w:tcPr>
          <w:p>
            <w:pPr>
              <w:spacing w:after="0"/>
            </w:pPr>
            <w:r>
              <w:rPr>
                <w:sz w:val="17"/>
              </w:rPr>
              <w:t>Zenodotus</w:t>
            </w:r>
          </w:p>
        </w:tc>
        <w:tc>
          <w:tcPr>
            <w:tcW w:type="dxa" w:w="1871"/>
            <w:shd w:fill="F4F8FB"/>
            <w:tcMar>
              <w:top w:w="90" w:type="dxa"/>
              <w:start w:w="110" w:type="dxa"/>
              <w:bottom w:w="90" w:type="dxa"/>
              <w:end w:w="110" w:type="dxa"/>
            </w:tcMar>
            <w:vAlign w:val="top"/>
          </w:tcPr>
          <w:p>
            <w:pPr>
              <w:spacing w:after="0"/>
            </w:pPr>
            <w:r>
              <w:rPr>
                <w:sz w:val="17"/>
              </w:rPr>
              <w:t>HMT fragments (R042)</w:t>
            </w:r>
          </w:p>
        </w:tc>
        <w:tc>
          <w:tcPr>
            <w:tcW w:type="dxa" w:w="2041"/>
            <w:shd w:fill="F4F8FB"/>
            <w:tcMar>
              <w:top w:w="90" w:type="dxa"/>
              <w:start w:w="110" w:type="dxa"/>
              <w:bottom w:w="90" w:type="dxa"/>
              <w:end w:w="110" w:type="dxa"/>
            </w:tcMar>
            <w:vAlign w:val="top"/>
          </w:tcPr>
          <w:p>
            <w:pPr>
              <w:spacing w:after="0"/>
            </w:pPr>
            <w:r>
              <w:rPr>
                <w:sz w:val="17"/>
              </w:rPr>
              <w:t>HMT archive</w:t>
            </w:r>
          </w:p>
        </w:tc>
        <w:tc>
          <w:tcPr>
            <w:tcW w:type="dxa" w:w="2154"/>
            <w:shd w:fill="F4F8FB"/>
            <w:tcMar>
              <w:top w:w="90" w:type="dxa"/>
              <w:start w:w="110" w:type="dxa"/>
              <w:bottom w:w="90" w:type="dxa"/>
              <w:end w:w="110" w:type="dxa"/>
            </w:tcMar>
            <w:vAlign w:val="top"/>
          </w:tcPr>
          <w:p>
            <w:pPr>
              <w:spacing w:after="0"/>
            </w:pPr>
            <w:r>
              <w:rPr>
                <w:sz w:val="17"/>
              </w:rPr>
              <w:t>Dedicated corpus not found</w:t>
            </w:r>
          </w:p>
        </w:tc>
        <w:tc>
          <w:tcPr>
            <w:tcW w:type="dxa" w:w="1757"/>
            <w:shd w:fill="F4F8FB"/>
            <w:tcMar>
              <w:top w:w="90" w:type="dxa"/>
              <w:start w:w="110" w:type="dxa"/>
              <w:bottom w:w="90" w:type="dxa"/>
              <w:end w:w="110" w:type="dxa"/>
            </w:tcMar>
            <w:vAlign w:val="top"/>
          </w:tcPr>
          <w:p>
            <w:pPr>
              <w:spacing w:after="0"/>
            </w:pPr>
            <w:r>
              <w:rPr>
                <w:sz w:val="17"/>
              </w:rPr>
              <w:t>HMT NC-SA, fragment only</w:t>
            </w:r>
          </w:p>
        </w:tc>
      </w:tr>
      <w:tr>
        <w:trPr>
          <w:cantSplit/>
        </w:trPr>
        <w:tc>
          <w:tcPr>
            <w:tcW w:type="dxa" w:w="1814"/>
            <w:tcMar>
              <w:top w:w="90" w:type="dxa"/>
              <w:start w:w="110" w:type="dxa"/>
              <w:bottom w:w="90" w:type="dxa"/>
              <w:end w:w="110" w:type="dxa"/>
            </w:tcMar>
            <w:vAlign w:val="top"/>
          </w:tcPr>
          <w:p>
            <w:pPr>
              <w:spacing w:after="0"/>
            </w:pPr>
            <w:r>
              <w:rPr>
                <w:sz w:val="17"/>
              </w:rPr>
              <w:t>Aristophanes Byzantinus</w:t>
            </w:r>
          </w:p>
        </w:tc>
        <w:tc>
          <w:tcPr>
            <w:tcW w:type="dxa" w:w="1871"/>
            <w:tcMar>
              <w:top w:w="90" w:type="dxa"/>
              <w:start w:w="110" w:type="dxa"/>
              <w:bottom w:w="90" w:type="dxa"/>
              <w:end w:w="110" w:type="dxa"/>
            </w:tcMar>
            <w:vAlign w:val="top"/>
          </w:tcPr>
          <w:p>
            <w:pPr>
              <w:spacing w:after="0"/>
            </w:pPr>
            <w:r>
              <w:rPr>
                <w:sz w:val="17"/>
              </w:rPr>
              <w:t>IA Nauck (R043)</w:t>
            </w:r>
          </w:p>
        </w:tc>
        <w:tc>
          <w:tcPr>
            <w:tcW w:type="dxa" w:w="2041"/>
            <w:tcMar>
              <w:top w:w="90" w:type="dxa"/>
              <w:start w:w="110" w:type="dxa"/>
              <w:bottom w:w="90" w:type="dxa"/>
              <w:end w:w="110" w:type="dxa"/>
            </w:tcMar>
            <w:vAlign w:val="top"/>
          </w:tcPr>
          <w:p>
            <w:pPr>
              <w:spacing w:after="0"/>
            </w:pPr>
            <w:r>
              <w:rPr>
                <w:sz w:val="17"/>
              </w:rPr>
              <w:t>IA/Google old edition</w:t>
            </w:r>
          </w:p>
        </w:tc>
        <w:tc>
          <w:tcPr>
            <w:tcW w:type="dxa" w:w="2154"/>
            <w:tcMar>
              <w:top w:w="90" w:type="dxa"/>
              <w:start w:w="110" w:type="dxa"/>
              <w:bottom w:w="90" w:type="dxa"/>
              <w:end w:w="110" w:type="dxa"/>
            </w:tcMar>
            <w:vAlign w:val="top"/>
          </w:tcPr>
          <w:p>
            <w:pPr>
              <w:spacing w:after="0"/>
            </w:pPr>
            <w:r>
              <w:rPr>
                <w:sz w:val="17"/>
              </w:rPr>
              <w:t>Slater De Gruyter (R045)</w:t>
            </w:r>
          </w:p>
        </w:tc>
        <w:tc>
          <w:tcPr>
            <w:tcW w:type="dxa" w:w="1757"/>
            <w:tcMar>
              <w:top w:w="90" w:type="dxa"/>
              <w:start w:w="110" w:type="dxa"/>
              <w:bottom w:w="90" w:type="dxa"/>
              <w:end w:w="110" w:type="dxa"/>
            </w:tcMar>
            <w:vAlign w:val="top"/>
          </w:tcPr>
          <w:p>
            <w:pPr>
              <w:spacing w:after="0"/>
            </w:pPr>
            <w:r>
              <w:rPr>
                <w:sz w:val="17"/>
              </w:rPr>
              <w:t>Old scan</w:t>
            </w:r>
          </w:p>
        </w:tc>
      </w:tr>
      <w:tr>
        <w:trPr>
          <w:cantSplit/>
        </w:trPr>
        <w:tc>
          <w:tcPr>
            <w:tcW w:type="dxa" w:w="1814"/>
            <w:shd w:fill="F4F8FB"/>
            <w:tcMar>
              <w:top w:w="90" w:type="dxa"/>
              <w:start w:w="110" w:type="dxa"/>
              <w:bottom w:w="90" w:type="dxa"/>
              <w:end w:w="110" w:type="dxa"/>
            </w:tcMar>
            <w:vAlign w:val="top"/>
          </w:tcPr>
          <w:p>
            <w:pPr>
              <w:spacing w:after="0"/>
            </w:pPr>
            <w:r>
              <w:rPr>
                <w:sz w:val="17"/>
              </w:rPr>
              <w:t>Aristarchus</w:t>
            </w:r>
          </w:p>
        </w:tc>
        <w:tc>
          <w:tcPr>
            <w:tcW w:type="dxa" w:w="1871"/>
            <w:shd w:fill="F4F8FB"/>
            <w:tcMar>
              <w:top w:w="90" w:type="dxa"/>
              <w:start w:w="110" w:type="dxa"/>
              <w:bottom w:w="90" w:type="dxa"/>
              <w:end w:w="110" w:type="dxa"/>
            </w:tcMar>
            <w:vAlign w:val="top"/>
          </w:tcPr>
          <w:p>
            <w:pPr>
              <w:spacing w:after="0"/>
            </w:pPr>
            <w:r>
              <w:rPr>
                <w:sz w:val="17"/>
              </w:rPr>
              <w:t>HMT scholia (R046)</w:t>
            </w:r>
          </w:p>
        </w:tc>
        <w:tc>
          <w:tcPr>
            <w:tcW w:type="dxa" w:w="2041"/>
            <w:shd w:fill="F4F8FB"/>
            <w:tcMar>
              <w:top w:w="90" w:type="dxa"/>
              <w:start w:w="110" w:type="dxa"/>
              <w:bottom w:w="90" w:type="dxa"/>
              <w:end w:w="110" w:type="dxa"/>
            </w:tcMar>
            <w:vAlign w:val="top"/>
          </w:tcPr>
          <w:p>
            <w:pPr>
              <w:spacing w:after="0"/>
            </w:pPr>
            <w:r>
              <w:rPr>
                <w:sz w:val="17"/>
              </w:rPr>
              <w:t>HMT data</w:t>
            </w:r>
          </w:p>
        </w:tc>
        <w:tc>
          <w:tcPr>
            <w:tcW w:type="dxa" w:w="2154"/>
            <w:shd w:fill="F4F8FB"/>
            <w:tcMar>
              <w:top w:w="90" w:type="dxa"/>
              <w:start w:w="110" w:type="dxa"/>
              <w:bottom w:w="90" w:type="dxa"/>
              <w:end w:w="110" w:type="dxa"/>
            </w:tcMar>
            <w:vAlign w:val="top"/>
          </w:tcPr>
          <w:p>
            <w:pPr>
              <w:spacing w:after="0"/>
            </w:pPr>
            <w:r>
              <w:rPr>
                <w:sz w:val="17"/>
              </w:rPr>
              <w:t>Schironi (R048)</w:t>
            </w:r>
          </w:p>
        </w:tc>
        <w:tc>
          <w:tcPr>
            <w:tcW w:type="dxa" w:w="1757"/>
            <w:shd w:fill="F4F8FB"/>
            <w:tcMar>
              <w:top w:w="90" w:type="dxa"/>
              <w:start w:w="110" w:type="dxa"/>
              <w:bottom w:w="90" w:type="dxa"/>
              <w:end w:w="110" w:type="dxa"/>
            </w:tcMar>
            <w:vAlign w:val="top"/>
          </w:tcPr>
          <w:p>
            <w:pPr>
              <w:spacing w:after="0"/>
            </w:pPr>
            <w:r>
              <w:rPr>
                <w:sz w:val="17"/>
              </w:rPr>
              <w:t>HMT NC-SA, fragment only</w:t>
            </w:r>
          </w:p>
        </w:tc>
      </w:tr>
      <w:tr>
        <w:trPr>
          <w:cantSplit/>
        </w:trPr>
        <w:tc>
          <w:tcPr>
            <w:tcW w:type="dxa" w:w="1814"/>
            <w:tcMar>
              <w:top w:w="90" w:type="dxa"/>
              <w:start w:w="110" w:type="dxa"/>
              <w:bottom w:w="90" w:type="dxa"/>
              <w:end w:w="110" w:type="dxa"/>
            </w:tcMar>
            <w:vAlign w:val="top"/>
          </w:tcPr>
          <w:p>
            <w:pPr>
              <w:spacing w:after="0"/>
            </w:pPr>
            <w:r>
              <w:rPr>
                <w:sz w:val="17"/>
              </w:rPr>
              <w:t>Didymus / P 9780</w:t>
            </w:r>
          </w:p>
        </w:tc>
        <w:tc>
          <w:tcPr>
            <w:tcW w:type="dxa" w:w="1871"/>
            <w:tcMar>
              <w:top w:w="90" w:type="dxa"/>
              <w:start w:w="110" w:type="dxa"/>
              <w:bottom w:w="90" w:type="dxa"/>
              <w:end w:w="110" w:type="dxa"/>
            </w:tcMar>
            <w:vAlign w:val="top"/>
          </w:tcPr>
          <w:p>
            <w:pPr>
              <w:spacing w:after="0"/>
            </w:pPr>
            <w:r>
              <w:rPr>
                <w:sz w:val="17"/>
              </w:rPr>
              <w:t>SMB + DCLP (R027–R029)</w:t>
            </w:r>
          </w:p>
        </w:tc>
        <w:tc>
          <w:tcPr>
            <w:tcW w:type="dxa" w:w="2041"/>
            <w:tcMar>
              <w:top w:w="90" w:type="dxa"/>
              <w:start w:w="110" w:type="dxa"/>
              <w:bottom w:w="90" w:type="dxa"/>
              <w:end w:w="110" w:type="dxa"/>
            </w:tcMar>
            <w:vAlign w:val="top"/>
          </w:tcPr>
          <w:p>
            <w:pPr>
              <w:spacing w:after="0"/>
            </w:pPr>
            <w:r>
              <w:rPr>
                <w:sz w:val="17"/>
              </w:rPr>
              <w:t>SMB photo CC BY-SA; DCLP data CC BY</w:t>
            </w:r>
          </w:p>
        </w:tc>
        <w:tc>
          <w:tcPr>
            <w:tcW w:type="dxa" w:w="2154"/>
            <w:tcMar>
              <w:top w:w="90" w:type="dxa"/>
              <w:start w:w="110" w:type="dxa"/>
              <w:bottom w:w="90" w:type="dxa"/>
              <w:end w:w="110" w:type="dxa"/>
            </w:tcMar>
            <w:vAlign w:val="top"/>
          </w:tcPr>
          <w:p>
            <w:pPr>
              <w:spacing w:after="0"/>
            </w:pPr>
            <w:r>
              <w:rPr>
                <w:sz w:val="17"/>
              </w:rPr>
              <w:t>Harding OUP (R031)</w:t>
            </w:r>
          </w:p>
        </w:tc>
        <w:tc>
          <w:tcPr>
            <w:tcW w:type="dxa" w:w="1757"/>
            <w:tcMar>
              <w:top w:w="90" w:type="dxa"/>
              <w:start w:w="110" w:type="dxa"/>
              <w:bottom w:w="90" w:type="dxa"/>
              <w:end w:w="110" w:type="dxa"/>
            </w:tcMar>
            <w:vAlign w:val="top"/>
          </w:tcPr>
          <w:p>
            <w:pPr>
              <w:spacing w:after="0"/>
            </w:pPr>
            <w:r>
              <w:rPr>
                <w:sz w:val="17"/>
              </w:rPr>
              <w:t>SMB/DCLP</w:t>
            </w:r>
          </w:p>
        </w:tc>
      </w:tr>
      <w:tr>
        <w:trPr>
          <w:cantSplit/>
        </w:trPr>
        <w:tc>
          <w:tcPr>
            <w:tcW w:type="dxa" w:w="1814"/>
            <w:shd w:fill="F4F8FB"/>
            <w:tcMar>
              <w:top w:w="90" w:type="dxa"/>
              <w:start w:w="110" w:type="dxa"/>
              <w:bottom w:w="90" w:type="dxa"/>
              <w:end w:w="110" w:type="dxa"/>
            </w:tcMar>
            <w:vAlign w:val="top"/>
          </w:tcPr>
          <w:p>
            <w:pPr>
              <w:spacing w:after="0"/>
            </w:pPr>
            <w:r>
              <w:rPr>
                <w:sz w:val="17"/>
              </w:rPr>
              <w:t>Techne grammatike</w:t>
            </w:r>
          </w:p>
        </w:tc>
        <w:tc>
          <w:tcPr>
            <w:tcW w:type="dxa" w:w="1871"/>
            <w:shd w:fill="F4F8FB"/>
            <w:tcMar>
              <w:top w:w="90" w:type="dxa"/>
              <w:start w:w="110" w:type="dxa"/>
              <w:bottom w:w="90" w:type="dxa"/>
              <w:end w:w="110" w:type="dxa"/>
            </w:tcMar>
            <w:vAlign w:val="top"/>
          </w:tcPr>
          <w:p>
            <w:pPr>
              <w:spacing w:after="0"/>
            </w:pPr>
            <w:r>
              <w:rPr>
                <w:sz w:val="17"/>
              </w:rPr>
              <w:t>Wikisource (R054)</w:t>
            </w:r>
          </w:p>
        </w:tc>
        <w:tc>
          <w:tcPr>
            <w:tcW w:type="dxa" w:w="2041"/>
            <w:shd w:fill="F4F8FB"/>
            <w:tcMar>
              <w:top w:w="90" w:type="dxa"/>
              <w:start w:w="110" w:type="dxa"/>
              <w:bottom w:w="90" w:type="dxa"/>
              <w:end w:w="110" w:type="dxa"/>
            </w:tcMar>
            <w:vAlign w:val="top"/>
          </w:tcPr>
          <w:p>
            <w:pPr>
              <w:spacing w:after="0"/>
            </w:pPr>
            <w:r>
              <w:rPr>
                <w:sz w:val="17"/>
              </w:rPr>
              <w:t>Commons PDM / Uhlig IA (R055, R057)</w:t>
            </w:r>
          </w:p>
        </w:tc>
        <w:tc>
          <w:tcPr>
            <w:tcW w:type="dxa" w:w="2154"/>
            <w:shd w:fill="F4F8FB"/>
            <w:tcMar>
              <w:top w:w="90" w:type="dxa"/>
              <w:start w:w="110" w:type="dxa"/>
              <w:bottom w:w="90" w:type="dxa"/>
              <w:end w:w="110" w:type="dxa"/>
            </w:tcMar>
            <w:vAlign w:val="top"/>
          </w:tcPr>
          <w:p>
            <w:pPr>
              <w:spacing w:after="0"/>
            </w:pPr>
            <w:r>
              <w:rPr>
                <w:sz w:val="17"/>
              </w:rPr>
              <w:t>Kemp; Lallot (R058–R059)</w:t>
            </w:r>
          </w:p>
        </w:tc>
        <w:tc>
          <w:tcPr>
            <w:tcW w:type="dxa" w:w="1757"/>
            <w:shd w:fill="F4F8FB"/>
            <w:tcMar>
              <w:top w:w="90" w:type="dxa"/>
              <w:start w:w="110" w:type="dxa"/>
              <w:bottom w:w="90" w:type="dxa"/>
              <w:end w:w="110" w:type="dxa"/>
            </w:tcMar>
            <w:vAlign w:val="top"/>
          </w:tcPr>
          <w:p>
            <w:pPr>
              <w:spacing w:after="0"/>
            </w:pPr>
            <w:r>
              <w:rPr>
                <w:sz w:val="17"/>
              </w:rPr>
              <w:t>Commons PDM / OGL-style old base</w:t>
            </w:r>
          </w:p>
        </w:tc>
      </w:tr>
      <w:tr>
        <w:trPr>
          <w:cantSplit/>
        </w:trPr>
        <w:tc>
          <w:tcPr>
            <w:tcW w:type="dxa" w:w="1814"/>
            <w:tcMar>
              <w:top w:w="90" w:type="dxa"/>
              <w:start w:w="110" w:type="dxa"/>
              <w:bottom w:w="90" w:type="dxa"/>
              <w:end w:w="110" w:type="dxa"/>
            </w:tcMar>
            <w:vAlign w:val="top"/>
          </w:tcPr>
          <w:p>
            <w:pPr>
              <w:spacing w:after="0"/>
            </w:pPr>
            <w:r>
              <w:rPr>
                <w:sz w:val="17"/>
              </w:rPr>
              <w:t>Tryphon</w:t>
            </w:r>
          </w:p>
        </w:tc>
        <w:tc>
          <w:tcPr>
            <w:tcW w:type="dxa" w:w="1871"/>
            <w:tcMar>
              <w:top w:w="90" w:type="dxa"/>
              <w:start w:w="110" w:type="dxa"/>
              <w:bottom w:w="90" w:type="dxa"/>
              <w:end w:w="110" w:type="dxa"/>
            </w:tcMar>
            <w:vAlign w:val="top"/>
          </w:tcPr>
          <w:p>
            <w:pPr>
              <w:spacing w:after="0"/>
            </w:pPr>
            <w:r>
              <w:rPr>
                <w:sz w:val="17"/>
              </w:rPr>
              <w:t>IA Velsen (R061)</w:t>
            </w:r>
          </w:p>
        </w:tc>
        <w:tc>
          <w:tcPr>
            <w:tcW w:type="dxa" w:w="2041"/>
            <w:tcMar>
              <w:top w:w="90" w:type="dxa"/>
              <w:start w:w="110" w:type="dxa"/>
              <w:bottom w:w="90" w:type="dxa"/>
              <w:end w:w="110" w:type="dxa"/>
            </w:tcMar>
            <w:vAlign w:val="top"/>
          </w:tcPr>
          <w:p>
            <w:pPr>
              <w:spacing w:after="0"/>
            </w:pPr>
            <w:r>
              <w:rPr>
                <w:sz w:val="17"/>
              </w:rPr>
              <w:t>IA PDF/OCR</w:t>
            </w:r>
          </w:p>
        </w:tc>
        <w:tc>
          <w:tcPr>
            <w:tcW w:type="dxa" w:w="2154"/>
            <w:tcMar>
              <w:top w:w="90" w:type="dxa"/>
              <w:start w:w="110" w:type="dxa"/>
              <w:bottom w:w="90" w:type="dxa"/>
              <w:end w:w="110" w:type="dxa"/>
            </w:tcMar>
            <w:vAlign w:val="top"/>
          </w:tcPr>
          <w:p>
            <w:pPr>
              <w:spacing w:after="0"/>
            </w:pPr>
            <w:r>
              <w:rPr>
                <w:sz w:val="17"/>
              </w:rPr>
              <w:t>Modern corpus gap</w:t>
            </w:r>
          </w:p>
        </w:tc>
        <w:tc>
          <w:tcPr>
            <w:tcW w:type="dxa" w:w="1757"/>
            <w:tcMar>
              <w:top w:w="90" w:type="dxa"/>
              <w:start w:w="110" w:type="dxa"/>
              <w:bottom w:w="90" w:type="dxa"/>
              <w:end w:w="110" w:type="dxa"/>
            </w:tcMar>
            <w:vAlign w:val="top"/>
          </w:tcPr>
          <w:p>
            <w:pPr>
              <w:spacing w:after="0"/>
            </w:pPr>
            <w:r>
              <w:rPr>
                <w:sz w:val="17"/>
              </w:rPr>
              <w:t>Old scan</w:t>
            </w:r>
          </w:p>
        </w:tc>
      </w:tr>
      <w:tr>
        <w:trPr>
          <w:cantSplit/>
        </w:trPr>
        <w:tc>
          <w:tcPr>
            <w:tcW w:type="dxa" w:w="1814"/>
            <w:shd w:fill="F4F8FB"/>
            <w:tcMar>
              <w:top w:w="90" w:type="dxa"/>
              <w:start w:w="110" w:type="dxa"/>
              <w:bottom w:w="90" w:type="dxa"/>
              <w:end w:w="110" w:type="dxa"/>
            </w:tcMar>
            <w:vAlign w:val="top"/>
          </w:tcPr>
          <w:p>
            <w:pPr>
              <w:spacing w:after="0"/>
            </w:pPr>
            <w:r>
              <w:rPr>
                <w:sz w:val="17"/>
              </w:rPr>
              <w:t>Apollonius Dyscolus</w:t>
            </w:r>
          </w:p>
        </w:tc>
        <w:tc>
          <w:tcPr>
            <w:tcW w:type="dxa" w:w="1871"/>
            <w:shd w:fill="F4F8FB"/>
            <w:tcMar>
              <w:top w:w="90" w:type="dxa"/>
              <w:start w:w="110" w:type="dxa"/>
              <w:bottom w:w="90" w:type="dxa"/>
              <w:end w:w="110" w:type="dxa"/>
            </w:tcMar>
            <w:vAlign w:val="top"/>
          </w:tcPr>
          <w:p>
            <w:pPr>
              <w:spacing w:after="0"/>
            </w:pPr>
            <w:r>
              <w:rPr>
                <w:sz w:val="17"/>
              </w:rPr>
              <w:t>Scaife (R078)</w:t>
            </w:r>
          </w:p>
        </w:tc>
        <w:tc>
          <w:tcPr>
            <w:tcW w:type="dxa" w:w="2041"/>
            <w:shd w:fill="F4F8FB"/>
            <w:tcMar>
              <w:top w:w="90" w:type="dxa"/>
              <w:start w:w="110" w:type="dxa"/>
              <w:bottom w:w="90" w:type="dxa"/>
              <w:end w:w="110" w:type="dxa"/>
            </w:tcMar>
            <w:vAlign w:val="top"/>
          </w:tcPr>
          <w:p>
            <w:pPr>
              <w:spacing w:after="0"/>
            </w:pPr>
            <w:r>
              <w:rPr>
                <w:sz w:val="17"/>
              </w:rPr>
              <w:t>OGL TEI (R079)</w:t>
            </w:r>
          </w:p>
        </w:tc>
        <w:tc>
          <w:tcPr>
            <w:tcW w:type="dxa" w:w="2154"/>
            <w:shd w:fill="F4F8FB"/>
            <w:tcMar>
              <w:top w:w="90" w:type="dxa"/>
              <w:start w:w="110" w:type="dxa"/>
              <w:bottom w:w="90" w:type="dxa"/>
              <w:end w:w="110" w:type="dxa"/>
            </w:tcMar>
            <w:vAlign w:val="top"/>
          </w:tcPr>
          <w:p>
            <w:pPr>
              <w:spacing w:after="0"/>
            </w:pPr>
            <w:r>
              <w:rPr>
                <w:sz w:val="17"/>
              </w:rPr>
              <w:t>Householder / Benjamins (R082–R083)</w:t>
            </w:r>
          </w:p>
        </w:tc>
        <w:tc>
          <w:tcPr>
            <w:tcW w:type="dxa" w:w="1757"/>
            <w:shd w:fill="F4F8FB"/>
            <w:tcMar>
              <w:top w:w="90" w:type="dxa"/>
              <w:start w:w="110" w:type="dxa"/>
              <w:bottom w:w="90" w:type="dxa"/>
              <w:end w:w="110" w:type="dxa"/>
            </w:tcMar>
            <w:vAlign w:val="top"/>
          </w:tcPr>
          <w:p>
            <w:pPr>
              <w:spacing w:after="0"/>
            </w:pPr>
            <w:r>
              <w:rPr>
                <w:sz w:val="17"/>
              </w:rPr>
              <w:t>OGL CC BY-SA</w:t>
            </w:r>
          </w:p>
        </w:tc>
      </w:tr>
      <w:tr>
        <w:trPr>
          <w:cantSplit/>
        </w:trPr>
        <w:tc>
          <w:tcPr>
            <w:tcW w:type="dxa" w:w="1814"/>
            <w:tcMar>
              <w:top w:w="90" w:type="dxa"/>
              <w:start w:w="110" w:type="dxa"/>
              <w:bottom w:w="90" w:type="dxa"/>
              <w:end w:w="110" w:type="dxa"/>
            </w:tcMar>
            <w:vAlign w:val="top"/>
          </w:tcPr>
          <w:p>
            <w:pPr>
              <w:spacing w:after="0"/>
            </w:pPr>
            <w:r>
              <w:rPr>
                <w:sz w:val="17"/>
              </w:rPr>
              <w:t>Herodian</w:t>
            </w:r>
          </w:p>
        </w:tc>
        <w:tc>
          <w:tcPr>
            <w:tcW w:type="dxa" w:w="1871"/>
            <w:tcMar>
              <w:top w:w="90" w:type="dxa"/>
              <w:start w:w="110" w:type="dxa"/>
              <w:bottom w:w="90" w:type="dxa"/>
              <w:end w:w="110" w:type="dxa"/>
            </w:tcMar>
            <w:vAlign w:val="top"/>
          </w:tcPr>
          <w:p>
            <w:pPr>
              <w:spacing w:after="0"/>
            </w:pPr>
            <w:r>
              <w:rPr>
                <w:sz w:val="17"/>
              </w:rPr>
              <w:t>Scaife (R084)</w:t>
            </w:r>
          </w:p>
        </w:tc>
        <w:tc>
          <w:tcPr>
            <w:tcW w:type="dxa" w:w="2041"/>
            <w:tcMar>
              <w:top w:w="90" w:type="dxa"/>
              <w:start w:w="110" w:type="dxa"/>
              <w:bottom w:w="90" w:type="dxa"/>
              <w:end w:w="110" w:type="dxa"/>
            </w:tcMar>
            <w:vAlign w:val="top"/>
          </w:tcPr>
          <w:p>
            <w:pPr>
              <w:spacing w:after="0"/>
            </w:pPr>
            <w:r>
              <w:rPr>
                <w:sz w:val="17"/>
              </w:rPr>
              <w:t>OGL TEI (R085)</w:t>
            </w:r>
          </w:p>
        </w:tc>
        <w:tc>
          <w:tcPr>
            <w:tcW w:type="dxa" w:w="2154"/>
            <w:tcMar>
              <w:top w:w="90" w:type="dxa"/>
              <w:start w:w="110" w:type="dxa"/>
              <w:bottom w:w="90" w:type="dxa"/>
              <w:end w:w="110" w:type="dxa"/>
            </w:tcMar>
            <w:vAlign w:val="top"/>
          </w:tcPr>
          <w:p>
            <w:pPr>
              <w:spacing w:after="0"/>
            </w:pPr>
            <w:r>
              <w:rPr>
                <w:sz w:val="17"/>
              </w:rPr>
              <w:t>Lentz old edition / later studies</w:t>
            </w:r>
          </w:p>
        </w:tc>
        <w:tc>
          <w:tcPr>
            <w:tcW w:type="dxa" w:w="1757"/>
            <w:tcMar>
              <w:top w:w="90" w:type="dxa"/>
              <w:start w:w="110" w:type="dxa"/>
              <w:bottom w:w="90" w:type="dxa"/>
              <w:end w:w="110" w:type="dxa"/>
            </w:tcMar>
            <w:vAlign w:val="top"/>
          </w:tcPr>
          <w:p>
            <w:pPr>
              <w:spacing w:after="0"/>
            </w:pPr>
            <w:r>
              <w:rPr>
                <w:sz w:val="17"/>
              </w:rPr>
              <w:t>OGL CC BY-SA</w:t>
            </w:r>
          </w:p>
        </w:tc>
      </w:tr>
      <w:tr>
        <w:trPr>
          <w:cantSplit/>
        </w:trPr>
        <w:tc>
          <w:tcPr>
            <w:tcW w:type="dxa" w:w="1814"/>
            <w:shd w:fill="F4F8FB"/>
            <w:tcMar>
              <w:top w:w="90" w:type="dxa"/>
              <w:start w:w="110" w:type="dxa"/>
              <w:bottom w:w="90" w:type="dxa"/>
              <w:end w:w="110" w:type="dxa"/>
            </w:tcMar>
            <w:vAlign w:val="top"/>
          </w:tcPr>
          <w:p>
            <w:pPr>
              <w:spacing w:after="0"/>
            </w:pPr>
            <w:r>
              <w:rPr>
                <w:sz w:val="17"/>
              </w:rPr>
              <w:t>Porphyry</w:t>
            </w:r>
          </w:p>
        </w:tc>
        <w:tc>
          <w:tcPr>
            <w:tcW w:type="dxa" w:w="1871"/>
            <w:shd w:fill="F4F8FB"/>
            <w:tcMar>
              <w:top w:w="90" w:type="dxa"/>
              <w:start w:w="110" w:type="dxa"/>
              <w:bottom w:w="90" w:type="dxa"/>
              <w:end w:w="110" w:type="dxa"/>
            </w:tcMar>
            <w:vAlign w:val="top"/>
          </w:tcPr>
          <w:p>
            <w:pPr>
              <w:spacing w:after="0"/>
            </w:pPr>
            <w:r>
              <w:rPr>
                <w:sz w:val="17"/>
              </w:rPr>
              <w:t>Scaife (R089)</w:t>
            </w:r>
          </w:p>
        </w:tc>
        <w:tc>
          <w:tcPr>
            <w:tcW w:type="dxa" w:w="2041"/>
            <w:shd w:fill="F4F8FB"/>
            <w:tcMar>
              <w:top w:w="90" w:type="dxa"/>
              <w:start w:w="110" w:type="dxa"/>
              <w:bottom w:w="90" w:type="dxa"/>
              <w:end w:w="110" w:type="dxa"/>
            </w:tcMar>
            <w:vAlign w:val="top"/>
          </w:tcPr>
          <w:p>
            <w:pPr>
              <w:spacing w:after="0"/>
            </w:pPr>
            <w:r>
              <w:rPr>
                <w:sz w:val="17"/>
              </w:rPr>
              <w:t>OGL TEI (R087–R088)</w:t>
            </w:r>
          </w:p>
        </w:tc>
        <w:tc>
          <w:tcPr>
            <w:tcW w:type="dxa" w:w="2154"/>
            <w:shd w:fill="F4F8FB"/>
            <w:tcMar>
              <w:top w:w="90" w:type="dxa"/>
              <w:start w:w="110" w:type="dxa"/>
              <w:bottom w:w="90" w:type="dxa"/>
              <w:end w:w="110" w:type="dxa"/>
            </w:tcMar>
            <w:vAlign w:val="top"/>
          </w:tcPr>
          <w:p>
            <w:pPr>
              <w:spacing w:after="0"/>
            </w:pPr>
            <w:r>
              <w:rPr>
                <w:sz w:val="17"/>
              </w:rPr>
              <w:t>MacPhail De Gruyter</w:t>
            </w:r>
          </w:p>
        </w:tc>
        <w:tc>
          <w:tcPr>
            <w:tcW w:type="dxa" w:w="1757"/>
            <w:shd w:fill="F4F8FB"/>
            <w:tcMar>
              <w:top w:w="90" w:type="dxa"/>
              <w:start w:w="110" w:type="dxa"/>
              <w:bottom w:w="90" w:type="dxa"/>
              <w:end w:w="110" w:type="dxa"/>
            </w:tcMar>
            <w:vAlign w:val="top"/>
          </w:tcPr>
          <w:p>
            <w:pPr>
              <w:spacing w:after="0"/>
            </w:pPr>
            <w:r>
              <w:rPr>
                <w:sz w:val="17"/>
              </w:rPr>
              <w:t>OGL CC BY-SA</w:t>
            </w:r>
          </w:p>
        </w:tc>
      </w:tr>
      <w:tr>
        <w:trPr>
          <w:cantSplit/>
        </w:trPr>
        <w:tc>
          <w:tcPr>
            <w:tcW w:type="dxa" w:w="1814"/>
            <w:tcMar>
              <w:top w:w="90" w:type="dxa"/>
              <w:start w:w="110" w:type="dxa"/>
              <w:bottom w:w="90" w:type="dxa"/>
              <w:end w:w="110" w:type="dxa"/>
            </w:tcMar>
            <w:vAlign w:val="top"/>
          </w:tcPr>
          <w:p>
            <w:pPr>
              <w:spacing w:after="0"/>
            </w:pPr>
            <w:r>
              <w:rPr>
                <w:sz w:val="17"/>
              </w:rPr>
              <w:t>Eustathius</w:t>
            </w:r>
          </w:p>
        </w:tc>
        <w:tc>
          <w:tcPr>
            <w:tcW w:type="dxa" w:w="1871"/>
            <w:tcMar>
              <w:top w:w="90" w:type="dxa"/>
              <w:start w:w="110" w:type="dxa"/>
              <w:bottom w:w="90" w:type="dxa"/>
              <w:end w:w="110" w:type="dxa"/>
            </w:tcMar>
            <w:vAlign w:val="top"/>
          </w:tcPr>
          <w:p>
            <w:pPr>
              <w:spacing w:after="0"/>
            </w:pPr>
            <w:r>
              <w:rPr>
                <w:sz w:val="17"/>
              </w:rPr>
              <w:t>Google Books old volumes (R096–R099)</w:t>
            </w:r>
          </w:p>
        </w:tc>
        <w:tc>
          <w:tcPr>
            <w:tcW w:type="dxa" w:w="2041"/>
            <w:tcMar>
              <w:top w:w="90" w:type="dxa"/>
              <w:start w:w="110" w:type="dxa"/>
              <w:bottom w:w="90" w:type="dxa"/>
              <w:end w:w="110" w:type="dxa"/>
            </w:tcMar>
            <w:vAlign w:val="top"/>
          </w:tcPr>
          <w:p>
            <w:pPr>
              <w:spacing w:after="0"/>
            </w:pPr>
            <w:r>
              <w:rPr>
                <w:sz w:val="17"/>
              </w:rPr>
              <w:t>Full-view scans</w:t>
            </w:r>
          </w:p>
        </w:tc>
        <w:tc>
          <w:tcPr>
            <w:tcW w:type="dxa" w:w="2154"/>
            <w:tcMar>
              <w:top w:w="90" w:type="dxa"/>
              <w:start w:w="110" w:type="dxa"/>
              <w:bottom w:w="90" w:type="dxa"/>
              <w:end w:w="110" w:type="dxa"/>
            </w:tcMar>
            <w:vAlign w:val="top"/>
          </w:tcPr>
          <w:p>
            <w:pPr>
              <w:spacing w:after="0"/>
            </w:pPr>
            <w:r>
              <w:rPr>
                <w:sz w:val="17"/>
              </w:rPr>
              <w:t>Brill commentary series (R100)</w:t>
            </w:r>
          </w:p>
        </w:tc>
        <w:tc>
          <w:tcPr>
            <w:tcW w:type="dxa" w:w="1757"/>
            <w:tcMar>
              <w:top w:w="90" w:type="dxa"/>
              <w:start w:w="110" w:type="dxa"/>
              <w:bottom w:w="90" w:type="dxa"/>
              <w:end w:w="110" w:type="dxa"/>
            </w:tcMar>
            <w:vAlign w:val="top"/>
          </w:tcPr>
          <w:p>
            <w:pPr>
              <w:spacing w:after="0"/>
            </w:pPr>
            <w:r>
              <w:rPr>
                <w:sz w:val="17"/>
              </w:rPr>
              <w:t>Old scans; modern protected</w:t>
            </w:r>
          </w:p>
        </w:tc>
      </w:tr>
      <w:tr>
        <w:trPr>
          <w:cantSplit/>
        </w:trPr>
        <w:tc>
          <w:tcPr>
            <w:tcW w:type="dxa" w:w="1814"/>
            <w:shd w:fill="F4F8FB"/>
            <w:tcMar>
              <w:top w:w="90" w:type="dxa"/>
              <w:start w:w="110" w:type="dxa"/>
              <w:bottom w:w="90" w:type="dxa"/>
              <w:end w:w="110" w:type="dxa"/>
            </w:tcMar>
            <w:vAlign w:val="top"/>
          </w:tcPr>
          <w:p>
            <w:pPr>
              <w:spacing w:after="0"/>
            </w:pPr>
            <w:r>
              <w:rPr>
                <w:sz w:val="17"/>
              </w:rPr>
              <w:t>Hexapla</w:t>
            </w:r>
          </w:p>
        </w:tc>
        <w:tc>
          <w:tcPr>
            <w:tcW w:type="dxa" w:w="1871"/>
            <w:shd w:fill="F4F8FB"/>
            <w:tcMar>
              <w:top w:w="90" w:type="dxa"/>
              <w:start w:w="110" w:type="dxa"/>
              <w:bottom w:w="90" w:type="dxa"/>
              <w:end w:w="110" w:type="dxa"/>
            </w:tcMar>
            <w:vAlign w:val="top"/>
          </w:tcPr>
          <w:p>
            <w:pPr>
              <w:spacing w:after="0"/>
            </w:pPr>
            <w:r>
              <w:rPr>
                <w:sz w:val="17"/>
              </w:rPr>
              <w:t>Hexapla Institute (R101)</w:t>
            </w:r>
          </w:p>
        </w:tc>
        <w:tc>
          <w:tcPr>
            <w:tcW w:type="dxa" w:w="2041"/>
            <w:shd w:fill="F4F8FB"/>
            <w:tcMar>
              <w:top w:w="90" w:type="dxa"/>
              <w:start w:w="110" w:type="dxa"/>
              <w:bottom w:w="90" w:type="dxa"/>
              <w:end w:w="110" w:type="dxa"/>
            </w:tcMar>
            <w:vAlign w:val="top"/>
          </w:tcPr>
          <w:p>
            <w:pPr>
              <w:spacing w:after="0"/>
            </w:pPr>
            <w:r>
              <w:rPr>
                <w:sz w:val="17"/>
              </w:rPr>
              <w:t>Field IA PDM (R102–R103)</w:t>
            </w:r>
          </w:p>
        </w:tc>
        <w:tc>
          <w:tcPr>
            <w:tcW w:type="dxa" w:w="2154"/>
            <w:shd w:fill="F4F8FB"/>
            <w:tcMar>
              <w:top w:w="90" w:type="dxa"/>
              <w:start w:w="110" w:type="dxa"/>
              <w:bottom w:w="90" w:type="dxa"/>
              <w:end w:w="110" w:type="dxa"/>
            </w:tcMar>
            <w:vAlign w:val="top"/>
          </w:tcPr>
          <w:p>
            <w:pPr>
              <w:spacing w:after="0"/>
            </w:pPr>
            <w:r>
              <w:rPr>
                <w:sz w:val="17"/>
              </w:rPr>
              <w:t>Modern institute/publications</w:t>
            </w:r>
          </w:p>
        </w:tc>
        <w:tc>
          <w:tcPr>
            <w:tcW w:type="dxa" w:w="1757"/>
            <w:shd w:fill="F4F8FB"/>
            <w:tcMar>
              <w:top w:w="90" w:type="dxa"/>
              <w:start w:w="110" w:type="dxa"/>
              <w:bottom w:w="90" w:type="dxa"/>
              <w:end w:w="110" w:type="dxa"/>
            </w:tcMar>
            <w:vAlign w:val="top"/>
          </w:tcPr>
          <w:p>
            <w:pPr>
              <w:spacing w:after="0"/>
            </w:pPr>
            <w:r>
              <w:rPr>
                <w:sz w:val="17"/>
              </w:rPr>
              <w:t>PDM for Field scans</w:t>
            </w:r>
          </w:p>
        </w:tc>
      </w:tr>
      <w:tr>
        <w:trPr>
          <w:cantSplit/>
        </w:trPr>
        <w:tc>
          <w:tcPr>
            <w:tcW w:type="dxa" w:w="1814"/>
            <w:tcMar>
              <w:top w:w="90" w:type="dxa"/>
              <w:start w:w="110" w:type="dxa"/>
              <w:bottom w:w="90" w:type="dxa"/>
              <w:end w:w="110" w:type="dxa"/>
            </w:tcMar>
            <w:vAlign w:val="top"/>
          </w:tcPr>
          <w:p>
            <w:pPr>
              <w:spacing w:after="0"/>
            </w:pPr>
            <w:r>
              <w:rPr>
                <w:sz w:val="17"/>
              </w:rPr>
              <w:t>Papyri</w:t>
            </w:r>
          </w:p>
        </w:tc>
        <w:tc>
          <w:tcPr>
            <w:tcW w:type="dxa" w:w="1871"/>
            <w:tcMar>
              <w:top w:w="90" w:type="dxa"/>
              <w:start w:w="110" w:type="dxa"/>
              <w:bottom w:w="90" w:type="dxa"/>
              <w:end w:w="110" w:type="dxa"/>
            </w:tcMar>
            <w:vAlign w:val="top"/>
          </w:tcPr>
          <w:p>
            <w:pPr>
              <w:spacing w:after="0"/>
            </w:pPr>
            <w:r>
              <w:rPr>
                <w:sz w:val="17"/>
              </w:rPr>
              <w:t>DCLP (R008, R029, R108–R110)</w:t>
            </w:r>
          </w:p>
        </w:tc>
        <w:tc>
          <w:tcPr>
            <w:tcW w:type="dxa" w:w="2041"/>
            <w:tcMar>
              <w:top w:w="90" w:type="dxa"/>
              <w:start w:w="110" w:type="dxa"/>
              <w:bottom w:w="90" w:type="dxa"/>
              <w:end w:w="110" w:type="dxa"/>
            </w:tcMar>
            <w:vAlign w:val="top"/>
          </w:tcPr>
          <w:p>
            <w:pPr>
              <w:spacing w:after="0"/>
            </w:pPr>
            <w:r>
              <w:rPr>
                <w:sz w:val="17"/>
              </w:rPr>
              <w:t>IDP EpiDoc CC BY (R009)</w:t>
            </w:r>
          </w:p>
        </w:tc>
        <w:tc>
          <w:tcPr>
            <w:tcW w:type="dxa" w:w="2154"/>
            <w:tcMar>
              <w:top w:w="90" w:type="dxa"/>
              <w:start w:w="110" w:type="dxa"/>
              <w:bottom w:w="90" w:type="dxa"/>
              <w:end w:w="110" w:type="dxa"/>
            </w:tcMar>
            <w:vAlign w:val="top"/>
          </w:tcPr>
          <w:p>
            <w:pPr>
              <w:spacing w:after="0"/>
            </w:pPr>
            <w:r>
              <w:rPr>
                <w:sz w:val="17"/>
              </w:rPr>
              <w:t>Specialist editions per item</w:t>
            </w:r>
          </w:p>
        </w:tc>
        <w:tc>
          <w:tcPr>
            <w:tcW w:type="dxa" w:w="1757"/>
            <w:tcMar>
              <w:top w:w="90" w:type="dxa"/>
              <w:start w:w="110" w:type="dxa"/>
              <w:bottom w:w="90" w:type="dxa"/>
              <w:end w:w="110" w:type="dxa"/>
            </w:tcMar>
            <w:vAlign w:val="top"/>
          </w:tcPr>
          <w:p>
            <w:pPr>
              <w:spacing w:after="0"/>
            </w:pPr>
            <w:r>
              <w:rPr>
                <w:sz w:val="17"/>
              </w:rPr>
              <w:t>Papyri.info CC BY</w:t>
            </w:r>
          </w:p>
        </w:tc>
      </w:tr>
    </w:tbl>
    <w:p>
      <w:pPr>
        <w:pStyle w:val="Heading2"/>
      </w:pPr>
      <w:r>
        <w:t>3.1. Homeric scholia и рукописные свидетели</w:t>
      </w:r>
    </w:p>
    <w:p>
      <w:pPr>
        <w:pStyle w:val="ListBullet"/>
      </w:pPr>
      <w:hyperlink r:id="rId11">
        <w:r>
          <w:rPr>
            <w:color w:val="0563C1"/>
            <w:u w:val="single"/>
            <w:rFonts w:ascii="Liberation Sans" w:hAnsi="Liberation Sans" w:eastAsia="Liberation Sans"/>
          </w:rPr>
          <w:t>Homer Multitext — Venetus A</w:t>
        </w:r>
      </w:hyperlink>
      <w:r>
        <w:t xml:space="preserve"> — основной facsimile/witness-level маршрут.</w:t>
      </w:r>
    </w:p>
    <w:p>
      <w:pPr>
        <w:pStyle w:val="ListBullet"/>
      </w:pPr>
      <w:hyperlink r:id="rId12">
        <w:r>
          <w:rPr>
            <w:color w:val="0563C1"/>
            <w:u w:val="single"/>
            <w:rFonts w:ascii="Liberation Sans" w:hAnsi="Liberation Sans" w:eastAsia="Liberation Sans"/>
          </w:rPr>
          <w:t>OGL TEI Scholia Iliad</w:t>
        </w:r>
      </w:hyperlink>
      <w:r>
        <w:t xml:space="preserve"> — лучший открытый машиночитаемый слой CC BY-SA 4.0.</w:t>
      </w:r>
    </w:p>
    <w:p>
      <w:pPr>
        <w:pStyle w:val="ListBullet"/>
      </w:pPr>
      <w:hyperlink r:id="rId13">
        <w:r>
          <w:rPr>
            <w:color w:val="0563C1"/>
            <w:u w:val="single"/>
            <w:rFonts w:ascii="Liberation Sans" w:hAnsi="Liberation Sans" w:eastAsia="Liberation Sans"/>
          </w:rPr>
          <w:t>Scaife Scholia</w:t>
        </w:r>
      </w:hyperlink>
      <w:r>
        <w:t xml:space="preserve"> — удобнейшее бесплатное чтение греческого текста.</w:t>
      </w:r>
    </w:p>
    <w:p>
      <w:pPr>
        <w:pStyle w:val="ListBullet"/>
      </w:pPr>
      <w:hyperlink r:id="rId14">
        <w:r>
          <w:rPr>
            <w:color w:val="0563C1"/>
            <w:u w:val="single"/>
            <w:rFonts w:ascii="Liberation Sans" w:hAnsi="Liberation Sans" w:eastAsia="Liberation Sans"/>
          </w:rPr>
          <w:t>van Thiel D-scholia PDF</w:t>
        </w:r>
      </w:hyperlink>
      <w:r>
        <w:t xml:space="preserve"> — открытый современный Greek edition без явной reuse-лицензии.</w:t>
      </w:r>
    </w:p>
    <w:p>
      <w:pPr>
        <w:pStyle w:val="ListBullet"/>
      </w:pPr>
      <w:hyperlink r:id="rId15">
        <w:r>
          <w:rPr>
            <w:color w:val="0563C1"/>
            <w:u w:val="single"/>
            <w:rFonts w:ascii="Liberation Sans" w:hAnsi="Liberation Sans" w:eastAsia="Liberation Sans"/>
          </w:rPr>
          <w:t>Canopos</w:t>
        </w:r>
      </w:hyperlink>
      <w:r>
        <w:t xml:space="preserve"> — современный открыто лицензированный English translation слоя D-scholia.</w:t>
      </w:r>
    </w:p>
    <w:p>
      <w:pPr>
        <w:pStyle w:val="Heading2"/>
      </w:pPr>
      <w:r>
        <w:t>3.2. Pinakes, Каллимах и ранние филологи</w:t>
      </w:r>
    </w:p>
    <w:p>
      <w:r>
        <w:t>Для Pinakes не существует «полного текста»: лучший свободный слой — Schneider/Callimachea и Scaife fragments; лучший современный научный контроль — Pfeiffer и Loeb. Для Зенодота и Аристарха реальный первичный слой находится в scholia, а не в самостоятельных авторских кодексах.</w:t>
      </w:r>
    </w:p>
    <w:p>
      <w:pPr>
        <w:pStyle w:val="ListBullet"/>
      </w:pPr>
      <w:hyperlink r:id="rId16">
        <w:r>
          <w:rPr>
            <w:color w:val="0563C1"/>
            <w:u w:val="single"/>
            <w:rFonts w:ascii="Liberation Sans" w:hAnsi="Liberation Sans" w:eastAsia="Liberation Sans"/>
          </w:rPr>
          <w:t>Callimachea, Internet Archive</w:t>
        </w:r>
      </w:hyperlink>
      <w:r>
        <w:t xml:space="preserve"> — старое fragment edition, item-level PDM.</w:t>
      </w:r>
    </w:p>
    <w:p>
      <w:pPr>
        <w:pStyle w:val="ListBullet"/>
      </w:pPr>
      <w:hyperlink r:id="rId17">
        <w:r>
          <w:rPr>
            <w:color w:val="0563C1"/>
            <w:u w:val="single"/>
            <w:rFonts w:ascii="Liberation Sans" w:hAnsi="Liberation Sans" w:eastAsia="Liberation Sans"/>
          </w:rPr>
          <w:t>Callimachus in Scaife</w:t>
        </w:r>
      </w:hyperlink>
      <w:r>
        <w:t xml:space="preserve"> — Greek fragments и selected English.</w:t>
      </w:r>
    </w:p>
    <w:p>
      <w:pPr>
        <w:pStyle w:val="ListBullet"/>
      </w:pPr>
      <w:hyperlink r:id="rId18">
        <w:r>
          <w:rPr>
            <w:color w:val="0563C1"/>
            <w:u w:val="single"/>
            <w:rFonts w:ascii="Liberation Sans" w:hAnsi="Liberation Sans" w:eastAsia="Liberation Sans"/>
          </w:rPr>
          <w:t>Aristophanes, Nauck 1848</w:t>
        </w:r>
      </w:hyperlink>
      <w:r>
        <w:t xml:space="preserve"> — полное старое собрание fragments.</w:t>
      </w:r>
    </w:p>
    <w:p>
      <w:pPr>
        <w:pStyle w:val="ListBullet"/>
      </w:pPr>
      <w:hyperlink r:id="rId19">
        <w:r>
          <w:rPr>
            <w:color w:val="0563C1"/>
            <w:u w:val="single"/>
            <w:rFonts w:ascii="Liberation Sans" w:hAnsi="Liberation Sans" w:eastAsia="Liberation Sans"/>
          </w:rPr>
          <w:t>Aristophanes, Slater</w:t>
        </w:r>
      </w:hyperlink>
      <w:r>
        <w:t xml:space="preserve"> — современное critical edition, purchase/institutional.</w:t>
      </w:r>
    </w:p>
    <w:p>
      <w:pPr>
        <w:pStyle w:val="ListBullet"/>
      </w:pPr>
      <w:hyperlink r:id="rId11">
        <w:r>
          <w:rPr>
            <w:color w:val="0563C1"/>
            <w:u w:val="single"/>
            <w:rFonts w:ascii="Liberation Sans" w:hAnsi="Liberation Sans" w:eastAsia="Liberation Sans"/>
          </w:rPr>
          <w:t>Aristarchus in HMT</w:t>
        </w:r>
      </w:hyperlink>
      <w:r>
        <w:t xml:space="preserve"> — witness-level fragments and critical signs.</w:t>
      </w:r>
    </w:p>
    <w:p>
      <w:pPr>
        <w:pStyle w:val="Heading2"/>
      </w:pPr>
      <w:r>
        <w:t>3.3. Didymus и папирусная проверка</w:t>
      </w:r>
    </w:p>
    <w:p>
      <w:r>
        <w:t>P 9780 даёт редкое совпадение сильного предметного доступа и сильной лицензии: музейная фотография SMB имеет CC BY-SA 4.0, а DCLP-транскрипция и EpiDoc-данные доступны по CC BY. Это лучший locus для пилотного OCR, собственного перевода фрагмента и открытого scholarly card.</w:t>
      </w:r>
    </w:p>
    <w:p>
      <w:pPr>
        <w:pStyle w:val="ListBullet"/>
      </w:pPr>
      <w:hyperlink r:id="rId20">
        <w:r>
          <w:rPr>
            <w:color w:val="0563C1"/>
            <w:u w:val="single"/>
            <w:rFonts w:ascii="Liberation Sans" w:hAnsi="Liberation Sans" w:eastAsia="Liberation Sans"/>
          </w:rPr>
          <w:t>SMB object P 9780</w:t>
        </w:r>
      </w:hyperlink>
      <w:r>
        <w:t xml:space="preserve"> — item-level image and rights.</w:t>
      </w:r>
    </w:p>
    <w:p>
      <w:pPr>
        <w:pStyle w:val="ListBullet"/>
      </w:pPr>
      <w:hyperlink r:id="rId21">
        <w:r>
          <w:rPr>
            <w:color w:val="0563C1"/>
            <w:u w:val="single"/>
            <w:rFonts w:ascii="Liberation Sans" w:hAnsi="Liberation Sans" w:eastAsia="Liberation Sans"/>
          </w:rPr>
          <w:t>DCLP 59667</w:t>
        </w:r>
      </w:hyperlink>
      <w:r>
        <w:t xml:space="preserve"> — транскрипция и метаданные.</w:t>
      </w:r>
    </w:p>
    <w:p>
      <w:pPr>
        <w:pStyle w:val="ListBullet"/>
      </w:pPr>
      <w:hyperlink r:id="rId22">
        <w:r>
          <w:rPr>
            <w:color w:val="0563C1"/>
            <w:u w:val="single"/>
            <w:rFonts w:ascii="Liberation Sans" w:hAnsi="Liberation Sans" w:eastAsia="Liberation Sans"/>
          </w:rPr>
          <w:t>Diels–Schubart 1904</w:t>
        </w:r>
      </w:hyperlink>
      <w:r>
        <w:t xml:space="preserve"> — старое критическое издание.</w:t>
      </w:r>
    </w:p>
    <w:p>
      <w:pPr>
        <w:pStyle w:val="ListBullet"/>
      </w:pPr>
      <w:hyperlink r:id="rId23">
        <w:r>
          <w:rPr>
            <w:color w:val="0563C1"/>
            <w:u w:val="single"/>
            <w:rFonts w:ascii="Liberation Sans" w:hAnsi="Liberation Sans" w:eastAsia="Liberation Sans"/>
          </w:rPr>
          <w:t>Harding, Didymos on Demosthenes</w:t>
        </w:r>
      </w:hyperlink>
      <w:r>
        <w:t xml:space="preserve"> — modern protected edition.</w:t>
      </w:r>
    </w:p>
    <w:p>
      <w:pPr>
        <w:pStyle w:val="Heading2"/>
      </w:pPr>
      <w:r>
        <w:t>3.4. Techne grammatike и поздняя грамматика</w:t>
      </w:r>
    </w:p>
    <w:p>
      <w:r>
        <w:t>Для Techne особенно важно не смешивать древний текст с современными переводами. Wikisource/Commons и старое Uhlig edition дают свободную исследовательскую основу; Kemp и Lallot — лучшие современные чтения, но защищены. Аполлоний Дискол и Геродиан получили открытые TEI/XML пути через OGL.</w:t>
      </w:r>
    </w:p>
    <w:p>
      <w:pPr>
        <w:pStyle w:val="ListBullet"/>
      </w:pPr>
      <w:hyperlink r:id="rId24">
        <w:r>
          <w:rPr>
            <w:color w:val="0563C1"/>
            <w:u w:val="single"/>
            <w:rFonts w:ascii="Liberation Sans" w:hAnsi="Liberation Sans" w:eastAsia="Liberation Sans"/>
          </w:rPr>
          <w:t>Techne — Wikisource</w:t>
        </w:r>
      </w:hyperlink>
      <w:r>
        <w:t xml:space="preserve"> — бесплатное чтение Davidson translation.</w:t>
      </w:r>
    </w:p>
    <w:p>
      <w:pPr>
        <w:pStyle w:val="ListBullet"/>
      </w:pPr>
      <w:hyperlink r:id="rId25">
        <w:r>
          <w:rPr>
            <w:color w:val="0563C1"/>
            <w:u w:val="single"/>
            <w:rFonts w:ascii="Liberation Sans" w:hAnsi="Liberation Sans" w:eastAsia="Liberation Sans"/>
          </w:rPr>
          <w:t>Techne — Commons scan</w:t>
        </w:r>
      </w:hyperlink>
      <w:r>
        <w:t xml:space="preserve"> — item-level PDM scan.</w:t>
      </w:r>
    </w:p>
    <w:p>
      <w:pPr>
        <w:pStyle w:val="ListBullet"/>
      </w:pPr>
      <w:hyperlink r:id="rId26">
        <w:r>
          <w:rPr>
            <w:color w:val="0563C1"/>
            <w:u w:val="single"/>
            <w:rFonts w:ascii="Liberation Sans" w:hAnsi="Liberation Sans" w:eastAsia="Liberation Sans"/>
          </w:rPr>
          <w:t>Dionysius Thrax — Uhlig/Merx</w:t>
        </w:r>
      </w:hyperlink>
      <w:r>
        <w:t xml:space="preserve"> — old Greek critical base.</w:t>
      </w:r>
    </w:p>
    <w:p>
      <w:pPr>
        <w:pStyle w:val="ListBullet"/>
      </w:pPr>
      <w:hyperlink r:id="rId27">
        <w:r>
          <w:rPr>
            <w:color w:val="0563C1"/>
            <w:u w:val="single"/>
            <w:rFonts w:ascii="Liberation Sans" w:hAnsi="Liberation Sans" w:eastAsia="Liberation Sans"/>
          </w:rPr>
          <w:t>Apollonius Dyscolus — OGL XML</w:t>
        </w:r>
      </w:hyperlink>
      <w:r>
        <w:t xml:space="preserve"> — CC BY-SA machine-readable Greek.</w:t>
      </w:r>
    </w:p>
    <w:p>
      <w:pPr>
        <w:pStyle w:val="ListBullet"/>
      </w:pPr>
      <w:hyperlink r:id="rId28">
        <w:r>
          <w:rPr>
            <w:color w:val="0563C1"/>
            <w:u w:val="single"/>
            <w:rFonts w:ascii="Liberation Sans" w:hAnsi="Liberation Sans" w:eastAsia="Liberation Sans"/>
          </w:rPr>
          <w:t>Herodian — OGL XML</w:t>
        </w:r>
      </w:hyperlink>
      <w:r>
        <w:t xml:space="preserve"> — CC BY-SA machine-readable Greek.</w:t>
      </w:r>
    </w:p>
    <w:p>
      <w:pPr>
        <w:pStyle w:val="Heading2"/>
      </w:pPr>
      <w:r>
        <w:t>3.5. Рецепция и сохранение</w:t>
      </w:r>
    </w:p>
    <w:p>
      <w:r>
        <w:t>Порфирий, Eustathius, Suda/Etymologica и Hexapla важны не потому, что они «поздние вообще», а потому, что через них конкретно сохраняются ранние interpretations, glosses, signs и textual decisions.</w:t>
      </w:r>
    </w:p>
    <w:p>
      <w:pPr>
        <w:pStyle w:val="ListBullet"/>
      </w:pPr>
      <w:hyperlink r:id="rId29">
        <w:r>
          <w:rPr>
            <w:color w:val="0563C1"/>
            <w:u w:val="single"/>
            <w:rFonts w:ascii="Liberation Sans" w:hAnsi="Liberation Sans" w:eastAsia="Liberation Sans"/>
          </w:rPr>
          <w:t>Porphyry — OGL Quaestiones Homericae</w:t>
        </w:r>
      </w:hyperlink>
      <w:r>
        <w:t xml:space="preserve"> — open TEI fragments.</w:t>
      </w:r>
    </w:p>
    <w:p>
      <w:pPr>
        <w:pStyle w:val="ListBullet"/>
      </w:pPr>
      <w:hyperlink r:id="rId30">
        <w:r>
          <w:rPr>
            <w:color w:val="0563C1"/>
            <w:u w:val="single"/>
            <w:rFonts w:ascii="Liberation Sans" w:hAnsi="Liberation Sans" w:eastAsia="Liberation Sans"/>
          </w:rPr>
          <w:t>Vat.gr.305</w:t>
        </w:r>
      </w:hyperlink>
      <w:r>
        <w:t xml:space="preserve"> — facsimile of continuous Book 1 witness; publication permission needed.</w:t>
      </w:r>
    </w:p>
    <w:p>
      <w:pPr>
        <w:pStyle w:val="ListBullet"/>
      </w:pPr>
      <w:hyperlink r:id="rId31">
        <w:r>
          <w:rPr>
            <w:color w:val="0563C1"/>
            <w:u w:val="single"/>
            <w:rFonts w:ascii="Liberation Sans" w:hAnsi="Liberation Sans" w:eastAsia="Liberation Sans"/>
          </w:rPr>
          <w:t>Eustathius — Google Books vol. 1</w:t>
        </w:r>
      </w:hyperlink>
      <w:r>
        <w:t xml:space="preserve"> — old full-view commentary.</w:t>
      </w:r>
    </w:p>
    <w:p>
      <w:pPr>
        <w:pStyle w:val="ListBullet"/>
      </w:pPr>
      <w:hyperlink r:id="rId32">
        <w:r>
          <w:rPr>
            <w:color w:val="0563C1"/>
            <w:u w:val="single"/>
            <w:rFonts w:ascii="Liberation Sans" w:hAnsi="Liberation Sans" w:eastAsia="Liberation Sans"/>
          </w:rPr>
          <w:t>Hexapla Institute</w:t>
        </w:r>
      </w:hyperlink>
      <w:r>
        <w:t xml:space="preserve"> — current infrastructure and bibliography.</w:t>
      </w:r>
    </w:p>
    <w:p>
      <w:pPr>
        <w:pStyle w:val="ListBullet"/>
      </w:pPr>
      <w:hyperlink r:id="rId33">
        <w:r>
          <w:rPr>
            <w:color w:val="0563C1"/>
            <w:u w:val="single"/>
            <w:rFonts w:ascii="Liberation Sans" w:hAnsi="Liberation Sans" w:eastAsia="Liberation Sans"/>
          </w:rPr>
          <w:t>Field, Origenis Hexaplorum vol. I</w:t>
        </w:r>
      </w:hyperlink>
      <w:r>
        <w:t xml:space="preserve"> — public-domain scan.</w:t>
      </w:r>
    </w:p>
    <w:p>
      <w:pPr>
        <w:pStyle w:val="Heading1"/>
      </w:pPr>
      <w:r>
        <w:t>4. Карта прав и практического использования</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757"/>
            <w:shd w:fill="17365D"/>
            <w:tcMar>
              <w:top w:w="90" w:type="dxa"/>
              <w:start w:w="110" w:type="dxa"/>
              <w:bottom w:w="90" w:type="dxa"/>
              <w:end w:w="110" w:type="dxa"/>
            </w:tcMar>
          </w:tcPr>
          <w:p>
            <w:pPr>
              <w:jc w:val="center"/>
            </w:pPr>
            <w:r>
              <w:rPr>
                <w:b/>
                <w:color w:val="FFFFFF"/>
                <w:sz w:val="18"/>
              </w:rPr>
              <w:t>Группа</w:t>
            </w:r>
          </w:p>
        </w:tc>
        <w:tc>
          <w:tcPr>
            <w:tcW w:type="dxa" w:w="2948"/>
            <w:shd w:fill="17365D"/>
            <w:tcMar>
              <w:top w:w="90" w:type="dxa"/>
              <w:start w:w="110" w:type="dxa"/>
              <w:bottom w:w="90" w:type="dxa"/>
              <w:end w:w="110" w:type="dxa"/>
            </w:tcMar>
          </w:tcPr>
          <w:p>
            <w:pPr>
              <w:jc w:val="center"/>
            </w:pPr>
            <w:r>
              <w:rPr>
                <w:b/>
                <w:color w:val="FFFFFF"/>
                <w:sz w:val="18"/>
              </w:rPr>
              <w:t>Типичные источники</w:t>
            </w:r>
          </w:p>
        </w:tc>
        <w:tc>
          <w:tcPr>
            <w:tcW w:type="dxa" w:w="3969"/>
            <w:shd w:fill="17365D"/>
            <w:tcMar>
              <w:top w:w="90" w:type="dxa"/>
              <w:start w:w="110" w:type="dxa"/>
              <w:bottom w:w="90" w:type="dxa"/>
              <w:end w:w="110" w:type="dxa"/>
            </w:tcMar>
          </w:tcPr>
          <w:p>
            <w:pPr>
              <w:jc w:val="center"/>
            </w:pPr>
            <w:r>
              <w:rPr>
                <w:b/>
                <w:color w:val="FFFFFF"/>
                <w:sz w:val="18"/>
              </w:rPr>
              <w:t>Практическое правило ToS</w:t>
            </w:r>
          </w:p>
        </w:tc>
      </w:tr>
      <w:tr>
        <w:trPr>
          <w:cantSplit/>
        </w:trPr>
        <w:tc>
          <w:tcPr>
            <w:tcW w:type="dxa" w:w="1757"/>
            <w:tcMar>
              <w:top w:w="90" w:type="dxa"/>
              <w:start w:w="110" w:type="dxa"/>
              <w:bottom w:w="90" w:type="dxa"/>
              <w:end w:w="110" w:type="dxa"/>
            </w:tcMar>
            <w:vAlign w:val="top"/>
          </w:tcPr>
          <w:p>
            <w:pPr>
              <w:spacing w:after="0"/>
            </w:pPr>
            <w:r>
              <w:rPr>
                <w:sz w:val="17"/>
              </w:rPr>
              <w:t>Открытое BY/BY-SA</w:t>
            </w:r>
          </w:p>
        </w:tc>
        <w:tc>
          <w:tcPr>
            <w:tcW w:type="dxa" w:w="2948"/>
            <w:tcMar>
              <w:top w:w="90" w:type="dxa"/>
              <w:start w:w="110" w:type="dxa"/>
              <w:bottom w:w="90" w:type="dxa"/>
              <w:end w:w="110" w:type="dxa"/>
            </w:tcMar>
            <w:vAlign w:val="top"/>
          </w:tcPr>
          <w:p>
            <w:pPr>
              <w:spacing w:after="0"/>
            </w:pPr>
            <w:r>
              <w:rPr>
                <w:sz w:val="17"/>
              </w:rPr>
              <w:t>OGL, Papyri.info, Trismegistos Data Services, SMB P 9780, Canopos Iliad D</w:t>
            </w:r>
          </w:p>
        </w:tc>
        <w:tc>
          <w:tcPr>
            <w:tcW w:type="dxa" w:w="3969"/>
            <w:tcMar>
              <w:top w:w="90" w:type="dxa"/>
              <w:start w:w="110" w:type="dxa"/>
              <w:bottom w:w="90" w:type="dxa"/>
              <w:end w:w="110" w:type="dxa"/>
            </w:tcMar>
            <w:vAlign w:val="top"/>
          </w:tcPr>
          <w:p>
            <w:pPr>
              <w:spacing w:after="0"/>
            </w:pPr>
            <w:r>
              <w:rPr>
                <w:sz w:val="17"/>
              </w:rPr>
              <w:t>Можно локально хранить, индексировать, строить embeddings и распространять в доказанном scope; соблюдать атрибуцию и, где нужно, ShareAlike.</w:t>
            </w:r>
          </w:p>
        </w:tc>
      </w:tr>
      <w:tr>
        <w:trPr>
          <w:cantSplit/>
        </w:trPr>
        <w:tc>
          <w:tcPr>
            <w:tcW w:type="dxa" w:w="1757"/>
            <w:shd w:fill="F4F8FB"/>
            <w:tcMar>
              <w:top w:w="90" w:type="dxa"/>
              <w:start w:w="110" w:type="dxa"/>
              <w:bottom w:w="90" w:type="dxa"/>
              <w:end w:w="110" w:type="dxa"/>
            </w:tcMar>
            <w:vAlign w:val="top"/>
          </w:tcPr>
          <w:p>
            <w:pPr>
              <w:spacing w:after="0"/>
            </w:pPr>
            <w:r>
              <w:rPr>
                <w:sz w:val="17"/>
              </w:rPr>
              <w:t>Некоммерческое NC/SA</w:t>
            </w:r>
          </w:p>
        </w:tc>
        <w:tc>
          <w:tcPr>
            <w:tcW w:type="dxa" w:w="2948"/>
            <w:shd w:fill="F4F8FB"/>
            <w:tcMar>
              <w:top w:w="90" w:type="dxa"/>
              <w:start w:w="110" w:type="dxa"/>
              <w:bottom w:w="90" w:type="dxa"/>
              <w:end w:w="110" w:type="dxa"/>
            </w:tcMar>
            <w:vAlign w:val="top"/>
          </w:tcPr>
          <w:p>
            <w:pPr>
              <w:spacing w:after="0"/>
            </w:pPr>
            <w:r>
              <w:rPr>
                <w:sz w:val="17"/>
              </w:rPr>
              <w:t>HMT transcriptions/XML; Suda translations/annotations; conservatively Canopos Odyssey D</w:t>
            </w:r>
          </w:p>
        </w:tc>
        <w:tc>
          <w:tcPr>
            <w:tcW w:type="dxa" w:w="3969"/>
            <w:shd w:fill="F4F8FB"/>
            <w:tcMar>
              <w:top w:w="90" w:type="dxa"/>
              <w:start w:w="110" w:type="dxa"/>
              <w:bottom w:w="90" w:type="dxa"/>
              <w:end w:w="110" w:type="dxa"/>
            </w:tcMar>
            <w:vAlign w:val="top"/>
          </w:tcPr>
          <w:p>
            <w:pPr>
              <w:spacing w:after="0"/>
            </w:pPr>
            <w:r>
              <w:rPr>
                <w:sz w:val="17"/>
              </w:rPr>
              <w:t>Для текущего некоммерческого ToS пригодно; при публикации сохранять NC, атрибуцию и ShareAlike. Коммерческое расширение потребует нового review.</w:t>
            </w:r>
          </w:p>
        </w:tc>
      </w:tr>
      <w:tr>
        <w:trPr>
          <w:cantSplit/>
        </w:trPr>
        <w:tc>
          <w:tcPr>
            <w:tcW w:type="dxa" w:w="1757"/>
            <w:tcMar>
              <w:top w:w="90" w:type="dxa"/>
              <w:start w:w="110" w:type="dxa"/>
              <w:bottom w:w="90" w:type="dxa"/>
              <w:end w:w="110" w:type="dxa"/>
            </w:tcMar>
            <w:vAlign w:val="top"/>
          </w:tcPr>
          <w:p>
            <w:pPr>
              <w:spacing w:after="0"/>
            </w:pPr>
            <w:r>
              <w:rPr>
                <w:sz w:val="17"/>
              </w:rPr>
              <w:t>Явный public-domain слой</w:t>
            </w:r>
          </w:p>
        </w:tc>
        <w:tc>
          <w:tcPr>
            <w:tcW w:type="dxa" w:w="2948"/>
            <w:tcMar>
              <w:top w:w="90" w:type="dxa"/>
              <w:start w:w="110" w:type="dxa"/>
              <w:bottom w:w="90" w:type="dxa"/>
              <w:end w:w="110" w:type="dxa"/>
            </w:tcMar>
            <w:vAlign w:val="top"/>
          </w:tcPr>
          <w:p>
            <w:pPr>
              <w:spacing w:after="0"/>
            </w:pPr>
            <w:r>
              <w:rPr>
                <w:sz w:val="17"/>
              </w:rPr>
              <w:t>IA/Commons records with Public Domain Mark; old editions where item-level marker present</w:t>
            </w:r>
          </w:p>
        </w:tc>
        <w:tc>
          <w:tcPr>
            <w:tcW w:type="dxa" w:w="3969"/>
            <w:tcMar>
              <w:top w:w="90" w:type="dxa"/>
              <w:start w:w="110" w:type="dxa"/>
              <w:bottom w:w="90" w:type="dxa"/>
              <w:end w:w="110" w:type="dxa"/>
            </w:tcMar>
            <w:vAlign w:val="top"/>
          </w:tcPr>
          <w:p>
            <w:pPr>
              <w:spacing w:after="0"/>
            </w:pPr>
            <w:r>
              <w:rPr>
                <w:sz w:val="17"/>
              </w:rPr>
              <w:t>Зеркалирование и OCR возможны в пределах конкретного скана/издания; PDM — не лицензия и не переносится на новые переводы.</w:t>
            </w:r>
          </w:p>
        </w:tc>
      </w:tr>
      <w:tr>
        <w:trPr>
          <w:cantSplit/>
        </w:trPr>
        <w:tc>
          <w:tcPr>
            <w:tcW w:type="dxa" w:w="1757"/>
            <w:shd w:fill="F4F8FB"/>
            <w:tcMar>
              <w:top w:w="90" w:type="dxa"/>
              <w:start w:w="110" w:type="dxa"/>
              <w:bottom w:w="90" w:type="dxa"/>
              <w:end w:w="110" w:type="dxa"/>
            </w:tcMar>
            <w:vAlign w:val="top"/>
          </w:tcPr>
          <w:p>
            <w:pPr>
              <w:spacing w:after="0"/>
            </w:pPr>
            <w:r>
              <w:rPr>
                <w:sz w:val="17"/>
              </w:rPr>
              <w:t>Бесплатно, но reuse не доказан</w:t>
            </w:r>
          </w:p>
        </w:tc>
        <w:tc>
          <w:tcPr>
            <w:tcW w:type="dxa" w:w="2948"/>
            <w:shd w:fill="F4F8FB"/>
            <w:tcMar>
              <w:top w:w="90" w:type="dxa"/>
              <w:start w:w="110" w:type="dxa"/>
              <w:bottom w:w="90" w:type="dxa"/>
              <w:end w:w="110" w:type="dxa"/>
            </w:tcMar>
            <w:vAlign w:val="top"/>
          </w:tcPr>
          <w:p>
            <w:pPr>
              <w:spacing w:after="0"/>
            </w:pPr>
            <w:r>
              <w:rPr>
                <w:sz w:val="17"/>
              </w:rPr>
              <w:t>Scaife item pages, Google Books, HathiTrust, OA repositories without license, some IA scans</w:t>
            </w:r>
          </w:p>
        </w:tc>
        <w:tc>
          <w:tcPr>
            <w:tcW w:type="dxa" w:w="3969"/>
            <w:shd w:fill="F4F8FB"/>
            <w:tcMar>
              <w:top w:w="90" w:type="dxa"/>
              <w:start w:w="110" w:type="dxa"/>
              <w:bottom w:w="90" w:type="dxa"/>
              <w:end w:w="110" w:type="dxa"/>
            </w:tcMar>
            <w:vAlign w:val="top"/>
          </w:tcPr>
          <w:p>
            <w:pPr>
              <w:spacing w:after="0"/>
            </w:pPr>
            <w:r>
              <w:rPr>
                <w:sz w:val="17"/>
              </w:rPr>
              <w:t>LINK_OK, FREE_READ/DOWNLOAD, LOCAL_RESEARCH_COPY. Публичное зеркалирование блокируется до отдельного evidence.</w:t>
            </w:r>
          </w:p>
        </w:tc>
      </w:tr>
      <w:tr>
        <w:trPr>
          <w:cantSplit/>
        </w:trPr>
        <w:tc>
          <w:tcPr>
            <w:tcW w:type="dxa" w:w="1757"/>
            <w:tcMar>
              <w:top w:w="90" w:type="dxa"/>
              <w:start w:w="110" w:type="dxa"/>
              <w:bottom w:w="90" w:type="dxa"/>
              <w:end w:w="110" w:type="dxa"/>
            </w:tcMar>
            <w:vAlign w:val="top"/>
          </w:tcPr>
          <w:p>
            <w:pPr>
              <w:spacing w:after="0"/>
            </w:pPr>
            <w:r>
              <w:rPr>
                <w:sz w:val="17"/>
              </w:rPr>
              <w:t>Защищённые современные издания</w:t>
            </w:r>
          </w:p>
        </w:tc>
        <w:tc>
          <w:tcPr>
            <w:tcW w:type="dxa" w:w="2948"/>
            <w:tcMar>
              <w:top w:w="90" w:type="dxa"/>
              <w:start w:w="110" w:type="dxa"/>
              <w:bottom w:w="90" w:type="dxa"/>
              <w:end w:w="110" w:type="dxa"/>
            </w:tcMar>
            <w:vAlign w:val="top"/>
          </w:tcPr>
          <w:p>
            <w:pPr>
              <w:spacing w:after="0"/>
            </w:pPr>
            <w:r>
              <w:rPr>
                <w:sz w:val="17"/>
              </w:rPr>
              <w:t>Erbse, Pfeiffer, Slater, Schironi, Harding, Lallot, Householder, Brill/De Gruyter/OUP/Loeb</w:t>
            </w:r>
          </w:p>
        </w:tc>
        <w:tc>
          <w:tcPr>
            <w:tcW w:type="dxa" w:w="3969"/>
            <w:tcMar>
              <w:top w:w="90" w:type="dxa"/>
              <w:start w:w="110" w:type="dxa"/>
              <w:bottom w:w="90" w:type="dxa"/>
              <w:end w:w="110" w:type="dxa"/>
            </w:tcMar>
            <w:vAlign w:val="top"/>
          </w:tcPr>
          <w:p>
            <w:pPr>
              <w:spacing w:after="0"/>
            </w:pPr>
            <w:r>
              <w:rPr>
                <w:sz w:val="17"/>
              </w:rPr>
              <w:t>Link, preview, borrow, institutional access or purchase; не извлекать и не публиковать полный текст/аппарат.</w:t>
            </w:r>
          </w:p>
        </w:tc>
      </w:tr>
      <w:tr>
        <w:trPr>
          <w:cantSplit/>
        </w:trPr>
        <w:tc>
          <w:tcPr>
            <w:tcW w:type="dxa" w:w="1757"/>
            <w:shd w:fill="F4F8FB"/>
            <w:tcMar>
              <w:top w:w="90" w:type="dxa"/>
              <w:start w:w="110" w:type="dxa"/>
              <w:bottom w:w="90" w:type="dxa"/>
              <w:end w:w="110" w:type="dxa"/>
            </w:tcMar>
            <w:vAlign w:val="top"/>
          </w:tcPr>
          <w:p>
            <w:pPr>
              <w:spacing w:after="0"/>
            </w:pPr>
            <w:r>
              <w:rPr>
                <w:sz w:val="17"/>
              </w:rPr>
              <w:t>Смешанные image rights</w:t>
            </w:r>
          </w:p>
        </w:tc>
        <w:tc>
          <w:tcPr>
            <w:tcW w:type="dxa" w:w="2948"/>
            <w:shd w:fill="F4F8FB"/>
            <w:tcMar>
              <w:top w:w="90" w:type="dxa"/>
              <w:start w:w="110" w:type="dxa"/>
              <w:bottom w:w="90" w:type="dxa"/>
              <w:end w:w="110" w:type="dxa"/>
            </w:tcMar>
            <w:vAlign w:val="top"/>
          </w:tcPr>
          <w:p>
            <w:pPr>
              <w:spacing w:after="0"/>
            </w:pPr>
            <w:r>
              <w:rPr>
                <w:sz w:val="17"/>
              </w:rPr>
              <w:t>HMT images, DigiVatLib, British Library, partner images in DCLP</w:t>
            </w:r>
          </w:p>
        </w:tc>
        <w:tc>
          <w:tcPr>
            <w:tcW w:type="dxa" w:w="3969"/>
            <w:shd w:fill="F4F8FB"/>
            <w:tcMar>
              <w:top w:w="90" w:type="dxa"/>
              <w:start w:w="110" w:type="dxa"/>
              <w:bottom w:w="90" w:type="dxa"/>
              <w:end w:w="110" w:type="dxa"/>
            </w:tcMar>
            <w:vAlign w:val="top"/>
          </w:tcPr>
          <w:p>
            <w:pPr>
              <w:spacing w:after="0"/>
            </w:pPr>
            <w:r>
              <w:rPr>
                <w:sz w:val="17"/>
              </w:rPr>
              <w:t>Текстовый/метадатный слой может быть открыт, а изображение ограничено. Проверять component-level statement до OCR-публикации и зеркала.</w:t>
            </w:r>
          </w:p>
        </w:tc>
      </w:tr>
    </w:tbl>
    <w:p>
      <w:pPr>
        <w:pStyle w:val="Heading2"/>
      </w:pPr>
      <w:r>
        <w:t>4.1. Что потенциально можно зеркалировать</w:t>
      </w:r>
    </w:p>
    <w:p>
      <w:r>
        <w:t>В реестре 12 записей имеют MIRROR_OK, 18 — MIRROR_WITH_ATTRIBUTION, 14 — MIRROR_NONCOMMERCIAL. Каждый вывод ограничен rights_scope и coverage: например, CC BY-SA-фотография P 9780 не открывает modern Harding edition, а CC BY-SA OGL XML не открывает изображения внешнего manuscript repository.</w:t>
      </w:r>
    </w:p>
    <w:p>
      <w:pPr>
        <w:pStyle w:val="Heading2"/>
      </w:pPr>
      <w:r>
        <w:t>4.2. Что остаётся link-only, borrow, preview или purchase</w:t>
      </w:r>
    </w:p>
    <w:p>
      <w:r>
        <w:t>53 записей помечены RIGHTS_REVIEW_REQUIRED; 10 ведут к покупке, 5 — к библиотечному/институциональному доступу, 7 — только к каталожным данным. Эти записи не являются «хуже»: они сохраняют законный научный маршрут и не дают потерять лучшие современные издания.</w:t>
      </w:r>
    </w:p>
    <w:p>
      <w:pPr>
        <w:pStyle w:val="Heading2"/>
      </w:pPr>
      <w:r>
        <w:t>4.3. OCR, полнотекстовый индекс, embeddings</w:t>
      </w:r>
    </w:p>
    <w:p>
      <w:r>
        <w:t>OCR_OK, FULLTEXT_INDEX_OK и EMBEDDINGS_OK оценивались раздельно. Открытые TEI/XML данные обычно уже не требуют OCR и подходят для полного индекса; public-domain facsimiles пригодны для OCR; read-only protected editions не должны попадать в публичный полнотекстовый индекс. Локальный исследовательский индекс защищённого материала также должен соответствовать условиям доступа и не превращаться в публичную копию.</w:t>
      </w:r>
    </w:p>
    <w:p>
      <w:pPr>
        <w:pStyle w:val="Heading2"/>
      </w:pPr>
      <w:r>
        <w:t>4.4. Собственный перевод ToS</w:t>
      </w:r>
    </w:p>
    <w:p>
      <w:r>
        <w:t>66 записей содержат некоторую чистую основу, но часто только фрагмент, один witness или старую редакцию. Сильнейшие основания: OGL TEI/XML, HMT transcriptions, DCLP EpiDoc, SMB CC BY-SA photograph, explicit PDM scans и средневековые facsimiles, доступные для исследования. Нельзя строить свободно распространяемый перевод исключительно по защищённому Pfeiffer/Erbse/Lallot/Householder или modern intermediary translation.</w:t>
      </w:r>
    </w:p>
    <w:p>
      <w:pPr>
        <w:pStyle w:val="Heading1"/>
      </w:pPr>
      <w:r>
        <w:t>5. Характерные правовые тонкости</w:t>
      </w:r>
    </w:p>
    <w:p>
      <w:pPr>
        <w:pStyle w:val="ListNumber"/>
      </w:pPr>
      <w:r>
        <w:rPr>
          <w:b/>
        </w:rPr>
        <w:t xml:space="preserve">Древность произведения не освобождает современную редакцию. </w:t>
      </w:r>
      <w:r>
        <w:t>Pinakes, Aristarchus и Techne древние, но Pfeiffer, Schironi, Lallot и современный аппарат защищены.</w:t>
      </w:r>
    </w:p>
    <w:p>
      <w:pPr>
        <w:pStyle w:val="ListNumber"/>
      </w:pPr>
      <w:r>
        <w:rPr>
          <w:b/>
        </w:rPr>
        <w:t xml:space="preserve">Фрагмент не равен полному произведению. </w:t>
      </w:r>
      <w:r>
        <w:t>OWN_TRANSLATION_POSSIBLE для Zenodotus/Aristarchus/P 9780 означает перевод только сохранившихся цитат или конкретного папируса.</w:t>
      </w:r>
    </w:p>
    <w:p>
      <w:pPr>
        <w:pStyle w:val="ListNumber"/>
      </w:pPr>
      <w:r>
        <w:rPr>
          <w:b/>
        </w:rPr>
        <w:t xml:space="preserve">Текст, данные и фотография — разные объекты. </w:t>
      </w:r>
      <w:r>
        <w:t>Papyri.info может открыть EpiDoc по CC BY, тогда как музейная фотография имеет другую лицензию или вообще не входит в проект.</w:t>
      </w:r>
    </w:p>
    <w:p>
      <w:pPr>
        <w:pStyle w:val="ListNumber"/>
      </w:pPr>
      <w:r>
        <w:rPr>
          <w:b/>
        </w:rPr>
        <w:t xml:space="preserve">Public Domain Mark — маркировка, не договорная лицензия. </w:t>
      </w:r>
      <w:r>
        <w:t>Она сильна как item-level evidence статуса, но ToS всё равно должен сохранять provenance и не переносить её на новые компоненты.</w:t>
      </w:r>
    </w:p>
    <w:p>
      <w:pPr>
        <w:pStyle w:val="ListNumber"/>
      </w:pPr>
      <w:r>
        <w:rPr>
          <w:b/>
        </w:rPr>
        <w:t xml:space="preserve">Download не означает mirror. </w:t>
      </w:r>
      <w:r>
        <w:t>Google Books, HathiTrust и OA repositories могут разрешать чтение/загрузку, не предоставляя право публично раздавать тот же цифровой файл.</w:t>
      </w:r>
    </w:p>
    <w:p>
      <w:pPr>
        <w:pStyle w:val="ListNumber"/>
      </w:pPr>
      <w:r>
        <w:rPr>
          <w:b/>
        </w:rPr>
        <w:t xml:space="preserve">NC и ShareAlike полезны, но имеют условия. </w:t>
      </w:r>
      <w:r>
        <w:t>Для нынешнего публичного некоммерческого ToS HMT/Suda пригодны; при изменении модели проекта потребуется повторная проверка.</w:t>
      </w:r>
    </w:p>
    <w:p>
      <w:pPr>
        <w:pStyle w:val="ListNumber"/>
      </w:pPr>
      <w:r>
        <w:rPr>
          <w:b/>
        </w:rPr>
        <w:t xml:space="preserve">Юрисдикции различаются. </w:t>
      </w:r>
      <w:r>
        <w:t>Старое издание может быть public domain в США по дате публикации, но срок охраны редактора/переводчика и database/image rights в другой стране требуют отдельного анализа.</w:t>
      </w:r>
    </w:p>
    <w:p>
      <w:pPr>
        <w:pStyle w:val="ListNumber"/>
      </w:pPr>
      <w:r>
        <w:rPr>
          <w:b/>
        </w:rPr>
        <w:t xml:space="preserve">Открытая транскрипция не гарантирует нейтральность реконструкции. </w:t>
      </w:r>
      <w:r>
        <w:t>Для утраченных произведений современная supplement/reconstruction может быть творчески защищена; переводить безопаснее буквенный открытый слой и явно маркировать conjectures.</w:t>
      </w:r>
    </w:p>
    <w:p>
      <w:pPr>
        <w:pStyle w:val="Heading1"/>
      </w:pPr>
      <w:r>
        <w:t>6. Пробелы и дальнейший поиск</w:t>
      </w:r>
    </w:p>
    <w:p>
      <w:r>
        <w:t>Лист gaps фиксирует не «неудачи», а границы доказанного корпуса: утраченные оригиналы, не найденные item-level страницы, неполные digital editions и современные защищённые corpora. Ниже — наиболее значимые пробелы.</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907"/>
            <w:shd w:fill="17365D"/>
            <w:tcMar>
              <w:top w:w="90" w:type="dxa"/>
              <w:start w:w="110" w:type="dxa"/>
              <w:bottom w:w="90" w:type="dxa"/>
              <w:end w:w="110" w:type="dxa"/>
            </w:tcMar>
          </w:tcPr>
          <w:p>
            <w:pPr>
              <w:jc w:val="center"/>
            </w:pPr>
            <w:r>
              <w:rPr>
                <w:b/>
                <w:color w:val="FFFFFF"/>
                <w:sz w:val="18"/>
              </w:rPr>
              <w:t>ID</w:t>
            </w:r>
          </w:p>
        </w:tc>
        <w:tc>
          <w:tcPr>
            <w:tcW w:type="dxa" w:w="2835"/>
            <w:shd w:fill="17365D"/>
            <w:tcMar>
              <w:top w:w="90" w:type="dxa"/>
              <w:start w:w="110" w:type="dxa"/>
              <w:bottom w:w="90" w:type="dxa"/>
              <w:end w:w="110" w:type="dxa"/>
            </w:tcMar>
          </w:tcPr>
          <w:p>
            <w:pPr>
              <w:jc w:val="center"/>
            </w:pPr>
            <w:r>
              <w:rPr>
                <w:b/>
                <w:color w:val="FFFFFF"/>
                <w:sz w:val="18"/>
              </w:rPr>
              <w:t>Кандидат / пробел</w:t>
            </w:r>
          </w:p>
        </w:tc>
        <w:tc>
          <w:tcPr>
            <w:tcW w:type="dxa" w:w="1757"/>
            <w:shd w:fill="17365D"/>
            <w:tcMar>
              <w:top w:w="90" w:type="dxa"/>
              <w:start w:w="110" w:type="dxa"/>
              <w:bottom w:w="90" w:type="dxa"/>
              <w:end w:w="110" w:type="dxa"/>
            </w:tcMar>
          </w:tcPr>
          <w:p>
            <w:pPr>
              <w:jc w:val="center"/>
            </w:pPr>
            <w:r>
              <w:rPr>
                <w:b/>
                <w:color w:val="FFFFFF"/>
                <w:sz w:val="18"/>
              </w:rPr>
              <w:t>Роль</w:t>
            </w:r>
          </w:p>
        </w:tc>
        <w:tc>
          <w:tcPr>
            <w:tcW w:type="dxa" w:w="1134"/>
            <w:shd w:fill="17365D"/>
            <w:tcMar>
              <w:top w:w="90" w:type="dxa"/>
              <w:start w:w="110" w:type="dxa"/>
              <w:bottom w:w="90" w:type="dxa"/>
              <w:end w:w="110" w:type="dxa"/>
            </w:tcMar>
          </w:tcPr>
          <w:p>
            <w:pPr>
              <w:jc w:val="center"/>
            </w:pPr>
            <w:r>
              <w:rPr>
                <w:b/>
                <w:color w:val="FFFFFF"/>
                <w:sz w:val="18"/>
              </w:rPr>
              <w:t>Приоритет</w:t>
            </w:r>
          </w:p>
        </w:tc>
        <w:tc>
          <w:tcPr>
            <w:tcW w:type="dxa" w:w="3005"/>
            <w:shd w:fill="17365D"/>
            <w:tcMar>
              <w:top w:w="90" w:type="dxa"/>
              <w:start w:w="110" w:type="dxa"/>
              <w:bottom w:w="90" w:type="dxa"/>
              <w:end w:w="110" w:type="dxa"/>
            </w:tcMar>
          </w:tcPr>
          <w:p>
            <w:pPr>
              <w:jc w:val="center"/>
            </w:pPr>
            <w:r>
              <w:rPr>
                <w:b/>
                <w:color w:val="FFFFFF"/>
                <w:sz w:val="18"/>
              </w:rPr>
              <w:t>Почему не в registry</w:t>
            </w:r>
          </w:p>
        </w:tc>
      </w:tr>
      <w:tr>
        <w:trPr>
          <w:cantSplit/>
        </w:trPr>
        <w:tc>
          <w:tcPr>
            <w:tcW w:type="dxa" w:w="907"/>
            <w:tcMar>
              <w:top w:w="90" w:type="dxa"/>
              <w:start w:w="110" w:type="dxa"/>
              <w:bottom w:w="90" w:type="dxa"/>
              <w:end w:w="110" w:type="dxa"/>
            </w:tcMar>
            <w:vAlign w:val="top"/>
          </w:tcPr>
          <w:p>
            <w:pPr>
              <w:spacing w:after="0"/>
            </w:pPr>
            <w:r>
              <w:rPr>
                <w:sz w:val="17"/>
              </w:rPr>
              <w:t>A28-G01</w:t>
            </w:r>
          </w:p>
        </w:tc>
        <w:tc>
          <w:tcPr>
            <w:tcW w:type="dxa" w:w="2835"/>
            <w:tcMar>
              <w:top w:w="90" w:type="dxa"/>
              <w:start w:w="110" w:type="dxa"/>
              <w:bottom w:w="90" w:type="dxa"/>
              <w:end w:w="110" w:type="dxa"/>
            </w:tcMar>
            <w:vAlign w:val="top"/>
          </w:tcPr>
          <w:p>
            <w:pPr>
              <w:spacing w:after="0"/>
            </w:pPr>
            <w:r>
              <w:rPr>
                <w:sz w:val="17"/>
              </w:rPr>
              <w:t>Callimachus, Pinakes — complete fragment/testimonia corpus</w:t>
            </w:r>
          </w:p>
        </w:tc>
        <w:tc>
          <w:tcPr>
            <w:tcW w:type="dxa" w:w="1757"/>
            <w:tcMar>
              <w:top w:w="90" w:type="dxa"/>
              <w:start w:w="110" w:type="dxa"/>
              <w:bottom w:w="90" w:type="dxa"/>
              <w:end w:w="110" w:type="dxa"/>
            </w:tcMar>
            <w:vAlign w:val="top"/>
          </w:tcPr>
          <w:p>
            <w:pPr>
              <w:spacing w:after="0"/>
            </w:pPr>
            <w:r>
              <w:rPr>
                <w:sz w:val="17"/>
              </w:rPr>
              <w:t>core</w:t>
            </w:r>
          </w:p>
        </w:tc>
        <w:tc>
          <w:tcPr>
            <w:tcW w:type="dxa" w:w="1134"/>
            <w:tcMar>
              <w:top w:w="90" w:type="dxa"/>
              <w:start w:w="110" w:type="dxa"/>
              <w:bottom w:w="90" w:type="dxa"/>
              <w:end w:w="110" w:type="dxa"/>
            </w:tcMar>
            <w:vAlign w:val="top"/>
          </w:tcPr>
          <w:p>
            <w:pPr>
              <w:spacing w:after="0"/>
            </w:pPr>
            <w:r>
              <w:rPr>
                <w:sz w:val="17"/>
              </w:rPr>
              <w:t>high</w:t>
            </w:r>
          </w:p>
        </w:tc>
        <w:tc>
          <w:tcPr>
            <w:tcW w:type="dxa" w:w="3005"/>
            <w:tcMar>
              <w:top w:w="90" w:type="dxa"/>
              <w:start w:w="110" w:type="dxa"/>
              <w:bottom w:w="90" w:type="dxa"/>
              <w:end w:w="110" w:type="dxa"/>
            </w:tcMar>
            <w:vAlign w:val="top"/>
          </w:tcPr>
          <w:p>
            <w:pPr>
              <w:spacing w:after="0"/>
            </w:pPr>
            <w:r>
              <w:rPr>
                <w:sz w:val="17"/>
              </w:rPr>
              <w:t>Самостоятельное произведение утрачено; найденные маршруты ведут к защищённым современным реконструкциям, отдельным testimonia и общим изданиям Каллимаха, но не к открытому item-level корпусу всех фрагментов Pinakes.</w:t>
            </w:r>
          </w:p>
        </w:tc>
      </w:tr>
      <w:tr>
        <w:trPr>
          <w:cantSplit/>
        </w:trPr>
        <w:tc>
          <w:tcPr>
            <w:tcW w:type="dxa" w:w="907"/>
            <w:shd w:fill="F4F8FB"/>
            <w:tcMar>
              <w:top w:w="90" w:type="dxa"/>
              <w:start w:w="110" w:type="dxa"/>
              <w:bottom w:w="90" w:type="dxa"/>
              <w:end w:w="110" w:type="dxa"/>
            </w:tcMar>
            <w:vAlign w:val="top"/>
          </w:tcPr>
          <w:p>
            <w:pPr>
              <w:spacing w:after="0"/>
            </w:pPr>
            <w:r>
              <w:rPr>
                <w:sz w:val="17"/>
              </w:rPr>
              <w:t>A28-G02</w:t>
            </w:r>
          </w:p>
        </w:tc>
        <w:tc>
          <w:tcPr>
            <w:tcW w:type="dxa" w:w="2835"/>
            <w:shd w:fill="F4F8FB"/>
            <w:tcMar>
              <w:top w:w="90" w:type="dxa"/>
              <w:start w:w="110" w:type="dxa"/>
              <w:bottom w:w="90" w:type="dxa"/>
              <w:end w:w="110" w:type="dxa"/>
            </w:tcMar>
            <w:vAlign w:val="top"/>
          </w:tcPr>
          <w:p>
            <w:pPr>
              <w:spacing w:after="0"/>
            </w:pPr>
            <w:r>
              <w:rPr>
                <w:sz w:val="17"/>
              </w:rPr>
              <w:t>Zenodotus — dedicated corpus of Homeric readings</w:t>
            </w:r>
          </w:p>
        </w:tc>
        <w:tc>
          <w:tcPr>
            <w:tcW w:type="dxa" w:w="1757"/>
            <w:shd w:fill="F4F8FB"/>
            <w:tcMar>
              <w:top w:w="90" w:type="dxa"/>
              <w:start w:w="110" w:type="dxa"/>
              <w:bottom w:w="90" w:type="dxa"/>
              <w:end w:w="110" w:type="dxa"/>
            </w:tcMar>
            <w:vAlign w:val="top"/>
          </w:tcPr>
          <w:p>
            <w:pPr>
              <w:spacing w:after="0"/>
            </w:pPr>
            <w:r>
              <w:rPr>
                <w:sz w:val="17"/>
              </w:rPr>
              <w:t>core</w:t>
            </w:r>
          </w:p>
        </w:tc>
        <w:tc>
          <w:tcPr>
            <w:tcW w:type="dxa" w:w="1134"/>
            <w:shd w:fill="F4F8FB"/>
            <w:tcMar>
              <w:top w:w="90" w:type="dxa"/>
              <w:start w:w="110" w:type="dxa"/>
              <w:bottom w:w="90" w:type="dxa"/>
              <w:end w:w="110" w:type="dxa"/>
            </w:tcMar>
            <w:vAlign w:val="top"/>
          </w:tcPr>
          <w:p>
            <w:pPr>
              <w:spacing w:after="0"/>
            </w:pPr>
            <w:r>
              <w:rPr>
                <w:sz w:val="17"/>
              </w:rPr>
              <w:t>high</w:t>
            </w:r>
          </w:p>
        </w:tc>
        <w:tc>
          <w:tcPr>
            <w:tcW w:type="dxa" w:w="3005"/>
            <w:shd w:fill="F4F8FB"/>
            <w:tcMar>
              <w:top w:w="90" w:type="dxa"/>
              <w:start w:w="110" w:type="dxa"/>
              <w:bottom w:w="90" w:type="dxa"/>
              <w:end w:w="110" w:type="dxa"/>
            </w:tcMar>
            <w:vAlign w:val="top"/>
          </w:tcPr>
          <w:p>
            <w:pPr>
              <w:spacing w:after="0"/>
            </w:pPr>
            <w:r>
              <w:rPr>
                <w:sz w:val="17"/>
              </w:rPr>
              <w:t>Чтения доступны рассеянно внутри scholia/HMT; отдельный полнотекстовый или машиночитаемый корпус фрагментов с современной идентификацией не найден.</w:t>
            </w:r>
          </w:p>
        </w:tc>
      </w:tr>
      <w:tr>
        <w:trPr>
          <w:cantSplit/>
        </w:trPr>
        <w:tc>
          <w:tcPr>
            <w:tcW w:type="dxa" w:w="907"/>
            <w:tcMar>
              <w:top w:w="90" w:type="dxa"/>
              <w:start w:w="110" w:type="dxa"/>
              <w:bottom w:w="90" w:type="dxa"/>
              <w:end w:w="110" w:type="dxa"/>
            </w:tcMar>
            <w:vAlign w:val="top"/>
          </w:tcPr>
          <w:p>
            <w:pPr>
              <w:spacing w:after="0"/>
            </w:pPr>
            <w:r>
              <w:rPr>
                <w:sz w:val="17"/>
              </w:rPr>
              <w:t>A28-G03</w:t>
            </w:r>
          </w:p>
        </w:tc>
        <w:tc>
          <w:tcPr>
            <w:tcW w:type="dxa" w:w="2835"/>
            <w:tcMar>
              <w:top w:w="90" w:type="dxa"/>
              <w:start w:w="110" w:type="dxa"/>
              <w:bottom w:w="90" w:type="dxa"/>
              <w:end w:w="110" w:type="dxa"/>
            </w:tcMar>
            <w:vAlign w:val="top"/>
          </w:tcPr>
          <w:p>
            <w:pPr>
              <w:spacing w:after="0"/>
            </w:pPr>
            <w:r>
              <w:rPr>
                <w:sz w:val="17"/>
              </w:rPr>
              <w:t>Aristarchus — original ekdosis and hypomnemata</w:t>
            </w:r>
          </w:p>
        </w:tc>
        <w:tc>
          <w:tcPr>
            <w:tcW w:type="dxa" w:w="1757"/>
            <w:tcMar>
              <w:top w:w="90" w:type="dxa"/>
              <w:start w:w="110" w:type="dxa"/>
              <w:bottom w:w="90" w:type="dxa"/>
              <w:end w:w="110" w:type="dxa"/>
            </w:tcMar>
            <w:vAlign w:val="top"/>
          </w:tcPr>
          <w:p>
            <w:pPr>
              <w:spacing w:after="0"/>
            </w:pPr>
            <w:r>
              <w:rPr>
                <w:sz w:val="17"/>
              </w:rPr>
              <w:t>core</w:t>
            </w:r>
          </w:p>
        </w:tc>
        <w:tc>
          <w:tcPr>
            <w:tcW w:type="dxa" w:w="1134"/>
            <w:tcMar>
              <w:top w:w="90" w:type="dxa"/>
              <w:start w:w="110" w:type="dxa"/>
              <w:bottom w:w="90" w:type="dxa"/>
              <w:end w:w="110" w:type="dxa"/>
            </w:tcMar>
            <w:vAlign w:val="top"/>
          </w:tcPr>
          <w:p>
            <w:pPr>
              <w:spacing w:after="0"/>
            </w:pPr>
            <w:r>
              <w:rPr>
                <w:sz w:val="17"/>
              </w:rPr>
              <w:t>high</w:t>
            </w:r>
          </w:p>
        </w:tc>
        <w:tc>
          <w:tcPr>
            <w:tcW w:type="dxa" w:w="3005"/>
            <w:tcMar>
              <w:top w:w="90" w:type="dxa"/>
              <w:start w:w="110" w:type="dxa"/>
              <w:bottom w:w="90" w:type="dxa"/>
              <w:end w:w="110" w:type="dxa"/>
            </w:tcMar>
            <w:vAlign w:val="top"/>
          </w:tcPr>
          <w:p>
            <w:pPr>
              <w:spacing w:after="0"/>
            </w:pPr>
            <w:r>
              <w:rPr>
                <w:sz w:val="17"/>
              </w:rPr>
              <w:t>Оригинальные труды утрачены; доступны только фрагменты и сообщения через Аристоника, Дидима и scholia.</w:t>
            </w:r>
          </w:p>
        </w:tc>
      </w:tr>
      <w:tr>
        <w:trPr>
          <w:cantSplit/>
        </w:trPr>
        <w:tc>
          <w:tcPr>
            <w:tcW w:type="dxa" w:w="907"/>
            <w:shd w:fill="F4F8FB"/>
            <w:tcMar>
              <w:top w:w="90" w:type="dxa"/>
              <w:start w:w="110" w:type="dxa"/>
              <w:bottom w:w="90" w:type="dxa"/>
              <w:end w:w="110" w:type="dxa"/>
            </w:tcMar>
            <w:vAlign w:val="top"/>
          </w:tcPr>
          <w:p>
            <w:pPr>
              <w:spacing w:after="0"/>
            </w:pPr>
            <w:r>
              <w:rPr>
                <w:sz w:val="17"/>
              </w:rPr>
              <w:t>A28-G04</w:t>
            </w:r>
          </w:p>
        </w:tc>
        <w:tc>
          <w:tcPr>
            <w:tcW w:type="dxa" w:w="2835"/>
            <w:shd w:fill="F4F8FB"/>
            <w:tcMar>
              <w:top w:w="90" w:type="dxa"/>
              <w:start w:w="110" w:type="dxa"/>
              <w:bottom w:w="90" w:type="dxa"/>
              <w:end w:w="110" w:type="dxa"/>
            </w:tcMar>
            <w:vAlign w:val="top"/>
          </w:tcPr>
          <w:p>
            <w:pPr>
              <w:spacing w:after="0"/>
            </w:pPr>
            <w:r>
              <w:rPr>
                <w:sz w:val="17"/>
              </w:rPr>
              <w:t>Aristonicus, Περὶ σημείων Ἰλιακῶν — separate open edition</w:t>
            </w:r>
          </w:p>
        </w:tc>
        <w:tc>
          <w:tcPr>
            <w:tcW w:type="dxa" w:w="1757"/>
            <w:shd w:fill="F4F8FB"/>
            <w:tcMar>
              <w:top w:w="90" w:type="dxa"/>
              <w:start w:w="110" w:type="dxa"/>
              <w:bottom w:w="90" w:type="dxa"/>
              <w:end w:w="110" w:type="dxa"/>
            </w:tcMar>
            <w:vAlign w:val="top"/>
          </w:tcPr>
          <w:p>
            <w:pPr>
              <w:spacing w:after="0"/>
            </w:pPr>
            <w:r>
              <w:rPr>
                <w:sz w:val="17"/>
              </w:rPr>
              <w:t>transmission_or_preservation</w:t>
            </w:r>
          </w:p>
        </w:tc>
        <w:tc>
          <w:tcPr>
            <w:tcW w:type="dxa" w:w="1134"/>
            <w:shd w:fill="F4F8FB"/>
            <w:tcMar>
              <w:top w:w="90" w:type="dxa"/>
              <w:start w:w="110" w:type="dxa"/>
              <w:bottom w:w="90" w:type="dxa"/>
              <w:end w:w="110" w:type="dxa"/>
            </w:tcMar>
            <w:vAlign w:val="top"/>
          </w:tcPr>
          <w:p>
            <w:pPr>
              <w:spacing w:after="0"/>
            </w:pPr>
            <w:r>
              <w:rPr>
                <w:sz w:val="17"/>
              </w:rPr>
              <w:t>high</w:t>
            </w:r>
          </w:p>
        </w:tc>
        <w:tc>
          <w:tcPr>
            <w:tcW w:type="dxa" w:w="3005"/>
            <w:shd w:fill="F4F8FB"/>
            <w:tcMar>
              <w:top w:w="90" w:type="dxa"/>
              <w:start w:w="110" w:type="dxa"/>
              <w:bottom w:w="90" w:type="dxa"/>
              <w:end w:w="110" w:type="dxa"/>
            </w:tcMar>
            <w:vAlign w:val="top"/>
          </w:tcPr>
          <w:p>
            <w:pPr>
              <w:spacing w:after="0"/>
            </w:pPr>
            <w:r>
              <w:rPr>
                <w:sz w:val="17"/>
              </w:rPr>
              <w:t>Фрагменты представлены внутри A-scholia и Vat.gr.305; отдельная полная открытая критическая редакция/перевод не обнаружены.</w:t>
            </w:r>
          </w:p>
        </w:tc>
      </w:tr>
      <w:tr>
        <w:trPr>
          <w:cantSplit/>
        </w:trPr>
        <w:tc>
          <w:tcPr>
            <w:tcW w:type="dxa" w:w="907"/>
            <w:tcMar>
              <w:top w:w="90" w:type="dxa"/>
              <w:start w:w="110" w:type="dxa"/>
              <w:bottom w:w="90" w:type="dxa"/>
              <w:end w:w="110" w:type="dxa"/>
            </w:tcMar>
            <w:vAlign w:val="top"/>
          </w:tcPr>
          <w:p>
            <w:pPr>
              <w:spacing w:after="0"/>
            </w:pPr>
            <w:r>
              <w:rPr>
                <w:sz w:val="17"/>
              </w:rPr>
              <w:t>A28-G05</w:t>
            </w:r>
          </w:p>
        </w:tc>
        <w:tc>
          <w:tcPr>
            <w:tcW w:type="dxa" w:w="2835"/>
            <w:tcMar>
              <w:top w:w="90" w:type="dxa"/>
              <w:start w:w="110" w:type="dxa"/>
              <w:bottom w:w="90" w:type="dxa"/>
              <w:end w:w="110" w:type="dxa"/>
            </w:tcMar>
            <w:vAlign w:val="top"/>
          </w:tcPr>
          <w:p>
            <w:pPr>
              <w:spacing w:after="0"/>
            </w:pPr>
            <w:r>
              <w:rPr>
                <w:sz w:val="17"/>
              </w:rPr>
              <w:t>Nicanor, Περὶ στιγμῆς — separate edition</w:t>
            </w:r>
          </w:p>
        </w:tc>
        <w:tc>
          <w:tcPr>
            <w:tcW w:type="dxa" w:w="1757"/>
            <w:tcMar>
              <w:top w:w="90" w:type="dxa"/>
              <w:start w:w="110" w:type="dxa"/>
              <w:bottom w:w="90" w:type="dxa"/>
              <w:end w:w="110" w:type="dxa"/>
            </w:tcMar>
            <w:vAlign w:val="top"/>
          </w:tcPr>
          <w:p>
            <w:pPr>
              <w:spacing w:after="0"/>
            </w:pPr>
            <w:r>
              <w:rPr>
                <w:sz w:val="17"/>
              </w:rPr>
              <w:t>transmission_or_preservation</w:t>
            </w:r>
          </w:p>
        </w:tc>
        <w:tc>
          <w:tcPr>
            <w:tcW w:type="dxa" w:w="1134"/>
            <w:tcMar>
              <w:top w:w="90" w:type="dxa"/>
              <w:start w:w="110" w:type="dxa"/>
              <w:bottom w:w="90" w:type="dxa"/>
              <w:end w:w="110" w:type="dxa"/>
            </w:tcMar>
            <w:vAlign w:val="top"/>
          </w:tcPr>
          <w:p>
            <w:pPr>
              <w:spacing w:after="0"/>
            </w:pPr>
            <w:r>
              <w:rPr>
                <w:sz w:val="17"/>
              </w:rPr>
              <w:t>medium</w:t>
            </w:r>
          </w:p>
        </w:tc>
        <w:tc>
          <w:tcPr>
            <w:tcW w:type="dxa" w:w="3005"/>
            <w:tcMar>
              <w:top w:w="90" w:type="dxa"/>
              <w:start w:w="110" w:type="dxa"/>
              <w:bottom w:w="90" w:type="dxa"/>
              <w:end w:w="110" w:type="dxa"/>
            </w:tcMar>
            <w:vAlign w:val="top"/>
          </w:tcPr>
          <w:p>
            <w:pPr>
              <w:spacing w:after="0"/>
            </w:pPr>
            <w:r>
              <w:rPr>
                <w:sz w:val="17"/>
              </w:rPr>
              <w:t>Материал доступен только как слой scholia; отдельный цифровой корпус пунктуационных scholia не найден.</w:t>
            </w:r>
          </w:p>
        </w:tc>
      </w:tr>
      <w:tr>
        <w:trPr>
          <w:cantSplit/>
        </w:trPr>
        <w:tc>
          <w:tcPr>
            <w:tcW w:type="dxa" w:w="907"/>
            <w:shd w:fill="F4F8FB"/>
            <w:tcMar>
              <w:top w:w="90" w:type="dxa"/>
              <w:start w:w="110" w:type="dxa"/>
              <w:bottom w:w="90" w:type="dxa"/>
              <w:end w:w="110" w:type="dxa"/>
            </w:tcMar>
            <w:vAlign w:val="top"/>
          </w:tcPr>
          <w:p>
            <w:pPr>
              <w:spacing w:after="0"/>
            </w:pPr>
            <w:r>
              <w:rPr>
                <w:sz w:val="17"/>
              </w:rPr>
              <w:t>A28-G06</w:t>
            </w:r>
          </w:p>
        </w:tc>
        <w:tc>
          <w:tcPr>
            <w:tcW w:type="dxa" w:w="2835"/>
            <w:shd w:fill="F4F8FB"/>
            <w:tcMar>
              <w:top w:w="90" w:type="dxa"/>
              <w:start w:w="110" w:type="dxa"/>
              <w:bottom w:w="90" w:type="dxa"/>
              <w:end w:w="110" w:type="dxa"/>
            </w:tcMar>
            <w:vAlign w:val="top"/>
          </w:tcPr>
          <w:p>
            <w:pPr>
              <w:spacing w:after="0"/>
            </w:pPr>
            <w:r>
              <w:rPr>
                <w:sz w:val="17"/>
              </w:rPr>
              <w:t>Tryphon — modern critical edition and translation</w:t>
            </w:r>
          </w:p>
        </w:tc>
        <w:tc>
          <w:tcPr>
            <w:tcW w:type="dxa" w:w="1757"/>
            <w:shd w:fill="F4F8FB"/>
            <w:tcMar>
              <w:top w:w="90" w:type="dxa"/>
              <w:start w:w="110" w:type="dxa"/>
              <w:bottom w:w="90" w:type="dxa"/>
              <w:end w:w="110" w:type="dxa"/>
            </w:tcMar>
            <w:vAlign w:val="top"/>
          </w:tcPr>
          <w:p>
            <w:pPr>
              <w:spacing w:after="0"/>
            </w:pPr>
            <w:r>
              <w:rPr>
                <w:sz w:val="17"/>
              </w:rPr>
              <w:t>same_corpus_or_tradition</w:t>
            </w:r>
          </w:p>
        </w:tc>
        <w:tc>
          <w:tcPr>
            <w:tcW w:type="dxa" w:w="1134"/>
            <w:shd w:fill="F4F8FB"/>
            <w:tcMar>
              <w:top w:w="90" w:type="dxa"/>
              <w:start w:w="110" w:type="dxa"/>
              <w:bottom w:w="90" w:type="dxa"/>
              <w:end w:w="110" w:type="dxa"/>
            </w:tcMar>
            <w:vAlign w:val="top"/>
          </w:tcPr>
          <w:p>
            <w:pPr>
              <w:spacing w:after="0"/>
            </w:pPr>
            <w:r>
              <w:rPr>
                <w:sz w:val="17"/>
              </w:rPr>
              <w:t>medium</w:t>
            </w:r>
          </w:p>
        </w:tc>
        <w:tc>
          <w:tcPr>
            <w:tcW w:type="dxa" w:w="3005"/>
            <w:shd w:fill="F4F8FB"/>
            <w:tcMar>
              <w:top w:w="90" w:type="dxa"/>
              <w:start w:w="110" w:type="dxa"/>
              <w:bottom w:w="90" w:type="dxa"/>
              <w:end w:w="110" w:type="dxa"/>
            </w:tcMar>
            <w:vAlign w:val="top"/>
          </w:tcPr>
          <w:p>
            <w:pPr>
              <w:spacing w:after="0"/>
            </w:pPr>
            <w:r>
              <w:rPr>
                <w:sz w:val="17"/>
              </w:rPr>
              <w:t>Найдено публичнодоменное издание Velsen; современная полноформатная критическая редакция/перевод с устойчивой издательской страницей не подтверждены.</w:t>
            </w:r>
          </w:p>
        </w:tc>
      </w:tr>
      <w:tr>
        <w:trPr>
          <w:cantSplit/>
        </w:trPr>
        <w:tc>
          <w:tcPr>
            <w:tcW w:type="dxa" w:w="907"/>
            <w:tcMar>
              <w:top w:w="90" w:type="dxa"/>
              <w:start w:w="110" w:type="dxa"/>
              <w:bottom w:w="90" w:type="dxa"/>
              <w:end w:w="110" w:type="dxa"/>
            </w:tcMar>
            <w:vAlign w:val="top"/>
          </w:tcPr>
          <w:p>
            <w:pPr>
              <w:spacing w:after="0"/>
            </w:pPr>
            <w:r>
              <w:rPr>
                <w:sz w:val="17"/>
              </w:rPr>
              <w:t>A28-G07</w:t>
            </w:r>
          </w:p>
        </w:tc>
        <w:tc>
          <w:tcPr>
            <w:tcW w:type="dxa" w:w="2835"/>
            <w:tcMar>
              <w:top w:w="90" w:type="dxa"/>
              <w:start w:w="110" w:type="dxa"/>
              <w:bottom w:w="90" w:type="dxa"/>
              <w:end w:w="110" w:type="dxa"/>
            </w:tcMar>
            <w:vAlign w:val="top"/>
          </w:tcPr>
          <w:p>
            <w:pPr>
              <w:spacing w:after="0"/>
            </w:pPr>
            <w:r>
              <w:rPr>
                <w:sz w:val="17"/>
              </w:rPr>
              <w:t>Dionysius Thrax — Syriac translation tradition</w:t>
            </w:r>
          </w:p>
        </w:tc>
        <w:tc>
          <w:tcPr>
            <w:tcW w:type="dxa" w:w="1757"/>
            <w:tcMar>
              <w:top w:w="90" w:type="dxa"/>
              <w:start w:w="110" w:type="dxa"/>
              <w:bottom w:w="90" w:type="dxa"/>
              <w:end w:w="110" w:type="dxa"/>
            </w:tcMar>
            <w:vAlign w:val="top"/>
          </w:tcPr>
          <w:p>
            <w:pPr>
              <w:spacing w:after="0"/>
            </w:pPr>
            <w:r>
              <w:rPr>
                <w:sz w:val="17"/>
              </w:rPr>
              <w:t>transmission_or_preservation</w:t>
            </w:r>
          </w:p>
        </w:tc>
        <w:tc>
          <w:tcPr>
            <w:tcW w:type="dxa" w:w="1134"/>
            <w:tcMar>
              <w:top w:w="90" w:type="dxa"/>
              <w:start w:w="110" w:type="dxa"/>
              <w:bottom w:w="90" w:type="dxa"/>
              <w:end w:w="110" w:type="dxa"/>
            </w:tcMar>
            <w:vAlign w:val="top"/>
          </w:tcPr>
          <w:p>
            <w:pPr>
              <w:spacing w:after="0"/>
            </w:pPr>
            <w:r>
              <w:rPr>
                <w:sz w:val="17"/>
              </w:rPr>
              <w:t>high</w:t>
            </w:r>
          </w:p>
        </w:tc>
        <w:tc>
          <w:tcPr>
            <w:tcW w:type="dxa" w:w="3005"/>
            <w:tcMar>
              <w:top w:w="90" w:type="dxa"/>
              <w:start w:w="110" w:type="dxa"/>
              <w:bottom w:w="90" w:type="dxa"/>
              <w:end w:w="110" w:type="dxa"/>
            </w:tcMar>
            <w:vAlign w:val="top"/>
          </w:tcPr>
          <w:p>
            <w:pPr>
              <w:spacing w:after="0"/>
            </w:pPr>
            <w:r>
              <w:rPr>
                <w:sz w:val="17"/>
              </w:rPr>
              <w:t>Связь известна из академической литературы, но item-level цифровой свидетель, издание и rights statement не установлены в пределах исследования.</w:t>
            </w:r>
          </w:p>
        </w:tc>
      </w:tr>
      <w:tr>
        <w:trPr>
          <w:cantSplit/>
        </w:trPr>
        <w:tc>
          <w:tcPr>
            <w:tcW w:type="dxa" w:w="907"/>
            <w:shd w:fill="F4F8FB"/>
            <w:tcMar>
              <w:top w:w="90" w:type="dxa"/>
              <w:start w:w="110" w:type="dxa"/>
              <w:bottom w:w="90" w:type="dxa"/>
              <w:end w:w="110" w:type="dxa"/>
            </w:tcMar>
            <w:vAlign w:val="top"/>
          </w:tcPr>
          <w:p>
            <w:pPr>
              <w:spacing w:after="0"/>
            </w:pPr>
            <w:r>
              <w:rPr>
                <w:sz w:val="17"/>
              </w:rPr>
              <w:t>A28-G08</w:t>
            </w:r>
          </w:p>
        </w:tc>
        <w:tc>
          <w:tcPr>
            <w:tcW w:type="dxa" w:w="2835"/>
            <w:shd w:fill="F4F8FB"/>
            <w:tcMar>
              <w:top w:w="90" w:type="dxa"/>
              <w:start w:w="110" w:type="dxa"/>
              <w:bottom w:w="90" w:type="dxa"/>
              <w:end w:w="110" w:type="dxa"/>
            </w:tcMar>
            <w:vAlign w:val="top"/>
          </w:tcPr>
          <w:p>
            <w:pPr>
              <w:spacing w:after="0"/>
            </w:pPr>
            <w:r>
              <w:rPr>
                <w:sz w:val="17"/>
              </w:rPr>
              <w:t>Dionysius Thrax — Armenian translation tradition</w:t>
            </w:r>
          </w:p>
        </w:tc>
        <w:tc>
          <w:tcPr>
            <w:tcW w:type="dxa" w:w="1757"/>
            <w:shd w:fill="F4F8FB"/>
            <w:tcMar>
              <w:top w:w="90" w:type="dxa"/>
              <w:start w:w="110" w:type="dxa"/>
              <w:bottom w:w="90" w:type="dxa"/>
              <w:end w:w="110" w:type="dxa"/>
            </w:tcMar>
            <w:vAlign w:val="top"/>
          </w:tcPr>
          <w:p>
            <w:pPr>
              <w:spacing w:after="0"/>
            </w:pPr>
            <w:r>
              <w:rPr>
                <w:sz w:val="17"/>
              </w:rPr>
              <w:t>transmission_or_preservation</w:t>
            </w:r>
          </w:p>
        </w:tc>
        <w:tc>
          <w:tcPr>
            <w:tcW w:type="dxa" w:w="1134"/>
            <w:shd w:fill="F4F8FB"/>
            <w:tcMar>
              <w:top w:w="90" w:type="dxa"/>
              <w:start w:w="110" w:type="dxa"/>
              <w:bottom w:w="90" w:type="dxa"/>
              <w:end w:w="110" w:type="dxa"/>
            </w:tcMar>
            <w:vAlign w:val="top"/>
          </w:tcPr>
          <w:p>
            <w:pPr>
              <w:spacing w:after="0"/>
            </w:pPr>
            <w:r>
              <w:rPr>
                <w:sz w:val="17"/>
              </w:rPr>
              <w:t>high</w:t>
            </w:r>
          </w:p>
        </w:tc>
        <w:tc>
          <w:tcPr>
            <w:tcW w:type="dxa" w:w="3005"/>
            <w:shd w:fill="F4F8FB"/>
            <w:tcMar>
              <w:top w:w="90" w:type="dxa"/>
              <w:start w:w="110" w:type="dxa"/>
              <w:bottom w:w="90" w:type="dxa"/>
              <w:end w:w="110" w:type="dxa"/>
            </w:tcMar>
            <w:vAlign w:val="top"/>
          </w:tcPr>
          <w:p>
            <w:pPr>
              <w:spacing w:after="0"/>
            </w:pPr>
            <w:r>
              <w:rPr>
                <w:sz w:val="17"/>
              </w:rPr>
              <w:t>Надёжный item-level цифровой путь к армянскому тексту/рукописи и правам не найден.</w:t>
            </w:r>
          </w:p>
        </w:tc>
      </w:tr>
      <w:tr>
        <w:trPr>
          <w:cantSplit/>
        </w:trPr>
        <w:tc>
          <w:tcPr>
            <w:tcW w:type="dxa" w:w="907"/>
            <w:tcMar>
              <w:top w:w="90" w:type="dxa"/>
              <w:start w:w="110" w:type="dxa"/>
              <w:bottom w:w="90" w:type="dxa"/>
              <w:end w:w="110" w:type="dxa"/>
            </w:tcMar>
            <w:vAlign w:val="top"/>
          </w:tcPr>
          <w:p>
            <w:pPr>
              <w:spacing w:after="0"/>
            </w:pPr>
            <w:r>
              <w:rPr>
                <w:sz w:val="17"/>
              </w:rPr>
              <w:t>A28-G09</w:t>
            </w:r>
          </w:p>
        </w:tc>
        <w:tc>
          <w:tcPr>
            <w:tcW w:type="dxa" w:w="2835"/>
            <w:tcMar>
              <w:top w:w="90" w:type="dxa"/>
              <w:start w:w="110" w:type="dxa"/>
              <w:bottom w:w="90" w:type="dxa"/>
              <w:end w:w="110" w:type="dxa"/>
            </w:tcMar>
            <w:vAlign w:val="top"/>
          </w:tcPr>
          <w:p>
            <w:pPr>
              <w:spacing w:after="0"/>
            </w:pPr>
            <w:r>
              <w:rPr>
                <w:sz w:val="17"/>
              </w:rPr>
              <w:t>Comparetti 1901 facsimile of Venetus A</w:t>
            </w:r>
          </w:p>
        </w:tc>
        <w:tc>
          <w:tcPr>
            <w:tcW w:type="dxa" w:w="1757"/>
            <w:tcMar>
              <w:top w:w="90" w:type="dxa"/>
              <w:start w:w="110" w:type="dxa"/>
              <w:bottom w:w="90" w:type="dxa"/>
              <w:end w:w="110" w:type="dxa"/>
            </w:tcMar>
            <w:vAlign w:val="top"/>
          </w:tcPr>
          <w:p>
            <w:pPr>
              <w:spacing w:after="0"/>
            </w:pPr>
            <w:r>
              <w:rPr>
                <w:sz w:val="17"/>
              </w:rPr>
              <w:t>transmission_or_preservation</w:t>
            </w:r>
          </w:p>
        </w:tc>
        <w:tc>
          <w:tcPr>
            <w:tcW w:type="dxa" w:w="1134"/>
            <w:tcMar>
              <w:top w:w="90" w:type="dxa"/>
              <w:start w:w="110" w:type="dxa"/>
              <w:bottom w:w="90" w:type="dxa"/>
              <w:end w:w="110" w:type="dxa"/>
            </w:tcMar>
            <w:vAlign w:val="top"/>
          </w:tcPr>
          <w:p>
            <w:pPr>
              <w:spacing w:after="0"/>
            </w:pPr>
            <w:r>
              <w:rPr>
                <w:sz w:val="17"/>
              </w:rPr>
              <w:t>medium</w:t>
            </w:r>
          </w:p>
        </w:tc>
        <w:tc>
          <w:tcPr>
            <w:tcW w:type="dxa" w:w="3005"/>
            <w:tcMar>
              <w:top w:w="90" w:type="dxa"/>
              <w:start w:w="110" w:type="dxa"/>
              <w:bottom w:w="90" w:type="dxa"/>
              <w:end w:w="110" w:type="dxa"/>
            </w:tcMar>
            <w:vAlign w:val="top"/>
          </w:tcPr>
          <w:p>
            <w:pPr>
              <w:spacing w:after="0"/>
            </w:pPr>
            <w:r>
              <w:rPr>
                <w:sz w:val="17"/>
              </w:rPr>
              <w:t>Исторический facsimile упоминается в HMT, но надёжный открытый item-level scan с ясным rights statement не закреплён.</w:t>
            </w:r>
          </w:p>
        </w:tc>
      </w:tr>
      <w:tr>
        <w:trPr>
          <w:cantSplit/>
        </w:trPr>
        <w:tc>
          <w:tcPr>
            <w:tcW w:type="dxa" w:w="907"/>
            <w:shd w:fill="F4F8FB"/>
            <w:tcMar>
              <w:top w:w="90" w:type="dxa"/>
              <w:start w:w="110" w:type="dxa"/>
              <w:bottom w:w="90" w:type="dxa"/>
              <w:end w:w="110" w:type="dxa"/>
            </w:tcMar>
            <w:vAlign w:val="top"/>
          </w:tcPr>
          <w:p>
            <w:pPr>
              <w:spacing w:after="0"/>
            </w:pPr>
            <w:r>
              <w:rPr>
                <w:sz w:val="17"/>
              </w:rPr>
              <w:t>A28-G10</w:t>
            </w:r>
          </w:p>
        </w:tc>
        <w:tc>
          <w:tcPr>
            <w:tcW w:type="dxa" w:w="2835"/>
            <w:shd w:fill="F4F8FB"/>
            <w:tcMar>
              <w:top w:w="90" w:type="dxa"/>
              <w:start w:w="110" w:type="dxa"/>
              <w:bottom w:w="90" w:type="dxa"/>
              <w:end w:w="110" w:type="dxa"/>
            </w:tcMar>
            <w:vAlign w:val="top"/>
          </w:tcPr>
          <w:p>
            <w:pPr>
              <w:spacing w:after="0"/>
            </w:pPr>
            <w:r>
              <w:rPr>
                <w:sz w:val="17"/>
              </w:rPr>
              <w:t>Townley Homer / Burney MS 86 full facsimile</w:t>
            </w:r>
          </w:p>
        </w:tc>
        <w:tc>
          <w:tcPr>
            <w:tcW w:type="dxa" w:w="1757"/>
            <w:shd w:fill="F4F8FB"/>
            <w:tcMar>
              <w:top w:w="90" w:type="dxa"/>
              <w:start w:w="110" w:type="dxa"/>
              <w:bottom w:w="90" w:type="dxa"/>
              <w:end w:w="110" w:type="dxa"/>
            </w:tcMar>
            <w:vAlign w:val="top"/>
          </w:tcPr>
          <w:p>
            <w:pPr>
              <w:spacing w:after="0"/>
            </w:pPr>
            <w:r>
              <w:rPr>
                <w:sz w:val="17"/>
              </w:rPr>
              <w:t>transmission_or_preservation</w:t>
            </w:r>
          </w:p>
        </w:tc>
        <w:tc>
          <w:tcPr>
            <w:tcW w:type="dxa" w:w="1134"/>
            <w:shd w:fill="F4F8FB"/>
            <w:tcMar>
              <w:top w:w="90" w:type="dxa"/>
              <w:start w:w="110" w:type="dxa"/>
              <w:bottom w:w="90" w:type="dxa"/>
              <w:end w:w="110" w:type="dxa"/>
            </w:tcMar>
            <w:vAlign w:val="top"/>
          </w:tcPr>
          <w:p>
            <w:pPr>
              <w:spacing w:after="0"/>
            </w:pPr>
            <w:r>
              <w:rPr>
                <w:sz w:val="17"/>
              </w:rPr>
              <w:t>high</w:t>
            </w:r>
          </w:p>
        </w:tc>
        <w:tc>
          <w:tcPr>
            <w:tcW w:type="dxa" w:w="3005"/>
            <w:shd w:fill="F4F8FB"/>
            <w:tcMar>
              <w:top w:w="90" w:type="dxa"/>
              <w:start w:w="110" w:type="dxa"/>
              <w:bottom w:w="90" w:type="dxa"/>
              <w:end w:w="110" w:type="dxa"/>
            </w:tcMar>
            <w:vAlign w:val="top"/>
          </w:tcPr>
          <w:p>
            <w:pPr>
              <w:spacing w:after="0"/>
            </w:pPr>
            <w:r>
              <w:rPr>
                <w:sz w:val="17"/>
              </w:rPr>
              <w:t>British Library viewer был недоступен или нестабилен на дату проверки; права и полнота изображений не верифицированы.</w:t>
            </w:r>
          </w:p>
        </w:tc>
      </w:tr>
      <w:tr>
        <w:trPr>
          <w:cantSplit/>
        </w:trPr>
        <w:tc>
          <w:tcPr>
            <w:tcW w:type="dxa" w:w="907"/>
            <w:tcMar>
              <w:top w:w="90" w:type="dxa"/>
              <w:start w:w="110" w:type="dxa"/>
              <w:bottom w:w="90" w:type="dxa"/>
              <w:end w:w="110" w:type="dxa"/>
            </w:tcMar>
            <w:vAlign w:val="top"/>
          </w:tcPr>
          <w:p>
            <w:pPr>
              <w:spacing w:after="0"/>
            </w:pPr>
            <w:r>
              <w:rPr>
                <w:sz w:val="17"/>
              </w:rPr>
              <w:t>A28-G11</w:t>
            </w:r>
          </w:p>
        </w:tc>
        <w:tc>
          <w:tcPr>
            <w:tcW w:type="dxa" w:w="2835"/>
            <w:tcMar>
              <w:top w:w="90" w:type="dxa"/>
              <w:start w:w="110" w:type="dxa"/>
              <w:bottom w:w="90" w:type="dxa"/>
              <w:end w:w="110" w:type="dxa"/>
            </w:tcMar>
            <w:vAlign w:val="top"/>
          </w:tcPr>
          <w:p>
            <w:pPr>
              <w:spacing w:after="0"/>
            </w:pPr>
            <w:r>
              <w:rPr>
                <w:sz w:val="17"/>
              </w:rPr>
              <w:t>Complete machine-readable Odyssey scholia</w:t>
            </w:r>
          </w:p>
        </w:tc>
        <w:tc>
          <w:tcPr>
            <w:tcW w:type="dxa" w:w="1757"/>
            <w:tcMar>
              <w:top w:w="90" w:type="dxa"/>
              <w:start w:w="110" w:type="dxa"/>
              <w:bottom w:w="90" w:type="dxa"/>
              <w:end w:w="110" w:type="dxa"/>
            </w:tcMar>
            <w:vAlign w:val="top"/>
          </w:tcPr>
          <w:p>
            <w:pPr>
              <w:spacing w:after="0"/>
            </w:pPr>
            <w:r>
              <w:rPr>
                <w:sz w:val="17"/>
              </w:rPr>
              <w:t>same_corpus_or_tradition</w:t>
            </w:r>
          </w:p>
        </w:tc>
        <w:tc>
          <w:tcPr>
            <w:tcW w:type="dxa" w:w="1134"/>
            <w:tcMar>
              <w:top w:w="90" w:type="dxa"/>
              <w:start w:w="110" w:type="dxa"/>
              <w:bottom w:w="90" w:type="dxa"/>
              <w:end w:w="110" w:type="dxa"/>
            </w:tcMar>
            <w:vAlign w:val="top"/>
          </w:tcPr>
          <w:p>
            <w:pPr>
              <w:spacing w:after="0"/>
            </w:pPr>
            <w:r>
              <w:rPr>
                <w:sz w:val="17"/>
              </w:rPr>
              <w:t>high</w:t>
            </w:r>
          </w:p>
        </w:tc>
        <w:tc>
          <w:tcPr>
            <w:tcW w:type="dxa" w:w="3005"/>
            <w:tcMar>
              <w:top w:w="90" w:type="dxa"/>
              <w:start w:w="110" w:type="dxa"/>
              <w:bottom w:w="90" w:type="dxa"/>
              <w:end w:w="110" w:type="dxa"/>
            </w:tcMar>
            <w:vAlign w:val="top"/>
          </w:tcPr>
          <w:p>
            <w:pPr>
              <w:spacing w:after="0"/>
            </w:pPr>
            <w:r>
              <w:rPr>
                <w:sz w:val="17"/>
              </w:rPr>
              <w:t>Найдены старые сканы, отдельные D-scholia и поздние комментарии, но не проверен единый открыто лицензированный TEI-корпус всех одиссейских scholia.</w:t>
            </w:r>
          </w:p>
        </w:tc>
      </w:tr>
      <w:tr>
        <w:trPr>
          <w:cantSplit/>
        </w:trPr>
        <w:tc>
          <w:tcPr>
            <w:tcW w:type="dxa" w:w="907"/>
            <w:shd w:fill="F4F8FB"/>
            <w:tcMar>
              <w:top w:w="90" w:type="dxa"/>
              <w:start w:w="110" w:type="dxa"/>
              <w:bottom w:w="90" w:type="dxa"/>
              <w:end w:w="110" w:type="dxa"/>
            </w:tcMar>
            <w:vAlign w:val="top"/>
          </w:tcPr>
          <w:p>
            <w:pPr>
              <w:spacing w:after="0"/>
            </w:pPr>
            <w:r>
              <w:rPr>
                <w:sz w:val="17"/>
              </w:rPr>
              <w:t>A28-G12</w:t>
            </w:r>
          </w:p>
        </w:tc>
        <w:tc>
          <w:tcPr>
            <w:tcW w:type="dxa" w:w="2835"/>
            <w:shd w:fill="F4F8FB"/>
            <w:tcMar>
              <w:top w:w="90" w:type="dxa"/>
              <w:start w:w="110" w:type="dxa"/>
              <w:bottom w:w="90" w:type="dxa"/>
              <w:end w:w="110" w:type="dxa"/>
            </w:tcMar>
            <w:vAlign w:val="top"/>
          </w:tcPr>
          <w:p>
            <w:pPr>
              <w:spacing w:after="0"/>
            </w:pPr>
            <w:r>
              <w:rPr>
                <w:sz w:val="17"/>
              </w:rPr>
              <w:t>Complete modern English translation of Iliad scholia</w:t>
            </w:r>
          </w:p>
        </w:tc>
        <w:tc>
          <w:tcPr>
            <w:tcW w:type="dxa" w:w="1757"/>
            <w:shd w:fill="F4F8FB"/>
            <w:tcMar>
              <w:top w:w="90" w:type="dxa"/>
              <w:start w:w="110" w:type="dxa"/>
              <w:bottom w:w="90" w:type="dxa"/>
              <w:end w:w="110" w:type="dxa"/>
            </w:tcMar>
            <w:vAlign w:val="top"/>
          </w:tcPr>
          <w:p>
            <w:pPr>
              <w:spacing w:after="0"/>
            </w:pPr>
            <w:r>
              <w:rPr>
                <w:sz w:val="17"/>
              </w:rPr>
              <w:t>transmission_or_preservation</w:t>
            </w:r>
          </w:p>
        </w:tc>
        <w:tc>
          <w:tcPr>
            <w:tcW w:type="dxa" w:w="1134"/>
            <w:shd w:fill="F4F8FB"/>
            <w:tcMar>
              <w:top w:w="90" w:type="dxa"/>
              <w:start w:w="110" w:type="dxa"/>
              <w:bottom w:w="90" w:type="dxa"/>
              <w:end w:w="110" w:type="dxa"/>
            </w:tcMar>
            <w:vAlign w:val="top"/>
          </w:tcPr>
          <w:p>
            <w:pPr>
              <w:spacing w:after="0"/>
            </w:pPr>
            <w:r>
              <w:rPr>
                <w:sz w:val="17"/>
              </w:rPr>
              <w:t>medium</w:t>
            </w:r>
          </w:p>
        </w:tc>
        <w:tc>
          <w:tcPr>
            <w:tcW w:type="dxa" w:w="3005"/>
            <w:shd w:fill="F4F8FB"/>
            <w:tcMar>
              <w:top w:w="90" w:type="dxa"/>
              <w:start w:w="110" w:type="dxa"/>
              <w:bottom w:w="90" w:type="dxa"/>
              <w:end w:w="110" w:type="dxa"/>
            </w:tcMar>
            <w:vAlign w:val="top"/>
          </w:tcPr>
          <w:p>
            <w:pPr>
              <w:spacing w:after="0"/>
            </w:pPr>
            <w:r>
              <w:rPr>
                <w:sz w:val="17"/>
              </w:rPr>
              <w:t>Canopos покрывает D-scholia; полного современного английского перевода A-, bT- и exegetical scholia с законным цифровым доступом не найдено.</w:t>
            </w:r>
          </w:p>
        </w:tc>
      </w:tr>
    </w:tbl>
    <w:p>
      <w:pPr>
        <w:pStyle w:val="Heading2"/>
      </w:pPr>
      <w:r>
        <w:t>6.1. Targeted follow-up</w:t>
      </w:r>
    </w:p>
    <w:p>
      <w:pPr>
        <w:pStyle w:val="ListNumber"/>
      </w:pPr>
      <w:r>
        <w:t>Найти официальные item-level IIIF manifests Biblioteca Marciana для Marc. gr. Z.454 и Z.453 и проверить image terms на уровне конкретной рукописи.</w:t>
      </w:r>
    </w:p>
    <w:p>
      <w:pPr>
        <w:pStyle w:val="ListNumber"/>
      </w:pPr>
      <w:r>
        <w:t>Собрать dedicated fragment corpus для Zenodotus, Aristonicus и Nicanor: старые public-domain editions, современные critical editions и точные cross-references к HMT scholia.</w:t>
      </w:r>
    </w:p>
    <w:p>
      <w:pPr>
        <w:pStyle w:val="ListNumber"/>
      </w:pPr>
      <w:r>
        <w:t>Получить полный машиночитаемый корпус Odyssey scholia, а не только печатные сканы и частичные поздние слои.</w:t>
      </w:r>
    </w:p>
    <w:p>
      <w:pPr>
        <w:pStyle w:val="ListNumber"/>
      </w:pPr>
      <w:r>
        <w:t>Проверить Syriac и Armenian transmission of Techne grammatike: shelfmarks, старые издания, digital facsimiles, OCR/Unicode suitability и component-level rights.</w:t>
      </w:r>
    </w:p>
    <w:p>
      <w:pPr>
        <w:pStyle w:val="ListNumber"/>
      </w:pPr>
      <w:r>
        <w:t>Повторно проверить British Library Burney MS 86 после восстановления viewer и найти item-level reuse statement/IIIF.</w:t>
      </w:r>
    </w:p>
    <w:p>
      <w:pPr>
        <w:pStyle w:val="ListNumber"/>
      </w:pPr>
      <w:r>
        <w:t>Сделать систематический DCLP-проход по Homeric hypomnemata, lexica, grammatical papyri и критическим знакам с DCLP/TM/LDAB identifiers.</w:t>
      </w:r>
    </w:p>
    <w:p>
      <w:pPr>
        <w:pStyle w:val="ListNumber"/>
      </w:pPr>
      <w:r>
        <w:t>Найти законный современный English translation of Iliad scholia с достаточным охватом; не заменять его неавторизованными PDF.</w:t>
      </w:r>
    </w:p>
    <w:p>
      <w:pPr>
        <w:pStyle w:val="ListNumber"/>
      </w:pPr>
      <w:r>
        <w:t>Составить отдельный Didymus fragment map: Homer, lyric poets, orators, lexicography; различить ancient testimonia, public-domain editions и modern reconstructions.</w:t>
      </w:r>
    </w:p>
    <w:p>
      <w:pPr>
        <w:pStyle w:val="Heading2"/>
      </w:pPr>
      <w:r>
        <w:t>6.2. Неоткрытые и неясные входы</w:t>
      </w:r>
    </w:p>
    <w:p>
      <w:r>
        <w:t>На дату проверки главный недоступный item-level объект — British Library viewer Townley Homer. Для части Google/IA/Hathi scans чтение доступно, но item-level reuse rights не всегда сформулированы; такие строки оставлены с RIGHTS_REVIEW_REQUIRED. Некоторые предполагаемые продолжения — Etymologicum Genuinum, полные Syriac/Armenian Techne traditions и dedicated Tryphon corpus — требуют отдельной идентификации.</w:t>
      </w:r>
    </w:p>
    <w:p>
      <w:r>
        <w:rPr>
          <w:b/>
        </w:rPr>
        <w:t xml:space="preserve">Unverified candidates from weak sources. </w:t>
      </w:r>
      <w:r>
        <w:t>Ни один объект не принят в registry только на основании Wikipedia, поискового сниппета, блога или агрегатора. Если навигационная подсказка не была подтверждена официальным, корпусным, библиотечным или академическим источником, она не стала установленной записью.</w:t>
      </w:r>
    </w:p>
    <w:p>
      <w:pPr>
        <w:pStyle w:val="Heading1"/>
      </w:pPr>
      <w:r>
        <w:t>7. Итоговая оценка</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835"/>
            <w:shd w:fill="17365D"/>
            <w:tcMar>
              <w:top w:w="90" w:type="dxa"/>
              <w:start w:w="110" w:type="dxa"/>
              <w:bottom w:w="90" w:type="dxa"/>
              <w:end w:w="110" w:type="dxa"/>
            </w:tcMar>
          </w:tcPr>
          <w:p>
            <w:pPr>
              <w:jc w:val="center"/>
            </w:pPr>
            <w:r>
              <w:rPr>
                <w:b/>
                <w:color w:val="FFFFFF"/>
                <w:sz w:val="18"/>
              </w:rPr>
              <w:t>Измерение</w:t>
            </w:r>
          </w:p>
        </w:tc>
        <w:tc>
          <w:tcPr>
            <w:tcW w:type="dxa" w:w="6123"/>
            <w:shd w:fill="17365D"/>
            <w:tcMar>
              <w:top w:w="90" w:type="dxa"/>
              <w:start w:w="110" w:type="dxa"/>
              <w:bottom w:w="90" w:type="dxa"/>
              <w:end w:w="110" w:type="dxa"/>
            </w:tcMar>
          </w:tcPr>
          <w:p>
            <w:pPr>
              <w:jc w:val="center"/>
            </w:pPr>
            <w:r>
              <w:rPr>
                <w:b/>
                <w:color w:val="FFFFFF"/>
                <w:sz w:val="18"/>
              </w:rPr>
              <w:t>Оценка</w:t>
            </w:r>
          </w:p>
        </w:tc>
      </w:tr>
      <w:tr>
        <w:trPr>
          <w:cantSplit/>
        </w:trPr>
        <w:tc>
          <w:tcPr>
            <w:tcW w:type="dxa" w:w="2835"/>
            <w:tcMar>
              <w:top w:w="90" w:type="dxa"/>
              <w:start w:w="110" w:type="dxa"/>
              <w:bottom w:w="90" w:type="dxa"/>
              <w:end w:w="110" w:type="dxa"/>
            </w:tcMar>
            <w:vAlign w:val="top"/>
          </w:tcPr>
          <w:p>
            <w:pPr>
              <w:spacing w:after="0"/>
            </w:pPr>
            <w:r>
              <w:rPr>
                <w:sz w:val="17"/>
              </w:rPr>
              <w:t>Охват центрального корпуса</w:t>
            </w:r>
          </w:p>
        </w:tc>
        <w:tc>
          <w:tcPr>
            <w:tcW w:type="dxa" w:w="6123"/>
            <w:tcMar>
              <w:top w:w="90" w:type="dxa"/>
              <w:start w:w="110" w:type="dxa"/>
              <w:bottom w:w="90" w:type="dxa"/>
              <w:end w:w="110" w:type="dxa"/>
            </w:tcMar>
            <w:vAlign w:val="top"/>
          </w:tcPr>
          <w:p>
            <w:pPr>
              <w:spacing w:after="0"/>
            </w:pPr>
            <w:r>
              <w:rPr>
                <w:sz w:val="17"/>
              </w:rPr>
              <w:t>Высокий для путей передачи и доступа; средний для утраченных авторских произведений.</w:t>
            </w:r>
          </w:p>
        </w:tc>
      </w:tr>
      <w:tr>
        <w:trPr>
          <w:cantSplit/>
        </w:trPr>
        <w:tc>
          <w:tcPr>
            <w:tcW w:type="dxa" w:w="2835"/>
            <w:shd w:fill="F4F8FB"/>
            <w:tcMar>
              <w:top w:w="90" w:type="dxa"/>
              <w:start w:w="110" w:type="dxa"/>
              <w:bottom w:w="90" w:type="dxa"/>
              <w:end w:w="110" w:type="dxa"/>
            </w:tcMar>
            <w:vAlign w:val="top"/>
          </w:tcPr>
          <w:p>
            <w:pPr>
              <w:spacing w:after="0"/>
            </w:pPr>
            <w:r>
              <w:rPr>
                <w:sz w:val="17"/>
              </w:rPr>
              <w:t>Доступность оригиналов</w:t>
            </w:r>
          </w:p>
        </w:tc>
        <w:tc>
          <w:tcPr>
            <w:tcW w:type="dxa" w:w="6123"/>
            <w:shd w:fill="F4F8FB"/>
            <w:tcMar>
              <w:top w:w="90" w:type="dxa"/>
              <w:start w:w="110" w:type="dxa"/>
              <w:bottom w:w="90" w:type="dxa"/>
              <w:end w:w="110" w:type="dxa"/>
            </w:tcMar>
            <w:vAlign w:val="top"/>
          </w:tcPr>
          <w:p>
            <w:pPr>
              <w:spacing w:after="0"/>
            </w:pPr>
            <w:r>
              <w:rPr>
                <w:sz w:val="17"/>
              </w:rPr>
              <w:t>Высокая для Homeric scholia, HMT witnesses, DCLP papyri и нескольких late-antique/Byzantine preservers; неизбежно фрагментарная для Pinakes, Zenodotus, Aristarchus, Tryphon.</w:t>
            </w:r>
          </w:p>
        </w:tc>
      </w:tr>
      <w:tr>
        <w:trPr>
          <w:cantSplit/>
        </w:trPr>
        <w:tc>
          <w:tcPr>
            <w:tcW w:type="dxa" w:w="2835"/>
            <w:tcMar>
              <w:top w:w="90" w:type="dxa"/>
              <w:start w:w="110" w:type="dxa"/>
              <w:bottom w:w="90" w:type="dxa"/>
              <w:end w:w="110" w:type="dxa"/>
            </w:tcMar>
            <w:vAlign w:val="top"/>
          </w:tcPr>
          <w:p>
            <w:pPr>
              <w:spacing w:after="0"/>
            </w:pPr>
            <w:r>
              <w:rPr>
                <w:sz w:val="17"/>
              </w:rPr>
              <w:t>Доступность переводов</w:t>
            </w:r>
          </w:p>
        </w:tc>
        <w:tc>
          <w:tcPr>
            <w:tcW w:type="dxa" w:w="6123"/>
            <w:tcMar>
              <w:top w:w="90" w:type="dxa"/>
              <w:start w:w="110" w:type="dxa"/>
              <w:bottom w:w="90" w:type="dxa"/>
              <w:end w:w="110" w:type="dxa"/>
            </w:tcMar>
            <w:vAlign w:val="top"/>
          </w:tcPr>
          <w:p>
            <w:pPr>
              <w:spacing w:after="0"/>
            </w:pPr>
            <w:r>
              <w:rPr>
                <w:sz w:val="17"/>
              </w:rPr>
              <w:t>Хорошая для Homer/Strabo/Techne и отдельных D-scholia; слабее для полного scholia corpus и fragmentary grammarians.</w:t>
            </w:r>
          </w:p>
        </w:tc>
      </w:tr>
      <w:tr>
        <w:trPr>
          <w:cantSplit/>
        </w:trPr>
        <w:tc>
          <w:tcPr>
            <w:tcW w:type="dxa" w:w="2835"/>
            <w:shd w:fill="F4F8FB"/>
            <w:tcMar>
              <w:top w:w="90" w:type="dxa"/>
              <w:start w:w="110" w:type="dxa"/>
              <w:bottom w:w="90" w:type="dxa"/>
              <w:end w:w="110" w:type="dxa"/>
            </w:tcMar>
            <w:vAlign w:val="top"/>
          </w:tcPr>
          <w:p>
            <w:pPr>
              <w:spacing w:after="0"/>
            </w:pPr>
            <w:r>
              <w:rPr>
                <w:sz w:val="17"/>
              </w:rPr>
              <w:t>Самый свободный слой</w:t>
            </w:r>
          </w:p>
        </w:tc>
        <w:tc>
          <w:tcPr>
            <w:tcW w:type="dxa" w:w="6123"/>
            <w:shd w:fill="F4F8FB"/>
            <w:tcMar>
              <w:top w:w="90" w:type="dxa"/>
              <w:start w:w="110" w:type="dxa"/>
              <w:bottom w:w="90" w:type="dxa"/>
              <w:end w:w="110" w:type="dxa"/>
            </w:tcMar>
            <w:vAlign w:val="top"/>
          </w:tcPr>
          <w:p>
            <w:pPr>
              <w:spacing w:after="0"/>
            </w:pPr>
            <w:r>
              <w:rPr>
                <w:sz w:val="17"/>
              </w:rPr>
              <w:t>OGL CC BY-SA, Papyri.info CC BY, Trismegistos CC BY-SA, SMB P 9780 CC BY-SA, Canopos, HMT NC-SA, explicit PDM old editions.</w:t>
            </w:r>
          </w:p>
        </w:tc>
      </w:tr>
      <w:tr>
        <w:trPr>
          <w:cantSplit/>
        </w:trPr>
        <w:tc>
          <w:tcPr>
            <w:tcW w:type="dxa" w:w="2835"/>
            <w:tcMar>
              <w:top w:w="90" w:type="dxa"/>
              <w:start w:w="110" w:type="dxa"/>
              <w:bottom w:w="90" w:type="dxa"/>
              <w:end w:w="110" w:type="dxa"/>
            </w:tcMar>
            <w:vAlign w:val="top"/>
          </w:tcPr>
          <w:p>
            <w:pPr>
              <w:spacing w:after="0"/>
            </w:pPr>
            <w:r>
              <w:rPr>
                <w:sz w:val="17"/>
              </w:rPr>
              <w:t>Главные ограничения</w:t>
            </w:r>
          </w:p>
        </w:tc>
        <w:tc>
          <w:tcPr>
            <w:tcW w:type="dxa" w:w="6123"/>
            <w:tcMar>
              <w:top w:w="90" w:type="dxa"/>
              <w:start w:w="110" w:type="dxa"/>
              <w:bottom w:w="90" w:type="dxa"/>
              <w:end w:w="110" w:type="dxa"/>
            </w:tcMar>
            <w:vAlign w:val="top"/>
          </w:tcPr>
          <w:p>
            <w:pPr>
              <w:spacing w:after="0"/>
            </w:pPr>
            <w:r>
              <w:rPr>
                <w:sz w:val="17"/>
              </w:rPr>
              <w:t>Современные critical editions и translations; mixed image rights; неполнота поздних compendia; отсутствие самостоятельных originals.</w:t>
            </w:r>
          </w:p>
        </w:tc>
      </w:tr>
      <w:tr>
        <w:trPr>
          <w:cantSplit/>
        </w:trPr>
        <w:tc>
          <w:tcPr>
            <w:tcW w:type="dxa" w:w="2835"/>
            <w:shd w:fill="F4F8FB"/>
            <w:tcMar>
              <w:top w:w="90" w:type="dxa"/>
              <w:start w:w="110" w:type="dxa"/>
              <w:bottom w:w="90" w:type="dxa"/>
              <w:end w:w="110" w:type="dxa"/>
            </w:tcMar>
            <w:vAlign w:val="top"/>
          </w:tcPr>
          <w:p>
            <w:pPr>
              <w:spacing w:after="0"/>
            </w:pPr>
            <w:r>
              <w:rPr>
                <w:sz w:val="17"/>
              </w:rPr>
              <w:t>Готовность к Codex</w:t>
            </w:r>
          </w:p>
        </w:tc>
        <w:tc>
          <w:tcPr>
            <w:tcW w:type="dxa" w:w="6123"/>
            <w:shd w:fill="F4F8FB"/>
            <w:tcMar>
              <w:top w:w="90" w:type="dxa"/>
              <w:start w:w="110" w:type="dxa"/>
              <w:bottom w:w="90" w:type="dxa"/>
              <w:end w:w="110" w:type="dxa"/>
            </w:tcMar>
            <w:vAlign w:val="top"/>
          </w:tcPr>
          <w:p>
            <w:pPr>
              <w:spacing w:after="0"/>
            </w:pPr>
            <w:r>
              <w:rPr>
                <w:sz w:val="17"/>
              </w:rPr>
              <w:t>Да. XLSX даёт плоский, дедуплицируемый registry с stable identifiers, scope-limited rights tags и отдельным gaps backlog.</w:t>
            </w:r>
          </w:p>
        </w:tc>
      </w:tr>
    </w:tbl>
    <w:p>
      <w:r>
        <w:rPr>
          <w:b/>
        </w:rPr>
        <w:t xml:space="preserve">Вывод. </w:t>
      </w:r>
      <w:r>
        <w:t>Для A28 наиболее сильная стратегия ToS — не пытаться собрать фиктивный «полный текст александрийской филологии», а соединить четыре доказанных слоя: (1) открытые witness-level scholia и рукописи; (2) public-domain fragment editions; (3) open TEI/EpiDoc/metadata datasets; (4) законные modern scholarly links для контроля текста. Такой пакет уже пригоден для передачи Codex: он показывает, где ToS может хранить и индексировать данные, где возможен scope-limited собственный перевод, где допустимо некоммерческое зеркалирование, а где следует оставаться link-only.</w:t>
      </w:r>
    </w:p>
    <w:p>
      <w:pPr>
        <w:spacing w:before="280"/>
        <w:jc w:val="center"/>
      </w:pPr>
      <w:r>
        <w:rPr>
          <w:b/>
          <w:color w:val="17365D"/>
        </w:rPr>
        <w:t>Полный реестр и все item-level URLs находятся в файле ToS_Corpus_Rights_A28_registry.xlsx.</w:t>
      </w:r>
    </w:p>
    <w:sectPr w:rsidR="00FC693F" w:rsidRPr="0006063C" w:rsidSect="00034616">
      <w:headerReference w:type="default" r:id="rId9"/>
      <w:footerReference w:type="default" r:id="rId10"/>
      <w:pgSz w:w="11906" w:h="16838"/>
      <w:pgMar w:top="1020" w:right="1020"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F6973"/>
        <w:sz w:val="17"/>
      </w:rPr>
      <w:t xml:space="preserve">A28 · проверено 2026-09-03 · стр.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F6973"/>
        <w:sz w:val="17"/>
      </w:rPr>
      <w:t>Tree of Sophia · ToS Corpus &amp; Rights Registry · A28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10"/>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1F6D7A"/>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3F6F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eastAsia="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i/>
      <w:iCs/>
      <w:color w:val="3F6F8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homermultitext.org/manuscripts/venetusA/" TargetMode="External"/><Relationship Id="rId12" Type="http://schemas.openxmlformats.org/officeDocument/2006/relationships/hyperlink" Target="https://raw.githubusercontent.com/OpenGreekAndLatin/First1KGreek/master/data/tlg5026/tlg001/tlg5026.tlg001.1st1K-grc1.xml" TargetMode="External"/><Relationship Id="rId13" Type="http://schemas.openxmlformats.org/officeDocument/2006/relationships/hyperlink" Target="https://scaife.perseus.org/library/urn%3Acts%3AgreekLit%3Atlg5026.tlg001/" TargetMode="External"/><Relationship Id="rId14" Type="http://schemas.openxmlformats.org/officeDocument/2006/relationships/hyperlink" Target="https://kups.ub.uni-koeln.de/5586/1/vanthiel.pdf" TargetMode="External"/><Relationship Id="rId15" Type="http://schemas.openxmlformats.org/officeDocument/2006/relationships/hyperlink" Target="https://www.manto-myth.org/canopos" TargetMode="External"/><Relationship Id="rId16" Type="http://schemas.openxmlformats.org/officeDocument/2006/relationships/hyperlink" Target="https://archive.org/details/bub_gb_nZIOAAAAQAAJ" TargetMode="External"/><Relationship Id="rId17" Type="http://schemas.openxmlformats.org/officeDocument/2006/relationships/hyperlink" Target="https://scaife.perseus.org/library/urn%3Acts%3AgreekLit%3Atlg0533/" TargetMode="External"/><Relationship Id="rId18" Type="http://schemas.openxmlformats.org/officeDocument/2006/relationships/hyperlink" Target="https://archive.org/details/bub_gb_dzwTAAAAYAAJ" TargetMode="External"/><Relationship Id="rId19" Type="http://schemas.openxmlformats.org/officeDocument/2006/relationships/hyperlink" Target="https://www.degruyterbrill.com/document/doi/10.1515/9783110839784/html" TargetMode="External"/><Relationship Id="rId20" Type="http://schemas.openxmlformats.org/officeDocument/2006/relationships/hyperlink" Target="https://search.smb.museum/object/obj-833945" TargetMode="External"/><Relationship Id="rId21" Type="http://schemas.openxmlformats.org/officeDocument/2006/relationships/hyperlink" Target="https://papyri.info/dclp/59667" TargetMode="External"/><Relationship Id="rId22" Type="http://schemas.openxmlformats.org/officeDocument/2006/relationships/hyperlink" Target="https://archive.org/details/didymoskommentar00didyuoft" TargetMode="External"/><Relationship Id="rId23" Type="http://schemas.openxmlformats.org/officeDocument/2006/relationships/hyperlink" Target="https://global.oup.com/academic/product/didymos-on-demosthenes-9780199283590" TargetMode="External"/><Relationship Id="rId24" Type="http://schemas.openxmlformats.org/officeDocument/2006/relationships/hyperlink" Target="https://en.wikisource.org/wiki/The_Grammar_of_Dionysios_Thrax" TargetMode="External"/><Relationship Id="rId25" Type="http://schemas.openxmlformats.org/officeDocument/2006/relationships/hyperlink" Target="https://commons.wikimedia.org/wiki/Special:Redirect/file/The%20grammar%20of%20Dionysios%20Thrax%20(IA%20grammarofdionysi00dionuoft).pdf" TargetMode="External"/><Relationship Id="rId26" Type="http://schemas.openxmlformats.org/officeDocument/2006/relationships/hyperlink" Target="https://archive.org/download/dionysiithracis00merxgoog/dionysiithracis00merxgoog.pdf" TargetMode="External"/><Relationship Id="rId27" Type="http://schemas.openxmlformats.org/officeDocument/2006/relationships/hyperlink" Target="https://raw.githubusercontent.com/OpenGreekAndLatin/First1KGreek/master/data/tlg0082/tlg001/tlg0082.tlg001.1st1K-grc1.xml" TargetMode="External"/><Relationship Id="rId28" Type="http://schemas.openxmlformats.org/officeDocument/2006/relationships/hyperlink" Target="https://books.google.com/books?id=RsUKAAAAIAAJ" TargetMode="External"/><Relationship Id="rId29" Type="http://schemas.openxmlformats.org/officeDocument/2006/relationships/hyperlink" Target="https://raw.githubusercontent.com/OpenGreekAndLatin/First1KGreek/master/data/tlg2034/tlg015/tlg2034.tlg015.1st1K-grc1.xml" TargetMode="External"/><Relationship Id="rId30" Type="http://schemas.openxmlformats.org/officeDocument/2006/relationships/hyperlink" Target="https://digi.vatlib.it/view/MSS_Vat.gr.305" TargetMode="External"/><Relationship Id="rId31" Type="http://schemas.openxmlformats.org/officeDocument/2006/relationships/hyperlink" Target="https://books.google.com/books?id=9-E-AAAAcAAJ" TargetMode="External"/><Relationship Id="rId32" Type="http://schemas.openxmlformats.org/officeDocument/2006/relationships/hyperlink" Target="https://archive.org/download/origenhexapla02unknuoft/origenhexapla02unknuoft.pdf" TargetMode="External"/><Relationship Id="rId33" Type="http://schemas.openxmlformats.org/officeDocument/2006/relationships/hyperlink" Target="https://www.ochjs.ac.uk/the-hexapla-of-ori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