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ИССЛЕДОВАТЕЛЬСКИЙ ПАКЕТ  /  05 СЕНТЯБРЯ 2026</w:t>
      </w:r>
    </w:p>
    <w:p>
      <w:pPr>
        <w:pStyle w:val="Title"/>
      </w:pPr>
      <w:r>
        <w:t>ToS Corpus &amp; Rights Registry</w:t>
      </w:r>
    </w:p>
    <w:p>
      <w:pPr>
        <w:pStyle w:val="Subtitle"/>
      </w:pPr>
      <w:r>
        <w:t>T2-52 — Тимбукту и сахельский</w:t>
        <w:br/>
        <w:t>арабоязычный рукописный город</w:t>
      </w:r>
    </w:p>
    <w:p>
      <w:r>
        <w:t>73 пути доступа  •  39 первичных текстовых семей и корпусов  •  27 записей о пробелах</w:t>
      </w:r>
    </w:p>
    <w:p>
      <w:r>
        <w:rPr>
          <w:color w:val="5D6E75"/>
          <w:sz w:val="18"/>
        </w:rPr>
        <w:t>Исходный статус B / уверенность 3 из 5 сохранены. Этот отчёт сопровождает XLSX-реестр и не заменяет исходный Deep Research.</w:t>
      </w:r>
    </w:p>
    <w:p>
      <w:pPr>
        <w:pStyle w:val="Heading1"/>
      </w:pPr>
      <w:r>
        <w:t>1. Паспорт</w:t>
      </w:r>
    </w:p>
    <w:p>
      <w:r>
        <w:t>Основа — прикреплённый «ToS Deep Research: T2-52 — Тимбукту и сахельский арабоязычный рукописный город(1).docx». Из него взяты идентичность строки, статус B/3, институциональный фокус и первоначальный набор произведений. Канонические интервалы не изменены: формирование XII–XV вв., письменная фиксация/передача XIII–XV вв., канонизация/комментарий XIV–XVI вв. Более узкое письменное ядро XIV–XV вв. — формулировка исходного DR, а не новая граница отбора. [S01]</w:t>
      </w:r>
    </w:p>
    <w:p>
      <w:r>
        <w:t>Ядром считалась городская и транссахарская рукописная среда: семейные библиотеки, учебный маликитский репертуар, фетвы и ответы, богословские и филологические тексты, логика, астрономия и вычисления. Главные индивидуальные якоря — Bustān ал-Кабари, Mukhtaṣar Халила и ответы ал-Магили Аскии. Поздние рукописные копии, труды Ахмада Бабы и хроники искались как конкретные продолжения и средства сохранения этого материала, а не как вся история ислама Западной Африки. [S01, S05–S07]</w:t>
      </w:r>
    </w:p>
    <w:p>
      <w:r>
        <w:t>Поиск выполнен на арабском, английском, французском и русском; для отдельных переводов использованы итальянские названия. Проверялись варианты транслитерации, полные заглавия, авторы, редакторы, ISBN, ARK, OpenITI URI, шифры Paden, SAVBMH/ELIT и EAP. Искались произведения и сборники, конкретные свидетели, переводы, старые и современные издания, факсимиле, каталоги и машиночитаемые тексты.</w:t>
      </w:r>
    </w:p>
    <w:p>
      <w:r>
        <w:t>Доступ подтверждался прежде всего страницами библиотек, цифровых проектов и издателей; библиографическая идентификация — их каталогами, критическими изданиями и специализированными академическими публикациями. Для прав использовались item-level уведомления, официальные лицензии и условия проектов. Отсутствие лицензии не исключало законную ссылку. Поисковый сниппет не принят за доказательство полного доступа или разрешения на распространение.</w:t>
      </w:r>
    </w:p>
    <w:p>
      <w:r>
        <w:rPr>
          <w:color w:val="5D6E75"/>
          <w:sz w:val="18"/>
        </w:rPr>
        <w:t>Ни одна итоговая запись не использует Wikipedia как источник доступа, метаданных или прав. Несколько кандидатов, обнаруженных в индексированной выдаче институциональных сайтов, оставлены как unverified_candidate: их карточки не удалось прочитать. Wikimedia Commons проверялась отдельно, на уровне конкретного файла.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Что было в DR и что добавлено</w:t>
      </w:r>
    </w:p>
    <w:p>
      <w:r>
        <w:t>Из DR сохранены семейные собрания Sankore/al-Cady al-Aqib и Sidi Yahya/al-Wangari, направление Jingereber, собрание Mamma Haidara, Bustān, Mukhtaṣar Khalīl, Asʾilat Askiya, правовые и учебные жанры, Tārīkh al-Sūdān и сложная традиция Tārīkh al-fattāsh. Центральные объекты получили либо конкретный маршрут, либо явно описанный непокрытый участок. Для Jingereber и ряда полных рукописных рядов такой участок остаётся в G024. [R001–R007, R021, R032–R043; S01–S07]</w:t>
      </w:r>
    </w:p>
    <w:p>
      <w:r>
        <w:t>Живой поиск добавил семь конкретных свидетелей EAP879 из Дженне, в том числе Risāla Ибн Аби Зайда, Ājurrūmiyya, Irshād al-sālik, al-Murshid al-muʿīn и комментарий к Халилу; лейденский список Khalīl 1711 года; OpenITI-версии Nayl al-ibtihāj и al-Dībāj al-mudhahhab; русское издание «Суданских хроник»; старые европейские переводы правового канона; эпиграфическое издание Farias и новую критическую публикацию хроник 2025 года. [R034–R040, R057–R073; S08, S14–S16, S21, S24–S27]</w:t>
      </w:r>
    </w:p>
    <w:p>
      <w:r>
        <w:t>Для 23 экспонатов Library of Congress сохранены отдельные предметные входы. Ещё 13 маршрутов ведут к WDL-файлам на Commons: они сопоставлены с уже учтёнными произведениями, а не посчитаны новыми сочинениями. Среди них есть более объёмные свидетели правовых и богословских текстов; один маршрут Asʾilat представляет лишь JPEG выбранной страницы, хотя описание исходной рукописи называет больший объём. [R008–R030, R044–R056; S07, S09]</w:t>
      </w:r>
    </w:p>
    <w:p>
      <w:pPr>
        <w:pStyle w:val="Heading2"/>
      </w:pPr>
      <w:r>
        <w:t>Поиск назад</w:t>
      </w:r>
    </w:p>
    <w:p>
      <w:r>
        <w:t>Risāla Ибн Аби Зайда ал-Кайравани — конкретная более ранняя маликитская учебная основа, представленная поздним дженнским свидетелем. Лексикографическое сочинение Ибн ал-Адждаби представлено списком ELITESS 03933, датированным 1231 годом: его значение — одновременно филологический репертуар и материальный канал импорта. Эта дата не доказывает создание книги в Тимбукту. [R031, R035; S04, S08]</w:t>
      </w:r>
    </w:p>
    <w:p>
      <w:r>
        <w:t>Al-Dībāj Ибн Фархуна включён как непосредственная биобиблиографическая основа Nayl Ахмада Бабы. Его XIV-вековая дата лежит внутри широкой мастер-хронологии; тег antecedent здесь обозначает предшествование конкретному продолжению, а не обязательно создание до XII века. Для действительно более ранней ʿAqīda al-Murshida, с которой Maktaba связывает Bustān, самостоятельный проверенный полный оригинал пока не найден. Связь сохранена в G004. [R058; G004; S06, S15–S16]</w:t>
      </w:r>
    </w:p>
    <w:p>
      <w:r>
        <w:t>Muwattaʾ, Mudawwana, al-Muntaqā, al-Ḥikam и al-Shifāʾ не добавлялись лишь за общеисламскую известность. Их дальнейший поиск обоснован конкретным учебным перечнем Ахмада Бабы; до отдельной проверки доступа они находятся в G011/G013. Это существенный, но ещё не закрытый входящий слой. [S22]</w:t>
      </w:r>
    </w:p>
    <w:p>
      <w:pPr>
        <w:pStyle w:val="Heading2"/>
      </w:pPr>
      <w:r>
        <w:t>Поиск вперёд</w:t>
      </w:r>
    </w:p>
    <w:p>
      <w:r>
        <w:t>Поздняя линия права представлена Miʿrāj Ахмада Бабы, поздними учебными сочинениями и комментариями; биобиблиографическая — Nayl; историческая память — al-Sūdān и традицией al-fattāsh/Ibn al-Mukhtār. Связь последних со строкой состоит в сохранении сведений об учёных, институциях и политических отношениях её ядра. Их поздность зафиксирована, но не превращена в основание исключения. [R013, R039, R041–R044, R057–R064]</w:t>
      </w:r>
    </w:p>
    <w:p>
      <w:r>
        <w:t>В собрании Mamma Haidara также представлены тексты Кунта, ʿУмара ал-Фути и ʿУсмана дан Фодио, письма и юридические документы. Основание включения — конкретное присутствие этих произведений в проверенной семейной коллекции и продолжение соответствующих жанров, а не принадлежность авторов к одной большой религии. Это поздний состав библиотеки, не реконструкция её полки XV века. [R009–R030, R046–R056; S07]</w:t>
      </w:r>
    </w:p>
    <w:p>
      <w:r>
        <w:t>Издание Nobili–Wright–Diakité 2025 года существенно для разграничения хроник: оно отдельно представляет Tārīkh Ibn al-Mukhtār и Tārīkh al-fattāsh. Старую издательскую атрибуцию нельзя переносить в ToS как бесспорное единое авторство. Полный платный том не был получен; зафиксированы официальный библиографический вход и маршрут покупки. [R060; S14]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835"/>
            <w:vAlign w:val="top"/>
            <w:shd w:fill="123F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b/>
                <w:color w:val="FFFFFF"/>
                <w:sz w:val="18"/>
              </w:rPr>
              <w:t>Класс охвата</w:t>
            </w:r>
          </w:p>
        </w:tc>
        <w:tc>
          <w:tcPr>
            <w:tcW w:type="dxa" w:w="6917"/>
            <w:vAlign w:val="top"/>
            <w:shd w:fill="123F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b/>
                <w:color w:val="FFFFFF"/>
                <w:sz w:val="18"/>
              </w:rPr>
              <w:t>Как представлен в пакете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core</w:t>
            </w:r>
          </w:p>
        </w:tc>
        <w:tc>
          <w:tcPr>
            <w:tcW w:type="dxa" w:w="6917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Семейные библиотеки, Bustān, Khalīl, Asʾilat; неполные доступы и центральные пробелы названы явно.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same_corpus_or_tradition</w:t>
            </w:r>
          </w:p>
        </w:tc>
        <w:tc>
          <w:tcPr>
            <w:tcW w:type="dxa" w:w="6917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Реальные члены фондов и учебного канона: право, грамматика, богословие, науки и документальные жанры.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antecedent</w:t>
            </w:r>
          </w:p>
        </w:tc>
        <w:tc>
          <w:tcPr>
            <w:tcW w:type="dxa" w:w="6917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Ибн Аби Зайд, Ибн ал-Адждаби, Ибн Фархун; другие конкретные ранние основания — в gaps.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continuation / commentary_or_reception</w:t>
            </w:r>
          </w:p>
        </w:tc>
        <w:tc>
          <w:tcPr>
            <w:tcW w:type="dxa" w:w="6917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Ахмад Баба, поздняя учебная книжность, комментарии к Khalīl; отдельно отмеченные непроверенные рецепции.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transmission_or_preservation / boundary</w:t>
            </w:r>
          </w:p>
        </w:tc>
        <w:tc>
          <w:tcPr>
            <w:tcW w:type="dxa" w:w="6917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Хроники, переводы, импортированные свидетели; эпиграфический контроль Среднего Нигера.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infrastructure / secondary_navigation</w:t>
            </w:r>
          </w:p>
        </w:tc>
        <w:tc>
          <w:tcPr>
            <w:tcW w:type="dxa" w:w="6917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5 инфраструктурных маршрутов и 3 записи secondary_navigation по полю relevance. Статья о Bustān имеет relevance core, но тип secondary_navigation.</w:t>
            </w:r>
          </w:p>
        </w:tc>
      </w:tr>
    </w:tbl>
    <w:p/>
    <w:p>
      <w:r>
        <w:t>Итог подсчёта: 73 практически различимых маршрута. Внутри них выделены 39 первичных текстовых/документальных семей и корпусов, отдельно — 2 семейные коллекции. Это осторожный рабочий счёт, не окончательная нормализация произведений: традиция al-fattāsh/Ibn al-Mukhtār считается одной сложной текстовой семьёй; русский сборник не добавляет ещё два новых оригинала; разные свидетели, языки и репозитории одного текста не увеличивают число произведений. 27 записей gaps включают и группы кандидатов, поэтому не означают ровно 27 недостающих книг.</w:t>
      </w:r>
    </w:p>
    <w:p>
      <w:r>
        <w:rPr>
          <w:color w:val="5D6E75"/>
          <w:sz w:val="18"/>
        </w:rPr>
        <w:t>Теги supporting в основной таблице не понадобились. Нулевое количество этого класса не означает пропуск обязательного жанра: вспомогательные входы точнее описаны как infrastructure или secondary_navigation.</w:t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Ал-Кабари: Bustān al-fawāʾid wa-l-manāfiʿ</w:t>
      </w:r>
    </w:p>
    <w:p>
      <w:r>
        <w:t>Начинать следует с R007 и R032. Статья Wright устанавливает рукописные якоря Paden 161, Ahmed Baba 5684 и IRSH 1110/1342. Maktaba предоставляет научное введение и английский перевод только начальной части. Такой перевод нельзя выдавать за английский Bustān целиком. Полный IIIF-манифест в этой проверке не открылся; самостоятельный полный оригинал, пригодный для нового перевода ToS, не установлен. Приоритет G001–G002 — получить конкретный Paden 161 и сверить его начало, конец и полноту. [S05–S06]</w:t>
      </w:r>
    </w:p>
    <w:p>
      <w:pPr>
        <w:pStyle w:val="Heading2"/>
      </w:pPr>
      <w:r>
        <w:t>Маликитский канон: Khalīl и учебные родственники</w:t>
      </w:r>
    </w:p>
    <w:p>
      <w:r>
        <w:t>Для оригинала наиболее предметны R034 и R072: дженнский свидетель EAP879/55/35 и Leiden Or. 14.078. В первом случае каталог указывает список 1675 года и определённые правовые разделы; во втором — 143 листа, копию 1711 года и учебные пометы. Ни один маршрут в отчёте не объявлен полностью прочитанным свободным арабским корпусом: цифровые просмотрщики не удалось полноценно проверить. [S08, S26]</w:t>
      </w:r>
    </w:p>
    <w:p>
      <w:r>
        <w:t>Для первого знакомства на английском полезен Ruxton 1916 (R065), но это изложение по французским переводам, а не полный прямой перевод с арабского. Французский Perron доступен через подтверждённое факсимильное переиздание тома 4 (R073); весь многотомник и Gallica-файлы остаются незакрытой задачей. Современный научный комментарий нельзя заменять этими старыми посредниками при точной интерпретации нормы. [S24–S25]</w:t>
      </w:r>
    </w:p>
    <w:p>
      <w:r>
        <w:t>Для состава канона полезны R035–R040: Risāla, Ājurrūmiyya, анонимный комментарий к Khalīl, Irshād al-sālik, al-Murshid al-muʿīn и al-Manhaj al-muntakhab. Это конкретные каталожные входы, а не общие порталы. Лицензия на их описания не распространяется на изображения. Текущий наиболее свободный слой этих маршрутов — метаданные; чистого полного машиночитаемого Khalīl не найдено. [S08]</w:t>
      </w:r>
    </w:p>
    <w:p>
      <w:pPr>
        <w:pStyle w:val="Heading2"/>
      </w:pPr>
      <w:r>
        <w:t>Ал-Магили: ответы Аскии</w:t>
      </w:r>
    </w:p>
    <w:p>
      <w:r>
        <w:t>R021 — официальный выставочный вход; R045 — отдельный WDL/Commons JPEG. Оба помогают увидеть оригинальный рукописный слой, но не дают подтверждённого полного текста ответов. Научный ориентир — Sharīʿa in Songhay, Hunwick 1985 (R061, ISBN 0197260322). British Academy отмечает издание как out of print; библиотечный поиск сохранён, но удалённая выдача конкретному читателю не подтверждена. Полный открытый современный перевод не найден. [S07, S14]</w:t>
      </w:r>
    </w:p>
    <w:p>
      <w:pPr>
        <w:pStyle w:val="Heading2"/>
      </w:pPr>
      <w:r>
        <w:t>Ахмад Баба: право и биобиблиография</w:t>
      </w:r>
    </w:p>
    <w:p>
      <w:r>
        <w:t>Для Miʿrāj лучший полученный оригинальный вход — R044, 16-страничный WDL-файл. PDF открылся; проверены начало и конец цифрового файла, но не выполнена филологическая колляция всех листов с критическим изданием. R013 остаётся отдельным выставочным превью. Современное издание Hunwick/Harrak 2000 подтверждено библиографически и вынесено в G015: законный полный файл или покупка пока не закреплены. [S07, S09]</w:t>
      </w:r>
    </w:p>
    <w:p>
      <w:r>
        <w:t>Для Nayl лучший машиночитаемый маршрут — R057: открыт полный UTF-8/mARkdown-файл и метаданные конкретной версии OpenITI. Для его предшественника al-Dībāj — R058. OpenITI указывает CC BY-NC-SA 4.0; запись Nayl прямо сообщает об удалении современного паратекста. Но цифровая версия восходит к печатной редакции, поэтому оставшиеся редакторские решения требуют ручной оценки. Это полезный NC-слой, а не доказательство свободы любого современного PDF с тем же заглавием. [S15–S16]</w:t>
      </w:r>
    </w:p>
    <w:p>
      <w:pPr>
        <w:pStyle w:val="Heading2"/>
      </w:pPr>
      <w:r>
        <w:t>Хроники al-Sūdān и al-fattāsh</w:t>
      </w:r>
    </w:p>
    <w:p>
      <w:r>
        <w:t>Лучшие проверенные старые арабские входы — институциональные оцифровки на Internet Archive: al-Sūdān, Houdas 1898 (R041), и старое издание al-fattāsh 1913 (R043). Открыты также их полные OCR/TXT-представления. OCR, особенно арабский, нельзя считать критическим текстом без сверки со сканом. Французский al-Sūdān 1900 дан в R042; французский al-fattāsh 1913 — в R062 через HathiTrust, где подтверждена отметка Full View, но сам просмотрщик ограничился JS-оболочкой. [S10–S12]</w:t>
      </w:r>
    </w:p>
    <w:p>
      <w:r>
        <w:t>Современная английская опора для al-Sūdān — Hunwick, Timbuktu and the Songhay Empire (R059): перевод ограничен материалом до 1613 года и дополнен другими документами. Для текстологии второй хроникальной семьи важен том 2025 года (R060). Русский перевод Куббеля 1984 сохранён двумя законными путями: ограниченный цифровой поиск HathiTrust (R063) и библиотечные экземпляры в Грузии (R064). Свободный полный русский файл не установлен; он не объявлен свободным из-за возраста арабского оригинала. [S13–S14, S27]</w:t>
      </w:r>
    </w:p>
    <w:p>
      <w:pPr>
        <w:pStyle w:val="Heading2"/>
      </w:pPr>
      <w:r>
        <w:t>Другие жанры и цифровые входы</w:t>
      </w:r>
    </w:p>
    <w:p>
      <w:r>
        <w:t>Для правовых комментариев и богословия R046–R052 дают многолистные WDL-файлы: Bughyat al-ṭālibīn, Rimāḥ, Sharḥ ʿalā Amthilat al-farāʾiḍ, Sullam al-aṭfāl, Uṣūl al-ʿadl, Jadhwat al-anwār и al-Fawāʾid wa-l-qalāʾid. Некоторые большие PDF превысили технический лимит браузера; это не обозначено как несуществующий или закрытый файл. Во всех случаях объём относится к одному свидетелю, не ко всем версиям произведения. Документальные R054–R056 — двухстраничные файлы конкретных актов. [Реестр R044–R056]</w:t>
      </w:r>
    </w:p>
    <w:p>
      <w:r>
        <w:t>Для астрономии, вычислений, философской терминологии и медицины пока преобладают предметные выставочные развороты (R008, R016–R018, R023). Для эпиграфики официальный проект Fontes предлагает PDF издания Farias (R071), но запрос конкретного файла дал 406. Правильная формулировка — «официально предложенный, не полученный при проверке PDF», а не «полный корпус скачан». [S07, S21]</w:t>
      </w:r>
    </w:p>
    <w:p>
      <w:r>
        <w:t>Практические инфраструктурные приоритеты: HMML Reading Room для рукописей и HMML Data Portal для метаданных; CSMC handlists и Al-Furqan для библиографической сверки; WAAMD для вариантов заглавий и сопоставления копий. Авторизованная сессия HMML не создавалась, каталог WAAMD показал только Loading, а выгрузка JSON не исполнялась. Ни один из этих порталов не посчитан сотнями отдельных объектов. [R001–R004, R033, R066–R068; S02–S03, S17–S18]</w:t>
      </w:r>
    </w:p>
    <w:p>
      <w:pPr>
        <w:pStyle w:val="Heading1"/>
      </w:pPr>
      <w:r>
        <w:t>4. Карта прав и практического использования</w:t>
      </w:r>
    </w:p>
    <w:p>
      <w:r>
        <w:t>Реестр разделяет четыре слоя: историческое сочинение; перевод/редакцию/аппарат; цифровой файл или данные; условия сайта. Все рекомендации действуют только вместе с rights_scope и coverage. Один положительный тег не разрешает использование соседнего компонента. Сочетание положительного тега с RIGHTS_REVIEW_REQUIRED означает локальное разрешение и отдельный нерешённый вопрос, а не свободный объект целиком.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551"/>
            <w:vAlign w:val="top"/>
            <w:shd w:fill="123F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b/>
                <w:color w:val="FFFFFF"/>
                <w:sz w:val="18"/>
              </w:rPr>
              <w:t>Слой / группа</w:t>
            </w:r>
          </w:p>
        </w:tc>
        <w:tc>
          <w:tcPr>
            <w:tcW w:type="dxa" w:w="7200"/>
            <w:vAlign w:val="top"/>
            <w:shd w:fill="123F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b/>
                <w:color w:val="FFFFFF"/>
                <w:sz w:val="18"/>
              </w:rPr>
              <w:t>Практическое решение для ToS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Метаданные HMML</w:t>
            </w:r>
          </w:p>
        </w:tc>
        <w:tc>
          <w:tcPr>
            <w:tcW w:type="dxa" w:w="7200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R002: CC BY 4.0, атрибуция. Можно повторно использовать именно описательные данные. Это не разрешение читать после входа, копировать фото, распознавать или индексировать рукописный текст.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Карточки British Library</w:t>
            </w:r>
          </w:p>
        </w:tc>
        <w:tc>
          <w:tcPr>
            <w:tcW w:type="dxa" w:w="7200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R034–R040: положительный MIRROR_WITH_ATTRIBUTION ограничен текстом соответствующего описания. Фотографии, OCR и собственный перевод по ним остаются на ручной проверке.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Авторский текст Stewart</w:t>
            </w:r>
          </w:p>
        </w:tc>
        <w:tc>
          <w:tcPr>
            <w:tcW w:type="dxa" w:w="7200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R069: item-level CC BY 4.0 позволяет зеркало с атрибуцией; FULLTEXT_INDEX_OK и EMBEDDINGS_OK даны этому научному тексту, не рукописям исследованных фондов.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OpenITI</w:t>
            </w:r>
          </w:p>
        </w:tc>
        <w:tc>
          <w:tcPr>
            <w:tcW w:type="dxa" w:w="7200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R057–R058: NC и ShareAlike сохраняются. MIRROR_NONCOMMERCIAL относится к лицензированным цифровым вкладам проекта; аппарат печатной основы и невыявленные редакторские решения не объявлены свободными.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Старые издания и WDL-файлы</w:t>
            </w:r>
          </w:p>
        </w:tc>
        <w:tc>
          <w:tcPr>
            <w:tcW w:type="dxa" w:w="7200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R041–R056, R062, R065: полезное чтение/получение копии. Для публичного зеркала ещё нужна оценка юрисдикции, конкретного цифрового слоя и условий. PDM — отметка статуса, не лицензия.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Защищённые издания и ограниченный доступ</w:t>
            </w:r>
          </w:p>
        </w:tc>
        <w:tc>
          <w:tcPr>
            <w:tcW w:type="dxa" w:w="7200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Hunwick, том 2025, Куббель, научные каталоги: внешняя карточка, preview, каталог или покупка. Возможность чтения по лицензии не даёт права раздавать файл.</w:t>
            </w:r>
          </w:p>
        </w:tc>
      </w:tr>
    </w:tbl>
    <w:p/>
    <w:p>
      <w:r>
        <w:t>Для HMML действует особенно существенное ограничение: партнёры сохраняют права на изображения, а условия запрещают копирование и распространение изображений партнёрских библиотек без предварительного разрешения. Упомянутая там CC BY-NC 4.0 относится только к рукописям и печатным книгам, которыми владеет сам HMML. На малийские семейные фонды она автоматически не переносится. [S03]</w:t>
      </w:r>
    </w:p>
    <w:p>
      <w:r>
        <w:t>Некомерческая лицензия The Meanings of Timbuktu не отброшена: официальная карточка HSRC указывает CC BY-NC. Однако номер версии не виден, файл не предоставлен на этой странице, а права на отдельные главы и изображения не сверены. Поэтому R070 сохраняет полезный лицензионный ориентир, но не рекомендует немедленное зеркало всей книги. [S20]</w:t>
      </w:r>
    </w:p>
    <w:p>
      <w:r>
        <w:t>Материалов, для которых в проверенном объёме установлена обязательная неизменность по ND-лицензии, не выявлено. Тег UNCHANGED_ONLY не использован. Это не разрешение перерабатывать защищённые издания: там сохраняются PERMISSION_REQUIRED или RIGHTS_REVIEW_REQUIRED.</w:t>
      </w:r>
    </w:p>
    <w:p>
      <w:pPr>
        <w:pStyle w:val="Heading2"/>
      </w:pPr>
      <w:r>
        <w:t>Собственный перевод ToS</w:t>
      </w:r>
    </w:p>
    <w:p>
      <w:r>
        <w:t>Конкретная условно чистая база отмечена для исторического арабского слоя старых изданий R041/R043 и для доступных 16 страниц рукописного Miʿrāj R044. В последнем случае переводятся прочитанные исторические слова, а не перепубликуются фотографии. Тег не обещает полного перевода всех редакций, не разрешает заимствовать современный перевод и не снимает территориальную проверку перед публикацией.</w:t>
      </w:r>
    </w:p>
    <w:p>
      <w:r>
        <w:t>Для Bustān полного основания пока нет. Для Khalīl каталожная карточка не заменяет доступного оригинала. OpenITI полезен как рабочий текст, но без дополнительной проверки современной редакторской основы безусловный OWN_TRANSLATION_POSSIBLE не присвоен. Старые французские и английские переводы — посредники: их наличие не превращено в доказательство чистого арабского источника.</w:t>
      </w:r>
    </w:p>
    <w:p>
      <w:pPr>
        <w:pStyle w:val="Heading1"/>
      </w:pPr>
      <w:r>
        <w:t>5. Характерные правовые и источниковые тонкости</w:t>
      </w:r>
    </w:p>
    <w:p>
      <w:r>
        <w:t>Возраст сочинения не датирует его копию. Средневековый канон может читаться по списку XVII–XIX вв.; рукопись XIII века могла попасть в Тимбукту существенно позднее. Это влияет и на историческую интерпретацию, и на выбор источника перевода. Коллекция, дата экземпляра и место изготовления должны оставаться разными утверждениями. [S01, S04]</w:t>
      </w:r>
    </w:p>
    <w:p>
      <w:r>
        <w:t>Public Domain в США не равен безусловному мировому статусу. Для изданий 1898, 1900, 1913 и 1916 годов использован вывод по сроку старой публикации, а не по наличию файла на Internet Archive. Circular 15A Copyright Office объясняет 95-летний максимальный срок для старых опубликованных произведений и особенности восстановления зарубежных прав; этот вывод не решает все вопросы права страны распространения. [S23]</w:t>
      </w:r>
    </w:p>
    <w:p>
      <w:r>
        <w:t>PDM/PD-Art на Commons оцениваются как заявления о статусе конкретного файла. Они не являются договорной лицензией и не гарантируют одинакового отношения к репродукциям во всех странах. Поэтому в этом пакете не выдано безусловного MIRROR_OK для всего собрания Mamma Haidara. Источник старого файла и исторический оригинал не делают свободным современное описание или перевод. [R044–R056]</w:t>
      </w:r>
    </w:p>
    <w:p>
      <w:r>
        <w:t>Полнота доступа и полнота произведения — разные величины. Полный PDF может содержать один неполный список; полный каталог — только метаданные; Ruxton — весь доступный том, но лишь изложение Khalīl; Hunwick — часть al-Sūdān; Maktaba — перевод введения Bustān. Число цифровых страниц не подменяет число листов или авторскую полноту.</w:t>
      </w:r>
    </w:p>
    <w:p>
      <w:r>
        <w:t>Машиночитаемость тоже не является лицензией. MIT-код Maktaba не распространяет MIT на переводы и рукописи. JSON метаданных не включает право на фотографии. OpenITI прямо описывает процедуру отделения позднего редакторского материала; её применение к конкретной версии проверяется, а не предполагается. [S06, S15–S16]</w:t>
      </w:r>
    </w:p>
    <w:p>
      <w:pPr>
        <w:pStyle w:val="Heading1"/>
      </w:pPr>
      <w:r>
        <w:t>6. Пробелы и дальнейший поиск</w:t>
      </w:r>
    </w:p>
    <w:p>
      <w:r>
        <w:t>Главные незакрытые места — полный Bustān; чистый полный арабский Khalīl; полный Asʾilat с проверенным открытым изданием; новые датированные местные свидетели логики и астрономии. Перечень gaps — не перечень отсутствующих произведений: в нём различены подтверждённые тексты без найденного входа, неоткрывшиеся ссылки, гипотезы о связи и кандидаты, известные только по выдаче.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098"/>
            <w:vAlign w:val="top"/>
            <w:shd w:fill="123F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b/>
                <w:color w:val="FFFFFF"/>
                <w:sz w:val="18"/>
              </w:rPr>
              <w:t>Участок</w:t>
            </w:r>
          </w:p>
        </w:tc>
        <w:tc>
          <w:tcPr>
            <w:tcW w:type="dxa" w:w="7654"/>
            <w:vAlign w:val="top"/>
            <w:shd w:fill="123F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b/>
                <w:color w:val="FFFFFF"/>
                <w:sz w:val="18"/>
              </w:rPr>
              <w:t>Что именно осталось проверить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G001–G005</w:t>
            </w:r>
          </w:p>
        </w:tc>
        <w:tc>
          <w:tcPr>
            <w:tcW w:type="dxa" w:w="7654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Paden 161 и IIIF Maktaba; EAP879; ранняя Murshida; самостоятельный matn Umm al-barāhīn.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G006–G010</w:t>
            </w:r>
          </w:p>
        </w:tc>
        <w:tc>
          <w:tcPr>
            <w:tcW w:type="dxa" w:w="7654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Kifāyat al-muḥtāj, комментарии Ахмада Бабы к Khalīl, Miʿyār/Tartīb, раджаз ал-Магили, конкретные астрономические учебники.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G011–G017</w:t>
            </w:r>
          </w:p>
        </w:tc>
        <w:tc>
          <w:tcPr>
            <w:tcW w:type="dxa" w:w="7654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Доказанные учебные основания, BnF Arabe 5382, современный Miʿrāj, Rushd al-ghāfil и осторожно сформулированные рецепции Bustān.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G018–G023</w:t>
            </w:r>
          </w:p>
        </w:tc>
        <w:tc>
          <w:tcPr>
            <w:tcW w:type="dxa" w:w="7654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Полный старый арабский Khalīl, комплект Perron, итальянский перевод, ал-Дардир, ал-Рифаи и неоднозначная карточка WAAMD.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G024–G027</w:t>
            </w:r>
          </w:p>
        </w:tc>
        <w:tc>
          <w:tcPr>
            <w:tcW w:type="dxa" w:w="7654"/>
            <w:vAlign w:val="top"/>
            <w:shd w:fill="F0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rFonts w:ascii="Noto Sans" w:hAnsi="Noto Sans"/>
                <w:sz w:val="18"/>
              </w:rPr>
              <w:t>Полные входы семейных фондов/Jingereber, дополнительные WDL-файлы, поздние хроникально-биографические кандидаты и локальные списки до 1550.</w:t>
            </w:r>
          </w:p>
        </w:tc>
      </w:tr>
    </w:tbl>
    <w:p/>
    <w:p>
      <w:r>
        <w:t>Технически не завершены отдельные item-level страницы LOC и NLA, просмотрщики EAP/Leiden/Maktaba, Gallica, WAAMD и файл Farias. Некоторые издательские страницы открывались неустойчиво и при повторе возвращали 403. Сохранены конкретные адреса и характер сбоя; не утверждается, что эти ресурсы вообще недоступны читателю.</w:t>
      </w:r>
    </w:p>
    <w:p>
      <w:r>
        <w:t>Издания Hunwick и новая публикация хроник требуют покупки, институционального доступа или библиотечного поиска. Для русского Куббеля подтверждены каталог и ограниченный цифровой поиск, но не дистанционная выдача. Для HMML требуется отдельная авторизованная проверка. Регистрация, покупки и обращения к хранителям в этом запуске не выполнялись.</w:t>
      </w:r>
    </w:p>
    <w:p>
      <w:pPr>
        <w:pStyle w:val="Heading2"/>
      </w:pPr>
      <w:r>
        <w:t>Восемь адресных направлений</w:t>
      </w:r>
    </w:p>
    <w:p>
      <w:r>
        <w:rPr>
          <w:b/>
        </w:rPr>
        <w:t xml:space="preserve">1. Bustān как первоочередной оригинал. </w:t>
      </w:r>
      <w:r>
        <w:t>Свести Paden 161, Ahmed Baba 5684, IRSH 1110/1342; проверить рабочий IIIF, колофоны, лакуны и лицензию английского введения. Не смешивать полный свидетель и переведённый фрагмент.</w:t>
      </w:r>
    </w:p>
    <w:p>
      <w:r>
        <w:rPr>
          <w:b/>
        </w:rPr>
        <w:t xml:space="preserve">2. Чистая арабская основа Khalīl. </w:t>
      </w:r>
      <w:r>
        <w:t>Найти институциональный скан старого печатного издания, включая Paris 1318/1900, и завершить EAP/Leiden. Установить, какие разделы действительно присутствуют.</w:t>
      </w:r>
    </w:p>
    <w:p>
      <w:r>
        <w:rPr>
          <w:b/>
        </w:rPr>
        <w:t xml:space="preserve">3. Биобиблиографическое продолжение. </w:t>
      </w:r>
      <w:r>
        <w:t>Kifāya, Minan Rabb Jalīl и Maqṣad kāfil искать по уже записанным шифрам. Сверить, что современная редакция и её цифровой файл законны независимо от древности автора.</w:t>
      </w:r>
    </w:p>
    <w:p>
      <w:r>
        <w:rPr>
          <w:b/>
        </w:rPr>
        <w:t xml:space="preserve">4. Датированная логика и астрономия. </w:t>
      </w:r>
      <w:r>
        <w:t>Начать с засвидетельствованного раджаза ал-Магили, Hashimiyya и Muqaddima ал-Таджури. Не заменять эти произведения известными, но не связанными с данной учебной линией учебниками.</w:t>
      </w:r>
    </w:p>
    <w:p>
      <w:r>
        <w:rPr>
          <w:b/>
        </w:rPr>
        <w:t xml:space="preserve">5. Хроники в критическом сопоставлении. </w:t>
      </w:r>
      <w:r>
        <w:t>Сопоставить старые издания и перевод Куббеля с томом 2025. Разнести редакционные слои al-fattāsh/Ibn al-Mukhtār; не объявлять их одним авторским текстом XV века.</w:t>
      </w:r>
    </w:p>
    <w:p>
      <w:r>
        <w:rPr>
          <w:b/>
        </w:rPr>
        <w:t xml:space="preserve">6. Правовой режим цифровых изображений. </w:t>
      </w:r>
      <w:r>
        <w:t>По каждому выбранному свидетелю проверить item-level права HMML/EAP/Commons. Отдельно решить хранение исследовательской копии, OCR, публикацию транскрипции, публичный поиск и embeddings.</w:t>
      </w:r>
    </w:p>
    <w:p>
      <w:r>
        <w:rPr>
          <w:b/>
        </w:rPr>
        <w:t xml:space="preserve">7. Фонды и ранние Ajami-пометы. </w:t>
      </w:r>
      <w:r>
        <w:t>Завершить сопоставление CSMC–HMML–WAAMD, включая Jingereber; датировать конкретные глоссы, а не переносить возраст основного арабского текста на местный перевод.</w:t>
      </w:r>
    </w:p>
    <w:p>
      <w:r>
        <w:rPr>
          <w:b/>
        </w:rPr>
        <w:t xml:space="preserve">8. Полнообъёмные альтернативы превью. </w:t>
      </w:r>
      <w:r>
        <w:t>Проверить WDL462/9669/9668/9673 и остальные предметные файлы, сравнить состав и права. Дополнять реестр только новым объёмом или режимом доступа, не каждой страницей одного PDF.</w:t>
      </w:r>
    </w:p>
    <w:p>
      <w:r>
        <w:t>Отдельно оставлены unverified_candidate: итальянский Khalīl, Taqrīr ал-Рифаи, неоднозначная запись WAAMD title 102 и предполагаемые поздние биографические продолжения Tadhkirat al-nisyān/Fatḥ al-shakūr. Для первых трёх недостаточно прочитанного item-level подтверждения; для последних не завершена проверка конкретной связи и доступа. Эти названия не представлены в основном registry как установленный полный цифровой корпус.</w:t>
      </w:r>
    </w:p>
    <w:p>
      <w:r>
        <w:rPr>
          <w:color w:val="5D6E75"/>
          <w:sz w:val="18"/>
        </w:rPr>
        <w:t>Остановка поиска не означает насыщения всей области. Каталогизация фондов продолжается; сотни тысяч рукописных единиц не были поштучно обследованы. Реестр завершён как проверяемый пакет центральных маршрутов и конкретных дальнейших задач, а не как исчерпывающий каталог всех сахельских текстов.</w:t>
      </w:r>
    </w:p>
    <w:p>
      <w:pPr>
        <w:pStyle w:val="Heading1"/>
      </w:pPr>
      <w:r>
        <w:t>7. Итоговая оценка</w:t>
      </w:r>
    </w:p>
    <w:p>
      <w:r>
        <w:t>Корпус покрыт неравномерно, но содержательно: наиболее сильны предметные рукописные входы Mamma Haidara, старая издательская передача хроник, отдельные маликитские свидетели и машиночитаемая биобиблиография. Слабее — полный доступ к Bustān и Khalīl, проверенные ранние местные научные тексты и свободные современные переводы. Наиболее надёжно открытый слой — метаданные HMML/проверенных карточек и отдельные научные тексты с прямой лицензией; основной массив фотографий требует более осторожного режима.</w:t>
      </w:r>
    </w:p>
    <w:p>
      <w:r>
        <w:t>Пакет пригоден для передачи Codex: сохранены 32 согласованных поля, устойчивые идентификаторы, разделённые права, фактическая проверка доступа и 27 записей gaps. Автоматическое скачивание, OCR, индексация или публикация должны отбирать записи по сочетанию tos_use, rights_scope, coverage и verification_status, а не по одному слову «free». ID T2-52 и статус B/3 не изменены.</w:t>
      </w:r>
    </w:p>
    <w:p>
      <w:pPr>
        <w:pStyle w:val="Heading2"/>
      </w:pPr>
      <w:r>
        <w:t>Опорные источники и проверочные страницы</w:t>
      </w:r>
    </w:p>
    <w:p>
      <w:r>
        <w:rPr>
          <w:color w:val="5D6E75"/>
          <w:sz w:val="18"/>
        </w:rPr>
        <w:t>Ссылки ниже — опорные для отчёта. Полные item-level landing_url, direct_download_url и rights_evidence_url всех 73 маршрутов находятся в XLSX. R/G в тексте сокращают префикс T2-52-.</w:t>
      </w:r>
    </w:p>
    <w:p>
      <w:pPr>
        <w:spacing w:after="80"/>
      </w:pPr>
      <w:r>
        <w:rPr>
          <w:b/>
          <w:sz w:val="18"/>
        </w:rPr>
        <w:t xml:space="preserve">S01  </w:t>
      </w:r>
      <w:r>
        <w:rPr>
          <w:sz w:val="18"/>
        </w:rPr>
        <w:t xml:space="preserve">Исходный DR, T2-52, прикреплённый DOCX; мастер-строка Таблицы II. </w:t>
      </w:r>
    </w:p>
    <w:p>
      <w:pPr>
        <w:spacing w:after="80"/>
      </w:pPr>
      <w:r>
        <w:rPr>
          <w:b/>
          <w:sz w:val="18"/>
        </w:rPr>
        <w:t xml:space="preserve">S02  </w:t>
      </w:r>
      <w:r>
        <w:rPr>
          <w:sz w:val="18"/>
        </w:rPr>
        <w:t xml:space="preserve">HMML, Global Operations: Mali. </w:t>
      </w:r>
      <w:hyperlink r:id="rId11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S03  </w:t>
      </w:r>
      <w:r>
        <w:rPr>
          <w:sz w:val="18"/>
        </w:rPr>
        <w:t xml:space="preserve">HMML, Terms of Use: отдельно метаданные и партнёрские изображения. </w:t>
      </w:r>
      <w:hyperlink r:id="rId12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S04  </w:t>
      </w:r>
      <w:r>
        <w:rPr>
          <w:sz w:val="18"/>
        </w:rPr>
        <w:t xml:space="preserve">HMML, To Timbuktu from a Land Far Away: Migrating Manuscripts. </w:t>
      </w:r>
      <w:hyperlink r:id="rId13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S05  </w:t>
      </w:r>
      <w:r>
        <w:rPr>
          <w:sz w:val="18"/>
        </w:rPr>
        <w:t xml:space="preserve">Zachary Wright, Scholars, Secrets, and Sultans, 2023. </w:t>
      </w:r>
      <w:hyperlink r:id="rId14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S06  </w:t>
      </w:r>
      <w:r>
        <w:rPr>
          <w:sz w:val="18"/>
        </w:rPr>
        <w:t xml:space="preserve">Maktaba / Northwestern: Foundational Islamic Theology, исходный текст научного эссе. </w:t>
      </w:r>
      <w:hyperlink r:id="rId15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S07  </w:t>
      </w:r>
      <w:r>
        <w:rPr>
          <w:sz w:val="18"/>
        </w:rPr>
        <w:t xml:space="preserve">Library of Congress, Ancient Manuscripts from the Desert Libraries of Timbuktu. </w:t>
      </w:r>
      <w:hyperlink r:id="rId16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S08  </w:t>
      </w:r>
      <w:r>
        <w:rPr>
          <w:sz w:val="18"/>
        </w:rPr>
        <w:t xml:space="preserve">British Library, EAP879/55/35; остальные конкретные карточки — R035–R040. </w:t>
      </w:r>
      <w:hyperlink r:id="rId17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S09  </w:t>
      </w:r>
      <w:r>
        <w:rPr>
          <w:sz w:val="18"/>
        </w:rPr>
        <w:t xml:space="preserve">WDL9661 / Commons: Miʿrāj, 16-страничный файл и item-level Licensing. </w:t>
      </w:r>
      <w:hyperlink r:id="rId18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S10  </w:t>
      </w:r>
      <w:r>
        <w:rPr>
          <w:sz w:val="18"/>
        </w:rPr>
        <w:t xml:space="preserve">Internet Archive / University of Toronto, al-Sūdān, арабское издание 1898. </w:t>
      </w:r>
      <w:hyperlink r:id="rId19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S11  </w:t>
      </w:r>
      <w:r>
        <w:rPr>
          <w:sz w:val="18"/>
        </w:rPr>
        <w:t xml:space="preserve">Internet Archive / институциональная коллекция, al-fattāsh, 1913. </w:t>
      </w:r>
      <w:hyperlink r:id="rId20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S12  </w:t>
      </w:r>
      <w:r>
        <w:rPr>
          <w:sz w:val="18"/>
        </w:rPr>
        <w:t xml:space="preserve">HathiTrust, французский al-fattāsh, 1913. </w:t>
      </w:r>
      <w:hyperlink r:id="rId21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S13  </w:t>
      </w:r>
      <w:r>
        <w:rPr>
          <w:sz w:val="18"/>
        </w:rPr>
        <w:t xml:space="preserve">Brill, Hunwick, Timbuktu and the Songhay Empire; повторный доступ неустойчив. </w:t>
      </w:r>
      <w:hyperlink r:id="rId22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S14  </w:t>
      </w:r>
      <w:r>
        <w:rPr>
          <w:sz w:val="18"/>
        </w:rPr>
        <w:t xml:space="preserve">British Academy, Fontes Historiae Africanae: конкретные издания 1985 и 2025. </w:t>
      </w:r>
      <w:hyperlink r:id="rId23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S15  </w:t>
      </w:r>
      <w:r>
        <w:rPr>
          <w:sz w:val="18"/>
        </w:rPr>
        <w:t xml:space="preserve">OpenITI, официальная документация: лицензия и работа с редакторским материалом. </w:t>
      </w:r>
      <w:hyperlink r:id="rId24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S16  </w:t>
      </w:r>
      <w:r>
        <w:rPr>
          <w:sz w:val="18"/>
        </w:rPr>
        <w:t xml:space="preserve">OpenITI, метаданные конкретной очищенной версии Nayl. </w:t>
      </w:r>
      <w:hyperlink r:id="rId25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S17  </w:t>
      </w:r>
      <w:r>
        <w:rPr>
          <w:sz w:val="18"/>
        </w:rPr>
        <w:t xml:space="preserve">Al-Furqan, официальный Handlist Ahmed Baba, 5 томов. </w:t>
      </w:r>
      <w:hyperlink r:id="rId26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S18  </w:t>
      </w:r>
      <w:r>
        <w:rPr>
          <w:sz w:val="18"/>
        </w:rPr>
        <w:t xml:space="preserve">Universität Hamburg, CSMC Timbuktu handlists. </w:t>
      </w:r>
      <w:hyperlink r:id="rId27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S19  </w:t>
      </w:r>
      <w:r>
        <w:rPr>
          <w:sz w:val="18"/>
        </w:rPr>
        <w:t xml:space="preserve">Charles C. Stewart, What’s in the Manuscripts of Timbuktu?, CC BY 4.0. </w:t>
      </w:r>
      <w:hyperlink r:id="rId28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S20  </w:t>
      </w:r>
      <w:r>
        <w:rPr>
          <w:sz w:val="18"/>
        </w:rPr>
        <w:t xml:space="preserve">HSRC, The Meanings of Timbuktu, Handle 20.500.11910/5565; CC BY-NC. </w:t>
      </w:r>
      <w:hyperlink r:id="rId29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S21  </w:t>
      </w:r>
      <w:r>
        <w:rPr>
          <w:sz w:val="18"/>
        </w:rPr>
        <w:t xml:space="preserve">Fontes Historiae Africanae, официальный список доступных онлайн книг. </w:t>
      </w:r>
      <w:hyperlink r:id="rId30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S22  </w:t>
      </w:r>
      <w:r>
        <w:rPr>
          <w:sz w:val="18"/>
        </w:rPr>
        <w:t xml:space="preserve">Foundation Mohammed VI: академическая статья об Ахмаде Бабе, учебном списке и произведениях. </w:t>
      </w:r>
      <w:hyperlink r:id="rId31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S23  </w:t>
      </w:r>
      <w:r>
        <w:rPr>
          <w:sz w:val="18"/>
        </w:rPr>
        <w:t xml:space="preserve">U.S. Copyright Office, Circular 15A, редакция апреля 2026. </w:t>
      </w:r>
      <w:hyperlink r:id="rId32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S24  </w:t>
      </w:r>
      <w:r>
        <w:rPr>
          <w:sz w:val="18"/>
        </w:rPr>
        <w:t xml:space="preserve">Google Books, Ruxton, Mâliki Law, 1916. </w:t>
      </w:r>
      <w:hyperlink r:id="rId33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S25  </w:t>
      </w:r>
      <w:r>
        <w:rPr>
          <w:sz w:val="18"/>
        </w:rPr>
        <w:t xml:space="preserve">Les Éditions du Net, Perron, том 4, факсимильное переиздание. </w:t>
      </w:r>
      <w:hyperlink r:id="rId34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S26  </w:t>
      </w:r>
      <w:r>
        <w:rPr>
          <w:sz w:val="18"/>
        </w:rPr>
        <w:t xml:space="preserve">Leiden / Mouse &amp; Manuscript, Or. 14.078. </w:t>
      </w:r>
      <w:hyperlink r:id="rId35">
        <w:r>
          <w:rPr>
            <w:color w:val="176D94"/>
            <w:u w:val="single"/>
            <w:sz w:val="18"/>
          </w:rPr>
          <w:t>Открыть источник</w:t>
        </w:r>
      </w:hyperlink>
    </w:p>
    <w:p>
      <w:pPr>
        <w:spacing w:after="80"/>
      </w:pPr>
      <w:r>
        <w:rPr>
          <w:b/>
          <w:sz w:val="18"/>
        </w:rPr>
        <w:t xml:space="preserve">S27  </w:t>
      </w:r>
      <w:r>
        <w:rPr>
          <w:sz w:val="18"/>
        </w:rPr>
        <w:t xml:space="preserve">HathiTrust, Суданские хроники, Куббель, 1984. </w:t>
      </w:r>
      <w:hyperlink r:id="rId36">
        <w:r>
          <w:rPr>
            <w:color w:val="176D94"/>
            <w:u w:val="single"/>
            <w:sz w:val="18"/>
          </w:rPr>
          <w:t>Открыть источник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13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Проверка: 05.09.2026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</w:pPr>
    <w:r>
      <w:t>ToS  /  ДРЕВО СОФИИ                                      T2-52  •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" w:hAnsi="Noto Sans"/>
      <w:color w:val="263A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" w:hAnsi="Noto Sans"/>
      <w:b/>
      <w:bCs/>
      <w:color w:val="123F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" w:hAnsi="Noto Sans"/>
      <w:b/>
      <w:bCs/>
      <w:color w:val="175E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" w:hAnsi="Noto Sans"/>
      <w:b/>
      <w:bCs/>
      <w:color w:val="175E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Noto Sans" w:hAnsi="Noto Sans"/>
      <w:color w:val="123F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20"/>
    </w:pPr>
    <w:rPr>
      <w:rFonts w:asciiTheme="majorHAnsi" w:eastAsiaTheme="majorEastAsia" w:hAnsiTheme="majorHAnsi" w:cstheme="majorBidi" w:ascii="Noto Sans" w:hAnsi="Noto Sans"/>
      <w:i/>
      <w:iCs/>
      <w:color w:val="52666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Noto Sans" w:hAnsi="Noto Sans"/>
      <w:color w:val="263A4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" w:hAnsi="Noto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mml.org/about/global-operations/mali/" TargetMode="External"/><Relationship Id="rId12" Type="http://schemas.openxmlformats.org/officeDocument/2006/relationships/hyperlink" Target="https://www.vhmml.org/terms" TargetMode="External"/><Relationship Id="rId13" Type="http://schemas.openxmlformats.org/officeDocument/2006/relationships/hyperlink" Target="https://hmml.org/stories/series-migration-to-timbuktu-from-a-land-far-away/" TargetMode="External"/><Relationship Id="rId14" Type="http://schemas.openxmlformats.org/officeDocument/2006/relationships/hyperlink" Target="https://www.cambridge.org/core/journals/journal-of-african-history/article/scholars-secrets-and-sultans-clerical-authority-in-west-africa-14501650/7D29BE1E60B29632C9F8112AF1386767" TargetMode="External"/><Relationship Id="rId15" Type="http://schemas.openxmlformats.org/officeDocument/2006/relationships/hyperlink" Target="https://raw.githubusercontent.com/nulib-ds/maktaba/main/content/essays/foundational-islamic-theology.mdx" TargetMode="External"/><Relationship Id="rId16" Type="http://schemas.openxmlformats.org/officeDocument/2006/relationships/hyperlink" Target="https://wwws.loc.gov/exhibits/mali/mali-exhibit.html" TargetMode="External"/><Relationship Id="rId17" Type="http://schemas.openxmlformats.org/officeDocument/2006/relationships/hyperlink" Target="https://searcharchives.bl.uk/catalog/040-003424455" TargetMode="External"/><Relationship Id="rId18" Type="http://schemas.openxmlformats.org/officeDocument/2006/relationships/hyperlink" Target="https://commons.wikimedia.org/wiki/File:The_Ladder_of_Ascent_in_Obtaining_the_Procurements_of_the_Sudan-_Ahmad_Baba_Answers_a_Moroccan%E2%80%99s_Questions_about_Slavery_WDL9661.pdf" TargetMode="External"/><Relationship Id="rId19" Type="http://schemas.openxmlformats.org/officeDocument/2006/relationships/hyperlink" Target="https://archive.org/details/tarikhalsudan00sadauoft" TargetMode="External"/><Relationship Id="rId20" Type="http://schemas.openxmlformats.org/officeDocument/2006/relationships/hyperlink" Target="https://archive.org/details/32882019262941-tarikhelfettach" TargetMode="External"/><Relationship Id="rId21" Type="http://schemas.openxmlformats.org/officeDocument/2006/relationships/hyperlink" Target="https://catalog.hathitrust.org/Record/011439833" TargetMode="External"/><Relationship Id="rId22" Type="http://schemas.openxmlformats.org/officeDocument/2006/relationships/hyperlink" Target="https://brill.com/display/title/8161?language=en" TargetMode="External"/><Relationship Id="rId23" Type="http://schemas.openxmlformats.org/officeDocument/2006/relationships/hyperlink" Target="https://www.thebritishacademy.ac.uk/publishing/specialist-scholarly-publications/fontes-historiae-africanae/" TargetMode="External"/><Relationship Id="rId24" Type="http://schemas.openxmlformats.org/officeDocument/2006/relationships/hyperlink" Target="https://openiti.org/documentation/" TargetMode="External"/><Relationship Id="rId25" Type="http://schemas.openxmlformats.org/officeDocument/2006/relationships/hyperlink" Target="https://raw.githubusercontent.com/OpenITI/1050AH/master/data/1036AhmadBaba/1036AhmadBaba.NaylIbtihaj/1036AhmadBaba.NaylIbtihaj.Sham19Y0014197-ara1.yml" TargetMode="External"/><Relationship Id="rId26" Type="http://schemas.openxmlformats.org/officeDocument/2006/relationships/hyperlink" Target="https://al-furqan.com/publication/handlist-of-manuscripts-in-the-centre-de-documentation-et-de-recherches-historiques-ahmed-baba-timbuktu-mali-9781788146760/" TargetMode="External"/><Relationship Id="rId27" Type="http://schemas.openxmlformats.org/officeDocument/2006/relationships/hyperlink" Target="https://www.csmc.uni-hamburg.de/timbuktu/handlists.html" TargetMode="External"/><Relationship Id="rId28" Type="http://schemas.openxmlformats.org/officeDocument/2006/relationships/hyperlink" Target="https://www.cambridge.org/core/journals/history-in-africa/article/whats-in-the-manuscripts-of-timbuktu-a-survey-of-the-contents-of-31-private-libraries/89202946609FB726FE85A2D7EABC75DB" TargetMode="External"/><Relationship Id="rId29" Type="http://schemas.openxmlformats.org/officeDocument/2006/relationships/hyperlink" Target="https://repository.hsrc.ac.za/handle/20.500.11910/5565" TargetMode="External"/><Relationship Id="rId30" Type="http://schemas.openxmlformats.org/officeDocument/2006/relationships/hyperlink" Target="https://fonteshistoriaeafricanae.co.uk/books-available-online/" TargetMode="External"/><Relationship Id="rId31" Type="http://schemas.openxmlformats.org/officeDocument/2006/relationships/hyperlink" Target="https://fm6oa.org/revue/article/%D8%AC%D9%87%D9%88%D8%AF-%D8%A7%D9%84%D8%B9%D9%84%D9%85%D8%A7%D8%A1-%D8%A7%D9%84%D8%A3%D9%81%D8%A7%D8%B1%D9%82%D8%A9-%D9%81%D9%8A-%D8%AE%D8%AF%D9%85%D8%A9-%D8%A7%D9%84%D9%85%D8%B0%D9%87%D8%A8-%D8%A7/" TargetMode="External"/><Relationship Id="rId32" Type="http://schemas.openxmlformats.org/officeDocument/2006/relationships/hyperlink" Target="https://www.copyright.gov/circs/circ15a.pdf" TargetMode="External"/><Relationship Id="rId33" Type="http://schemas.openxmlformats.org/officeDocument/2006/relationships/hyperlink" Target="https://books.google.com/books?cad=3&amp;id=zi5QAQAAIAAJ&amp;printsec=frontcover&amp;source=gbs_book_other_versions_r" TargetMode="External"/><Relationship Id="rId34" Type="http://schemas.openxmlformats.org/officeDocument/2006/relationships/hyperlink" Target="https://www.leseditionsdunet.com/livre/precis-de-jurisprudence-musulmane-ou-principes-de-legislation-musulmane-civile-et-3" TargetMode="External"/><Relationship Id="rId35" Type="http://schemas.openxmlformats.org/officeDocument/2006/relationships/hyperlink" Target="https://mouse.digitalscholarship.nl/lessons/lecture-marks" TargetMode="External"/><Relationship Id="rId36" Type="http://schemas.openxmlformats.org/officeDocument/2006/relationships/hyperlink" Target="https://catalog.hathitrust.org/Record/0096596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T2-52</dc:title>
  <dc:subject>Тимбукту и сахельский арабоязычный рукописный город — доступ, версии, права</dc:subject>
  <dc:creator>ToS / Древо Софии</dc:creator>
  <cp:keywords>T2-52, Timbuktu, corpus, manuscripts, rights, registry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