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iberation Sans" w:hAnsi="Liberation Sans" w:eastAsia="Liberation Sans"/>
          <w:b/>
          <w:color w:val="0B4F5C"/>
          <w:sz w:val="54"/>
        </w:rPr>
        <w:t>ToS Corpus &amp; Rights Registry</w:t>
      </w:r>
    </w:p>
    <w:p>
      <w:pPr>
        <w:spacing w:before="160"/>
        <w:jc w:val="center"/>
      </w:pPr>
      <w:r>
        <w:rPr>
          <w:rFonts w:ascii="Liberation Sans" w:hAnsi="Liberation Sans" w:eastAsia="Liberation Sans"/>
          <w:b/>
          <w:color w:val="C28A2C"/>
          <w:sz w:val="36"/>
        </w:rPr>
        <w:t>A17</w:t>
      </w:r>
    </w:p>
    <w:p>
      <w:pPr>
        <w:spacing w:before="200"/>
        <w:jc w:val="center"/>
      </w:pPr>
      <w:r>
        <w:rPr>
          <w:rFonts w:ascii="Liberation Sans" w:hAnsi="Liberation Sans" w:eastAsia="Liberation Sans"/>
          <w:b/>
          <w:color w:val="17252B"/>
          <w:sz w:val="40"/>
        </w:rPr>
        <w:t>Южная Азия — Ведийско-брахманическая традиция</w:t>
        <w:br/>
        <w:t>до и через ранние Упанишады</w:t>
      </w:r>
    </w:p>
    <w:p>
      <w:pPr>
        <w:spacing w:before="360"/>
        <w:jc w:val="center"/>
      </w:pPr>
      <w:r>
        <w:rPr>
          <w:rFonts w:ascii="Liberation Sans" w:hAnsi="Liberation Sans" w:eastAsia="Liberation Sans"/>
          <w:color w:val="176B78"/>
          <w:sz w:val="24"/>
        </w:rPr>
        <w:t>Research-first protocol v4.2</w:t>
      </w:r>
    </w:p>
    <w:p>
      <w:pPr>
        <w:jc w:val="center"/>
      </w:pPr>
      <w:r>
        <w:rPr>
          <w:rFonts w:ascii="Liberation Sans" w:hAnsi="Liberation Sans" w:eastAsia="Liberation Sans"/>
          <w:color w:val="5E6B73"/>
          <w:sz w:val="21"/>
        </w:rPr>
        <w:t>Отдельный исследовательский пакет: корпус • доступ • права • практическое использование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4F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135</w:t>
            </w:r>
          </w:p>
        </w:tc>
        <w:tc>
          <w:tcPr>
            <w:tcW w:type="dxa" w:w="2550"/>
            <w:shd w:fill="0B4F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≈52</w:t>
            </w:r>
          </w:p>
        </w:tc>
        <w:tc>
          <w:tcPr>
            <w:tcW w:type="dxa" w:w="2550"/>
            <w:shd w:fill="0B4F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15</w:t>
            </w:r>
          </w:p>
        </w:tc>
        <w:tc>
          <w:tcPr>
            <w:tcW w:type="dxa" w:w="2550"/>
            <w:shd w:fill="0B4F5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30"/>
              </w:rPr>
              <w:t>03.09.2026</w:t>
            </w:r>
          </w:p>
        </w:tc>
      </w:tr>
      <w:tr>
        <w:tc>
          <w:tcPr>
            <w:tcW w:type="dxa" w:w="2550"/>
            <w:shd w:fill="EAF4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color w:val="17252B"/>
                <w:sz w:val="17"/>
              </w:rPr>
              <w:t>способов доступа</w:t>
            </w:r>
          </w:p>
        </w:tc>
        <w:tc>
          <w:tcPr>
            <w:tcW w:type="dxa" w:w="2550"/>
            <w:shd w:fill="EAF4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color w:val="17252B"/>
                <w:sz w:val="17"/>
              </w:rPr>
              <w:t>произведения, корпуса и прямые линии рецепции</w:t>
            </w:r>
          </w:p>
        </w:tc>
        <w:tc>
          <w:tcPr>
            <w:tcW w:type="dxa" w:w="2550"/>
            <w:shd w:fill="EAF4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color w:val="17252B"/>
                <w:sz w:val="17"/>
              </w:rPr>
              <w:t>зафиксированных пробелов</w:t>
            </w:r>
          </w:p>
        </w:tc>
        <w:tc>
          <w:tcPr>
            <w:tcW w:type="dxa" w:w="2550"/>
            <w:shd w:fill="EAF4F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color w:val="17252B"/>
                <w:sz w:val="17"/>
              </w:rPr>
              <w:t>дата проверки</w:t>
            </w:r>
          </w:p>
        </w:tc>
      </w:tr>
    </w:tbl>
    <w:p>
      <w:pPr>
        <w:spacing w:before="560"/>
        <w:jc w:val="center"/>
      </w:pPr>
      <w:r>
        <w:rPr>
          <w:rFonts w:ascii="Liberation Sans" w:hAnsi="Liberation Sans" w:eastAsia="Liberation Sans"/>
          <w:i/>
          <w:color w:val="5E6B73"/>
          <w:sz w:val="19"/>
        </w:rPr>
        <w:t>Исходный Deep Research не редактировался. ID A17 и статус A сохранены.</w:t>
      </w:r>
    </w:p>
    <w:p>
      <w:r>
        <w:rPr>
          <w:rFonts w:ascii="Liberation Sans" w:hAnsi="Liberation Sans" w:eastAsia="Liberation Sans"/>
        </w:rPr>
        <w:br w:type="page"/>
      </w: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Содержание</w:t>
      </w:r>
    </w:p>
    <w:p>
      <w:pPr>
        <w:spacing w:after="80"/>
        <w:ind w:left="340"/>
      </w:pPr>
      <w:r>
        <w:rPr>
          <w:rFonts w:ascii="Liberation Sans" w:hAnsi="Liberation Sans" w:eastAsia="Liberation Sans"/>
          <w:b/>
          <w:color w:val="0B4F5C"/>
          <w:sz w:val="22"/>
        </w:rPr>
        <w:t>1. Паспорт</w:t>
      </w:r>
    </w:p>
    <w:p>
      <w:pPr>
        <w:spacing w:after="80"/>
        <w:ind w:left="340"/>
      </w:pPr>
      <w:r>
        <w:rPr>
          <w:rFonts w:ascii="Liberation Sans" w:hAnsi="Liberation Sans" w:eastAsia="Liberation Sans"/>
          <w:b w:val="0"/>
          <w:color w:val="17252B"/>
          <w:sz w:val="22"/>
        </w:rPr>
        <w:t>2. Охват корпуса</w:t>
      </w:r>
    </w:p>
    <w:p>
      <w:pPr>
        <w:spacing w:after="80"/>
        <w:ind w:left="340"/>
      </w:pPr>
      <w:r>
        <w:rPr>
          <w:rFonts w:ascii="Liberation Sans" w:hAnsi="Liberation Sans" w:eastAsia="Liberation Sans"/>
          <w:b w:val="0"/>
          <w:color w:val="17252B"/>
          <w:sz w:val="22"/>
        </w:rPr>
        <w:t>3. Лучшие пути доступа</w:t>
      </w:r>
    </w:p>
    <w:p>
      <w:pPr>
        <w:spacing w:after="80"/>
        <w:ind w:left="340"/>
      </w:pPr>
      <w:r>
        <w:rPr>
          <w:rFonts w:ascii="Liberation Sans" w:hAnsi="Liberation Sans" w:eastAsia="Liberation Sans"/>
          <w:b w:val="0"/>
          <w:color w:val="17252B"/>
          <w:sz w:val="22"/>
        </w:rPr>
        <w:t>4. Карта прав и практического использования</w:t>
      </w:r>
    </w:p>
    <w:p>
      <w:pPr>
        <w:spacing w:after="80"/>
        <w:ind w:left="340"/>
      </w:pPr>
      <w:r>
        <w:rPr>
          <w:rFonts w:ascii="Liberation Sans" w:hAnsi="Liberation Sans" w:eastAsia="Liberation Sans"/>
          <w:b w:val="0"/>
          <w:color w:val="17252B"/>
          <w:sz w:val="22"/>
        </w:rPr>
        <w:t>5. Характерные правовые тонкости</w:t>
      </w:r>
    </w:p>
    <w:p>
      <w:pPr>
        <w:spacing w:after="80"/>
        <w:ind w:left="340"/>
      </w:pPr>
      <w:r>
        <w:rPr>
          <w:rFonts w:ascii="Liberation Sans" w:hAnsi="Liberation Sans" w:eastAsia="Liberation Sans"/>
          <w:b w:val="0"/>
          <w:color w:val="17252B"/>
          <w:sz w:val="22"/>
        </w:rPr>
        <w:t>6. Пробелы и дальнейший поиск</w:t>
      </w:r>
    </w:p>
    <w:p>
      <w:pPr>
        <w:spacing w:after="80"/>
        <w:ind w:left="340"/>
      </w:pPr>
      <w:r>
        <w:rPr>
          <w:rFonts w:ascii="Liberation Sans" w:hAnsi="Liberation Sans" w:eastAsia="Liberation Sans"/>
          <w:b/>
          <w:color w:val="0B4F5C"/>
          <w:sz w:val="22"/>
        </w:rPr>
        <w:t>7. Итоговая оценка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5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6" w:color="176B78"/>
              <w:left w:val="single" w:sz="6" w:color="176B78"/>
              <w:bottom w:val="single" w:sz="6" w:color="176B78"/>
              <w:right w:val="single" w:sz="6" w:color="176B78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color w:val="17252B"/>
                <w:sz w:val="19"/>
              </w:rPr>
              <w:t>Как читать отчёт. Число 135 означает способы доступа, а не 135 разных древних произведений. Одна и та же работа может иметь отдельные записи для оригинала, перевода, рукописи, факсимиле, машиночитаемого корпуса и платного научного издания. Любой положительный тег использования действует только в границах rights_scope и coverage соответствующей строки XLSX.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1. Паспорт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ID строки ToS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A17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Название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Южная Азия — Ведийско-брахманическая традиция до и через ранние Упанишады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Исходный статус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A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Исходная уверенность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3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Хронологическое ядро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c. 1500–500 до н.э.; поздняя письменная фиксация, рукописная и комментарийная жизнь — значительно позже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Исходный DR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ToS Deep Research_ A17 — Южная Азия — Ведийско-брахманическая традиция до и через ранние Упанишады.docx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Дата проверки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3 сентября 2026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Языки поиска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английский; санскрит и IAST-транслитерации; хинди/санскритские интерфейсы; немецкий; русский; персидский; латинский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Ядро корпуса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слоистый śruti-комплекс: Saṃhitā → Brāhmaṇa → Āraṇyaka → ранние Upaniṣad; школа śākhā, акцент, устная передача и поздняя рукописная выживаемость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Искомые объекты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произведения и корпусы; рецензии; переводы и издания; рукописные свидетели; цифровые тексты и факсимиле; datasets/API; каталоги; библиотечный и покупной доступ</w:t>
            </w:r>
          </w:p>
        </w:tc>
      </w:tr>
    </w:tbl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1.1. Исходная рамка</w:t>
      </w:r>
    </w:p>
    <w:p>
      <w:r>
        <w:rPr>
          <w:rFonts w:ascii="Liberation Sans" w:hAnsi="Liberation Sans" w:eastAsia="Liberation Sans"/>
        </w:rPr>
        <w:t>Исходный DR определяет A17 не как «ранний индуизм» вообще, а как стратифицированную текстовую экосистему. В ней гимническая поэзия Ṛgveda, литургические Saṃhitā, ритуальная проза Brāhmaṇa, переходный слой Āraṇyaka и раннеупанишадические диалоги связаны исторически, но не образуют единой доктрины. Ключевой медиум ранней сохранности — устная рецитация с контролем акцента и метра; сохранившиеся рукописи намного моложе текстов.</w:t>
      </w:r>
    </w:p>
    <w:p>
      <w:r>
        <w:rPr>
          <w:rFonts w:ascii="Liberation Sans" w:hAnsi="Liberation Sans" w:eastAsia="Liberation Sans"/>
        </w:rPr>
        <w:t>Веб-исследование расширило карту, но не заменило эту рамку. В реестр добавлялись только объекты с конкретной связью: членство в той же śākhā или жанровой семье, передача текста, комментарий, перевод, канонизация, сохранение свидетеля либо практически значимый цифровой вход. Тематического сходства с «индийской религией» было недостаточно.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1.2. Юридическая оговорка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6" w:color="C28A2C"/>
              <w:left w:val="single" w:sz="6" w:color="C28A2C"/>
              <w:bottom w:val="single" w:sz="6" w:color="C28A2C"/>
              <w:right w:val="single" w:sz="6" w:color="C28A2C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color w:val="17252B"/>
                <w:sz w:val="19"/>
              </w:rPr>
              <w:t>Реестр — исследовательская карта, а не юридическое заключение. Древность произведения не освобождает современный перевод, критическое издание, реконструкцию, комментарий, фотографию, OCR или базу данных. Бесплатное чтение и кнопка Download не приравниваются к праву зеркалирования. Сильные рекомендации по повторному использованию поставлены только там, где найдено прямое лицензионное или item-level rights statement; даже тогда сохраняется оговорка о юрисдикции и точном объёме объекта.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2. Охват корпуса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2.1. Ядро, извлечённое из исходного DR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Основные произведения / корпусы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Роль в A17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Saṃhitā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Ṛgveda; Yajurveda-рецензии; Sāmaveda; интерфейс Atharvaveda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гимн, mantra, литургическая формула, звук и космология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Brāhmaṇa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Aitareya; Kauṣītaki/Śāṅkhāyana; Śatapatha; Taittirīya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ритуальная экзегеза, bandhu-мышление, онтология yajña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Āraṇyaka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Aitareya; Taittirīya; Bṛhadāraṇyaka-слой; Śāṅkhāyana/Talavakāra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переход от публичного обряда к интериоризации и эзотерической дисциплине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Ранние Upaniṣad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Bṛhadāraṇyaka; Chāndogya; Aitareya; Taittirīya; Kena; Īśā; ранний Kauṣītaki-горизонт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ātman, brahman, prāṇa, vāc, диалог, знание, neti neti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Передача и сохранность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śākhā, Prātiśākhya, поздние рукописи, рецитация, NMM, BORI, VHP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точность, рецензионная дифференциация и материальная выживаемость</w:t>
            </w:r>
          </w:p>
        </w:tc>
      </w:tr>
    </w:tbl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2.2. Что добавлено веб-поиском</w:t>
      </w:r>
    </w:p>
    <w:p>
      <w:r>
        <w:rPr>
          <w:rFonts w:ascii="Liberation Sans" w:hAnsi="Liberation Sans" w:eastAsia="Liberation Sans"/>
        </w:rPr>
        <w:t>Помимо объектов, прямо перечисленных в DR, были добавлены рецензии и жанровые родственники, без которых карта корпуса остаётся слишком грубой: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Vājasaneyī Saṃhitā в линиях Mādhyandina и Kāṇva; Maitrāyaṇī и Kāṭhaka Saṃhitā; три живых Sāmaveda-рецензии Kauthuma, Jaiminīya и Rāṇāyanīya.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Pañcaviṃśa/Tāṇḍya, Ṣaḍviṃśa, Sāmavidhāna, Ārṣeya, Devatādhyāya, Saṃhitopaniṣad, Vaṃśa, Jaiminīya и Jaiminīya Upaniṣad Brāhmaṇa, Gopatha Brāhmaṇa.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Śāṅkhāyana и Talavakāra Āraṇyaka; поздние, но прямые продолжения раннеупанишадического корпуса — Kaṭha, Śvetāśvatara, Maitrī, Muṇḍaka, Praśna и Māṇḍūkya.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Машиночитаемые слои Ṛgveda: VedaWeb TEI и компонентные datasets, Padapāṭha, Lubotsky text/concordance, Zurich morphology, UD Sanskrit-Vedic.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Старые переводы и издания: Griffith, Eggeling, Max Müller, Hume, Paramananda, Deussen; современные научные ориентиры Jamison–Brereton и Olivelle.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Линии сохранения и рецепции: Yāska, Prātiśākhya, Sāyaṇa, Brahma-sūtra с Śaṅkara и Rāmānuja, Sirr-i Akbar и Oupnek’hat.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2.3. Открытый хронологический контур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Метка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Конкретная связь с A17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Назад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Old Avestan Gāthās / Yasna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antecedent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узкий сравнительно-индо-иранский горизонт архаической сакральной поэзии, ритуальной лексики и формульной передачи; не заявлен как прямое заимствование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Вперёд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Kaṭha, Śvetāśvatara, Maitrī, Muṇḍaka, Praśna, Māṇḍūkya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continuation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поздние фазы той же Upaniṣadic corpus-family, развивающие темы ātman, brahman, prāṇa, освобождения и внутреннего знания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Передача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Yāska и Prātiśākhya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transmission_or_preservation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метаязык, фонетика и школа, без которых нельзя понять сохранение акцента, значения и формы Veda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Комментарий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Sāyaṇa; Śaṅkara-bhāṣya; Brahma-sūtra; Rāmānuja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commentary_or_reception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канонизация и систематическое чтение ранних śruti-текстов; поздние доктрины не проецируются обратно на A17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Перевод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Sirr-i Akbar → Oupnek’hat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transmission_or_preservation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персидская и латинская цепь, через которую Upaniṣads вошли в раннемодерную европейскую рецепцию</w:t>
            </w:r>
          </w:p>
        </w:tc>
      </w:tr>
    </w:tbl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2.4. Количественный итог</w:t>
      </w:r>
    </w:p>
    <w:p>
      <w:r>
        <w:rPr>
          <w:rFonts w:ascii="Liberation Sans" w:hAnsi="Liberation Sans" w:eastAsia="Liberation Sans"/>
        </w:rPr>
        <w:t>Реестр содержит 135 практически отличимых способов доступа. После сведения вариантов одного и того же текста к интеллектуальным объектам это примерно 52 произведения, корпуса, рецензии и напрямую связанные тексты рецепции. Это сознательно приблизительный счёт: например, три Sāmaveda-рецензии можно считать одним корпусом или тремя текстовыми объектами, а один Upaniṣad — самостоятельным произведением и частью более крупного канона одновременно.</w:t>
      </w:r>
    </w:p>
    <w:p>
      <w:r>
        <w:rPr>
          <w:rFonts w:ascii="Liberation Sans" w:hAnsi="Liberation Sans" w:eastAsia="Liberation Sans"/>
        </w:rPr>
        <w:t>Отдельно зафиксированы 15 пробелов. Внутри 135 строк: 49 access-записей с релевантностью core, 18 — same_corpus_or_tradition, 2 — antecedent, 8 — continuation, 9 — commentary_or_reception, 23 — transmission_or_preservation, 6 — boundary, 2 — supporting, 17 — infrastructure и 1 — secondary_navigation. Это распределение относится к ссылкам/объектам доступа, а не к числу древних произведений.</w:t>
      </w:r>
    </w:p>
    <w:p>
      <w:r>
        <w:rPr>
          <w:rFonts w:ascii="Liberation Sans" w:hAnsi="Liberation Sans" w:eastAsia="Liberation Sans"/>
        </w:rPr>
        <w:br w:type="page"/>
      </w: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3. Лучшие пути доступа</w:t>
      </w:r>
    </w:p>
    <w:p>
      <w:r>
        <w:rPr>
          <w:rFonts w:ascii="Liberation Sans" w:hAnsi="Liberation Sans" w:eastAsia="Liberation Sans"/>
        </w:rPr>
        <w:t>Ниже названы лучшие найденные входы по задачам. Полный набор альтернатив, форматов, правовых слоёв и доказательств находится в XLSX; record_id позволяет быстро перейти от отчёта к нужной строке.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3.1. Ṛgveda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A17-R060 — </w:t>
      </w:r>
      <w:hyperlink r:id="rId11">
        <w:r>
          <w:rPr>
            <w:color w:val="176B78"/>
            <w:u w:val="single"/>
            <w:rFonts w:ascii="Liberation Sans" w:hAnsi="Liberation Sans" w:eastAsia="Liberation Sans"/>
          </w:rPr>
          <w:t>GRETIL: полный санскритский e-text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простой бесплатный полнотекстовый вход; исследовательское/некоммерческое использование, повторная публикация требует проверки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A17-R078 — </w:t>
      </w:r>
      <w:hyperlink r:id="rId12">
        <w:r>
          <w:rPr>
            <w:color w:val="176B78"/>
            <w:u w:val="single"/>
            <w:rFonts w:ascii="Liberation Sans" w:hAnsi="Liberation Sans" w:eastAsia="Liberation Sans"/>
          </w:rPr>
          <w:t>TITUS: Ṛgveda text</w:t>
        </w:r>
      </w:hyperlink>
      <w:r>
        <w:rPr>
          <w:rFonts w:ascii="Liberation Sans" w:hAnsi="Liberation Sans" w:eastAsia="Liberation Sans"/>
          <w:color w:val="17252B"/>
        </w:rPr>
        <w:t xml:space="preserve"> — удобный филологический вход с правилами научного использования и атрибуции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A17-R104 — </w:t>
      </w:r>
      <w:hyperlink r:id="rId13">
        <w:r>
          <w:rPr>
            <w:color w:val="176B78"/>
            <w:u w:val="single"/>
            <w:rFonts w:ascii="Liberation Sans" w:hAnsi="Liberation Sans" w:eastAsia="Liberation Sans"/>
          </w:rPr>
          <w:t>VedaWeb integrated TEI corpus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интегрированный машиночитаемый вариант; права смешанные по компонентам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A17-R099 — </w:t>
      </w:r>
      <w:hyperlink r:id="rId14">
        <w:r>
          <w:rPr>
            <w:color w:val="176B78"/>
            <w:u w:val="single"/>
            <w:rFonts w:ascii="Liberation Sans" w:hAnsi="Liberation Sans" w:eastAsia="Liberation Sans"/>
          </w:rPr>
          <w:t>VedaWeb Lubotsky text/concordance</w:t>
        </w:r>
      </w:hyperlink>
      <w:r>
        <w:rPr>
          <w:rFonts w:ascii="Liberation Sans" w:hAnsi="Liberation Sans" w:eastAsia="Liberation Sans"/>
          <w:color w:val="17252B"/>
        </w:rPr>
        <w:t xml:space="preserve"> — CC BY-NC-SA 4.0; пригоден для некоммерческого зеркала, индекса, embeddings и собственного перевода покрытого слоя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A17-R100 — </w:t>
      </w:r>
      <w:hyperlink r:id="rId15">
        <w:r>
          <w:rPr>
            <w:color w:val="176B78"/>
            <w:u w:val="single"/>
            <w:rFonts w:ascii="Liberation Sans" w:hAnsi="Liberation Sans" w:eastAsia="Liberation Sans"/>
          </w:rPr>
          <w:t>VedaWeb Padapāṭha</w:t>
        </w:r>
      </w:hyperlink>
      <w:r>
        <w:rPr>
          <w:rFonts w:ascii="Liberation Sans" w:hAnsi="Liberation Sans" w:eastAsia="Liberation Sans"/>
          <w:color w:val="17252B"/>
        </w:rPr>
        <w:t xml:space="preserve"> — CC BY-NC-SA 4.0; особенно важен как сегментированный санскритский базис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A17-R111/112 — </w:t>
      </w:r>
      <w:hyperlink r:id="rId16">
        <w:r>
          <w:rPr>
            <w:color w:val="176B78"/>
            <w:u w:val="single"/>
            <w:rFonts w:ascii="Liberation Sans" w:hAnsi="Liberation Sans" w:eastAsia="Liberation Sans"/>
          </w:rPr>
          <w:t>Griffith, volumes I–II</w:t>
        </w:r>
      </w:hyperlink>
      <w:r>
        <w:rPr>
          <w:rFonts w:ascii="Liberation Sans" w:hAnsi="Liberation Sans" w:eastAsia="Liberation Sans"/>
          <w:color w:val="17252B"/>
        </w:rPr>
        <w:t xml:space="preserve"> — лучший старый полный английский перевод с item-level public-domain/out-of-copyright statements; том II — отдельная строка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A17-R113 — </w:t>
      </w:r>
      <w:hyperlink r:id="rId17">
        <w:r>
          <w:rPr>
            <w:color w:val="176B78"/>
            <w:u w:val="single"/>
            <w:rFonts w:ascii="Liberation Sans" w:hAnsi="Liberation Sans" w:eastAsia="Liberation Sans"/>
          </w:rPr>
          <w:t>Max Müller + Sāyaṇa, volume I</w:t>
        </w:r>
      </w:hyperlink>
      <w:r>
        <w:rPr>
          <w:rFonts w:ascii="Liberation Sans" w:hAnsi="Liberation Sans" w:eastAsia="Liberation Sans"/>
          <w:color w:val="17252B"/>
        </w:rPr>
        <w:t xml:space="preserve"> — историческое санскритское издание с комментарием; возможен OCR и перевод только в пределах этого тома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A17-R127 — </w:t>
      </w:r>
      <w:hyperlink r:id="rId18">
        <w:r>
          <w:rPr>
            <w:color w:val="176B78"/>
            <w:u w:val="single"/>
            <w:rFonts w:ascii="Liberation Sans" w:hAnsi="Liberation Sans" w:eastAsia="Liberation Sans"/>
          </w:rPr>
          <w:t>Jamison &amp; Brereton, The Rigveda</w:t>
        </w:r>
      </w:hyperlink>
      <w:r>
        <w:rPr>
          <w:rFonts w:ascii="Liberation Sans" w:hAnsi="Liberation Sans" w:eastAsia="Liberation Sans"/>
          <w:color w:val="17252B"/>
        </w:rPr>
        <w:t xml:space="preserve"> — лучший современный научный английский вариант; покупка или институциональный доступ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A17-R110 — </w:t>
      </w:r>
      <w:hyperlink r:id="rId19">
        <w:r>
          <w:rPr>
            <w:color w:val="176B78"/>
            <w:u w:val="single"/>
            <w:rFonts w:ascii="Liberation Sans" w:hAnsi="Liberation Sans" w:eastAsia="Liberation Sans"/>
          </w:rPr>
          <w:t>BORI manuscript witness 5/1875-76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материальный якорь; item-level открытого факсимиле не найдено</w:t>
      </w:r>
    </w:p>
    <w:p>
      <w:r>
        <w:rPr>
          <w:rFonts w:ascii="Liberation Sans" w:hAnsi="Liberation Sans" w:eastAsia="Liberation Sans"/>
          <w:b/>
          <w:color w:val="0B4F5C"/>
        </w:rPr>
        <w:t xml:space="preserve">Русский слой: </w:t>
      </w:r>
      <w:hyperlink r:id="rId20">
        <w:r>
          <w:rPr>
            <w:color w:val="176B78"/>
            <w:u w:val="single"/>
            <w:rFonts w:ascii="Liberation Sans" w:hAnsi="Liberation Sans" w:eastAsia="Liberation Sans"/>
          </w:rPr>
          <w:t>VedaWeb Elizarenkova translation (A17-R102)</w:t>
        </w:r>
      </w:hyperlink>
      <w:r>
        <w:rPr>
          <w:rFonts w:ascii="Liberation Sans" w:hAnsi="Liberation Sans" w:eastAsia="Liberation Sans"/>
        </w:rPr>
        <w:t xml:space="preserve"> — CC BY-NC-SA 4.0; наиболее practically reusable русский перевод в исследованном наборе.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3.2. Yajurveda и Brāhmaṇa-корпусы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A17-R018–020 — </w:t>
      </w:r>
      <w:hyperlink r:id="rId21">
        <w:r>
          <w:rPr>
            <w:color w:val="176B78"/>
            <w:u w:val="single"/>
            <w:rFonts w:ascii="Liberation Sans" w:hAnsi="Liberation Sans" w:eastAsia="Liberation Sans"/>
          </w:rPr>
          <w:t>VHP: Vājasaneyī Mādhyandina/Kāṇva и Taittirīya Saṃhitā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официальный навигационный и читательский вход; политика портала запрещает воспроизведение без разрешения и требует предварительного разрешения для входящих гиперссылок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A17-R079–083 — </w:t>
      </w:r>
      <w:hyperlink r:id="rId22">
        <w:r>
          <w:rPr>
            <w:color w:val="176B78"/>
            <w:u w:val="single"/>
            <w:rFonts w:ascii="Liberation Sans" w:hAnsi="Liberation Sans" w:eastAsia="Liberation Sans"/>
          </w:rPr>
          <w:t>TITUS: Maitrāyaṇī, Taittirīya, Kāṭhaka и Taittirīya Brāhmaṇa/Āraṇyaka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компактный филологический ряд для сопоставления рецензий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A17-R068 — </w:t>
      </w:r>
      <w:hyperlink r:id="rId23">
        <w:r>
          <w:rPr>
            <w:color w:val="176B78"/>
            <w:u w:val="single"/>
            <w:rFonts w:ascii="Liberation Sans" w:hAnsi="Liberation Sans" w:eastAsia="Liberation Sans"/>
          </w:rPr>
          <w:t>GRETIL: Śatapatha Brāhmaṇa, Mādhyandina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бесплатный машинно-поисковый вход в основной ритуально-экзегетический корпус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A17-R106/107 — </w:t>
      </w:r>
      <w:hyperlink r:id="rId24">
        <w:r>
          <w:rPr>
            <w:color w:val="176B78"/>
            <w:u w:val="single"/>
            <w:rFonts w:ascii="Liberation Sans" w:hAnsi="Liberation Sans" w:eastAsia="Liberation Sans"/>
          </w:rPr>
          <w:t>VHP flipbooks: Śatapatha volumes I–II</w:t>
        </w:r>
      </w:hyperlink>
      <w:r>
        <w:rPr>
          <w:rFonts w:ascii="Liberation Sans" w:hAnsi="Liberation Sans" w:eastAsia="Liberation Sans"/>
          <w:color w:val="17252B"/>
        </w:rPr>
        <w:t xml:space="preserve"> — удобное факсимильное чтение, но не источник для зеркалирования/OCR без разрешения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A17-R115–117 — </w:t>
      </w:r>
      <w:hyperlink r:id="rId25">
        <w:r>
          <w:rPr>
            <w:color w:val="176B78"/>
            <w:u w:val="single"/>
            <w:rFonts w:ascii="Liberation Sans" w:hAnsi="Liberation Sans" w:eastAsia="Liberation Sans"/>
          </w:rPr>
          <w:t>Eggeling translation, verified parts I, II and IV</w:t>
        </w:r>
      </w:hyperlink>
      <w:r>
        <w:rPr>
          <w:rFonts w:ascii="Liberation Sans" w:hAnsi="Liberation Sans" w:eastAsia="Liberation Sans"/>
          <w:color w:val="17252B"/>
        </w:rPr>
        <w:t xml:space="preserve"> — лучший старый публичнодоменный английский перевод; части III и V оставлены в gaps до item-level проверки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3.3. Sāmaveda и Atharvaveda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A17-R063 — </w:t>
      </w:r>
      <w:hyperlink r:id="rId26">
        <w:r>
          <w:rPr>
            <w:color w:val="176B78"/>
            <w:u w:val="single"/>
            <w:rFonts w:ascii="Liberation Sans" w:hAnsi="Liberation Sans" w:eastAsia="Liberation Sans"/>
          </w:rPr>
          <w:t>GRETIL: Sāmaveda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простой бесплатный e-text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A17-R021–023 — </w:t>
      </w:r>
      <w:hyperlink r:id="rId27">
        <w:r>
          <w:rPr>
            <w:color w:val="176B78"/>
            <w:u w:val="single"/>
            <w:rFonts w:ascii="Liberation Sans" w:hAnsi="Liberation Sans" w:eastAsia="Liberation Sans"/>
          </w:rPr>
          <w:t>VHP: Kauthuma, Jaiminīya, Rāṇāyanīya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официальный обзор сохранившихся школьных линий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A17-R067 — </w:t>
      </w:r>
      <w:hyperlink r:id="rId28">
        <w:r>
          <w:rPr>
            <w:color w:val="176B78"/>
            <w:u w:val="single"/>
            <w:rFonts w:ascii="Liberation Sans" w:hAnsi="Liberation Sans" w:eastAsia="Liberation Sans"/>
          </w:rPr>
          <w:t>GRETIL: Pañcaviṃśa/Tāṇḍya Brāhmaṇa</w:t>
        </w:r>
      </w:hyperlink>
      <w:r>
        <w:rPr>
          <w:rFonts w:ascii="Liberation Sans" w:hAnsi="Liberation Sans" w:eastAsia="Liberation Sans"/>
          <w:color w:val="17252B"/>
        </w:rPr>
        <w:t xml:space="preserve"> — важный прямой доступ к Sāmavedic ritual-exegetical layer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A17-R061/062 — </w:t>
      </w:r>
      <w:hyperlink r:id="rId29">
        <w:r>
          <w:rPr>
            <w:color w:val="176B78"/>
            <w:u w:val="single"/>
            <w:rFonts w:ascii="Liberation Sans" w:hAnsi="Liberation Sans" w:eastAsia="Liberation Sans"/>
          </w:rPr>
          <w:t>GRETIL: Atharvaveda Śaunaka, unaccented/accented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бесплатный оригинальный текст; Paippalāda остаётся главным пробелом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A17-R126 — </w:t>
      </w:r>
      <w:hyperlink r:id="rId30">
        <w:r>
          <w:rPr>
            <w:color w:val="176B78"/>
            <w:u w:val="single"/>
            <w:rFonts w:ascii="Liberation Sans" w:hAnsi="Liberation Sans" w:eastAsia="Liberation Sans"/>
          </w:rPr>
          <w:t>Whitney: Atharvaveda Prātiśākhya</w:t>
        </w:r>
      </w:hyperlink>
      <w:r>
        <w:rPr>
          <w:rFonts w:ascii="Liberation Sans" w:hAnsi="Liberation Sans" w:eastAsia="Liberation Sans"/>
          <w:color w:val="17252B"/>
        </w:rPr>
        <w:t xml:space="preserve"> — Public Domain Mark 1.0; лучший свободный фонетико-рецитационный свидетель для этой ветви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3.4. Āraṇyaka и ранние Upaniṣad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A17-R069/083 — </w:t>
      </w:r>
      <w:hyperlink r:id="rId31">
        <w:r>
          <w:rPr>
            <w:color w:val="176B78"/>
            <w:u w:val="single"/>
            <w:rFonts w:ascii="Liberation Sans" w:hAnsi="Liberation Sans" w:eastAsia="Liberation Sans"/>
          </w:rPr>
          <w:t>Śāṅkhāyana и Taittirīya Āraṇyaka</w:t>
        </w:r>
      </w:hyperlink>
      <w:r>
        <w:rPr>
          <w:rFonts w:ascii="Liberation Sans" w:hAnsi="Liberation Sans" w:eastAsia="Liberation Sans"/>
          <w:color w:val="17252B"/>
        </w:rPr>
        <w:t xml:space="preserve"> — GRETIL/TITUS дают наиболее удобные поисковые оригиналы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A17-R088–090 — </w:t>
      </w:r>
      <w:hyperlink r:id="rId32">
        <w:r>
          <w:rPr>
            <w:color w:val="176B78"/>
            <w:u w:val="single"/>
            <w:rFonts w:ascii="Liberation Sans" w:hAnsi="Liberation Sans" w:eastAsia="Liberation Sans"/>
          </w:rPr>
          <w:t>Bṛhadāraṇyaka: accented, basic и sandhi-free versions</w:t>
        </w:r>
      </w:hyperlink>
      <w:r>
        <w:rPr>
          <w:rFonts w:ascii="Liberation Sans" w:hAnsi="Liberation Sans" w:eastAsia="Liberation Sans"/>
          <w:color w:val="17252B"/>
        </w:rPr>
        <w:t xml:space="preserve"> — три практически разные формы чтения; личное исследование разрешено, републикация требует разрешения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A17-R087 — </w:t>
      </w:r>
      <w:hyperlink r:id="rId33">
        <w:r>
          <w:rPr>
            <w:color w:val="176B78"/>
            <w:u w:val="single"/>
            <w:rFonts w:ascii="Liberation Sans" w:hAnsi="Liberation Sans" w:eastAsia="Liberation Sans"/>
          </w:rPr>
          <w:t>Chāndogya: Sanskrit Documents</w:t>
        </w:r>
      </w:hyperlink>
      <w:r>
        <w:rPr>
          <w:rFonts w:ascii="Liberation Sans" w:hAnsi="Liberation Sans" w:eastAsia="Liberation Sans"/>
          <w:color w:val="17252B"/>
        </w:rPr>
        <w:t xml:space="preserve"> — бесплатный санскритский текст; link-only для ToS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A17-R070–075 — </w:t>
      </w:r>
      <w:hyperlink r:id="rId34">
        <w:r>
          <w:rPr>
            <w:color w:val="176B78"/>
            <w:u w:val="single"/>
            <w:rFonts w:ascii="Liberation Sans" w:hAnsi="Liberation Sans" w:eastAsia="Liberation Sans"/>
          </w:rPr>
          <w:t>GRETIL: Upaniṣads with Śaṅkara-bhāṣya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машиночитаемый доступ к важнейшей поздней комментарийной линии; не смешивать с ранним слоем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A17-R122 — </w:t>
      </w:r>
      <w:hyperlink r:id="rId35">
        <w:r>
          <w:rPr>
            <w:color w:val="176B78"/>
            <w:u w:val="single"/>
            <w:rFonts w:ascii="Liberation Sans" w:hAnsi="Liberation Sans" w:eastAsia="Liberation Sans"/>
          </w:rPr>
          <w:t>Paramananda Upanishads, Project Gutenberg</w:t>
        </w:r>
      </w:hyperlink>
      <w:r>
        <w:rPr>
          <w:rFonts w:ascii="Liberation Sans" w:hAnsi="Liberation Sans" w:eastAsia="Liberation Sans"/>
          <w:color w:val="17252B"/>
        </w:rPr>
        <w:t xml:space="preserve"> — удобный старый бесплатный английский перевод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A17-R118/119 — </w:t>
      </w:r>
      <w:hyperlink r:id="rId36">
        <w:r>
          <w:rPr>
            <w:color w:val="176B78"/>
            <w:u w:val="single"/>
            <w:rFonts w:ascii="Liberation Sans" w:hAnsi="Liberation Sans" w:eastAsia="Liberation Sans"/>
          </w:rPr>
          <w:t>Max Müller historic Upanishads</w:t>
        </w:r>
      </w:hyperlink>
      <w:r>
        <w:rPr>
          <w:rFonts w:ascii="Liberation Sans" w:hAnsi="Liberation Sans" w:eastAsia="Liberation Sans"/>
          <w:color w:val="17252B"/>
        </w:rPr>
        <w:t xml:space="preserve"> — публичнодоменный исторический перевод, полезный для сравнения и истории рецепции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A17-R128 — </w:t>
      </w:r>
      <w:hyperlink r:id="rId37">
        <w:r>
          <w:rPr>
            <w:color w:val="176B78"/>
            <w:u w:val="single"/>
            <w:rFonts w:ascii="Liberation Sans" w:hAnsi="Liberation Sans" w:eastAsia="Liberation Sans"/>
          </w:rPr>
          <w:t>Olivelle, The Early Upaniṣads</w:t>
        </w:r>
      </w:hyperlink>
      <w:r>
        <w:rPr>
          <w:rFonts w:ascii="Liberation Sans" w:hAnsi="Liberation Sans" w:eastAsia="Liberation Sans"/>
          <w:color w:val="17252B"/>
        </w:rPr>
        <w:t xml:space="preserve"> — лучший современный научный текст/перевод; институциональный доступ, preview или покупка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3.5. Рукописи, передача и рецепция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A17-R012 — </w:t>
      </w:r>
      <w:hyperlink r:id="rId38">
        <w:r>
          <w:rPr>
            <w:color w:val="176B78"/>
            <w:u w:val="single"/>
            <w:rFonts w:ascii="Liberation Sans" w:hAnsi="Liberation Sans" w:eastAsia="Liberation Sans"/>
          </w:rPr>
          <w:t>National Mission for Manuscripts</w:t>
        </w:r>
      </w:hyperlink>
      <w:r>
        <w:rPr>
          <w:rFonts w:ascii="Liberation Sans" w:hAnsi="Liberation Sans" w:eastAsia="Liberation Sans"/>
          <w:color w:val="17252B"/>
        </w:rPr>
        <w:t xml:space="preserve"> — лучший национальный каталогический вход; item-level извлечение требует отдельного прохода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A17-R002 — </w:t>
      </w:r>
      <w:hyperlink r:id="rId39">
        <w:r>
          <w:rPr>
            <w:color w:val="176B78"/>
            <w:u w:val="single"/>
            <w:rFonts w:ascii="Liberation Sans" w:hAnsi="Liberation Sans" w:eastAsia="Liberation Sans"/>
          </w:rPr>
          <w:t>VHP Vedic Manuscripts Search</w:t>
        </w:r>
      </w:hyperlink>
      <w:r>
        <w:rPr>
          <w:rFonts w:ascii="Liberation Sans" w:hAnsi="Liberation Sans" w:eastAsia="Liberation Sans"/>
          <w:color w:val="17252B"/>
        </w:rPr>
        <w:t xml:space="preserve"> — быстрый тематический поиск; те же ограничения VHP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A17-R131 — </w:t>
      </w:r>
      <w:hyperlink r:id="rId40">
        <w:r>
          <w:rPr>
            <w:color w:val="176B78"/>
            <w:u w:val="single"/>
            <w:rFonts w:ascii="Liberation Sans" w:hAnsi="Liberation Sans" w:eastAsia="Liberation Sans"/>
          </w:rPr>
          <w:t>Manchester: Sirr-i Akbar, Persian MS 340</w:t>
        </w:r>
      </w:hyperlink>
      <w:r>
        <w:rPr>
          <w:rFonts w:ascii="Liberation Sans" w:hAnsi="Liberation Sans" w:eastAsia="Liberation Sans"/>
          <w:color w:val="17252B"/>
        </w:rPr>
        <w:t xml:space="preserve"> — конкретный цифровой рукописный свидетель персидской передачи; права на изображения требуют проверки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A17-R129/130 — </w:t>
      </w:r>
      <w:hyperlink r:id="rId41">
        <w:r>
          <w:rPr>
            <w:color w:val="176B78"/>
            <w:u w:val="single"/>
            <w:rFonts w:ascii="Liberation Sans" w:hAnsi="Liberation Sans" w:eastAsia="Liberation Sans"/>
          </w:rPr>
          <w:t>Oupnek’hat, volumes I–II</w:t>
        </w:r>
      </w:hyperlink>
      <w:r>
        <w:rPr>
          <w:rFonts w:ascii="Liberation Sans" w:hAnsi="Liberation Sans" w:eastAsia="Liberation Sans"/>
          <w:color w:val="17252B"/>
        </w:rPr>
        <w:t xml:space="preserve"> — публичнодоменная латинская передача через Sirr-i Akbar; важна для рецепции, но не является прямым санскритским переводом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A17-R124/125 — </w:t>
      </w:r>
      <w:hyperlink r:id="rId42">
        <w:r>
          <w:rPr>
            <w:color w:val="176B78"/>
            <w:u w:val="single"/>
            <w:rFonts w:ascii="Liberation Sans" w:hAnsi="Liberation Sans" w:eastAsia="Liberation Sans"/>
          </w:rPr>
          <w:t>Vedānta-sūtra with Śaṅkara / Rāmānuja</w:t>
        </w:r>
      </w:hyperlink>
      <w:r>
        <w:rPr>
          <w:rFonts w:ascii="Liberation Sans" w:hAnsi="Liberation Sans" w:eastAsia="Liberation Sans"/>
          <w:color w:val="17252B"/>
        </w:rPr>
        <w:t xml:space="preserve"> — исторические английские переводы двух ключевых линий систематизации Upaniṣads</w:t>
      </w:r>
    </w:p>
    <w:p>
      <w:pPr>
        <w:spacing w:after="40"/>
        <w:ind w:left="198" w:hanging="198"/>
      </w:pPr>
      <w:r>
        <w:rPr>
          <w:rFonts w:ascii="Liberation Sans" w:hAnsi="Liberation Sans" w:eastAsia="Liberation Sans"/>
          <w:b/>
          <w:color w:val="0B4F5C"/>
        </w:rPr>
        <w:t xml:space="preserve">A17-R135 — </w:t>
      </w:r>
      <w:hyperlink r:id="rId43">
        <w:r>
          <w:rPr>
            <w:color w:val="176B78"/>
            <w:u w:val="single"/>
            <w:rFonts w:ascii="Liberation Sans" w:hAnsi="Liberation Sans" w:eastAsia="Liberation Sans"/>
          </w:rPr>
          <w:t>Old Avestan Gāthās / Yasna</w:t>
        </w:r>
      </w:hyperlink>
      <w:r>
        <w:rPr>
          <w:rFonts w:ascii="Liberation Sans" w:hAnsi="Liberation Sans" w:eastAsia="Liberation Sans"/>
          <w:color w:val="17252B"/>
        </w:rPr>
        <w:t xml:space="preserve"> — узкий antecedent/comparative access; mixed rights and no claim of direct textual borrowing</w:t>
      </w:r>
    </w:p>
    <w:p>
      <w:r>
        <w:rPr>
          <w:rFonts w:ascii="Liberation Sans" w:hAnsi="Liberation Sans" w:eastAsia="Liberation Sans"/>
        </w:rPr>
        <w:br w:type="page"/>
      </w: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4. Карта прав и практического использования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4.1. Что показывает реестр количественно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Сигнал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Записей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Как понимать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free_full_read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125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полное чтение доступно на сайте; не означает права копировать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free_download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73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есть скачиваемый файл/пакет; повторное распространение оценивается отдельно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MIRROR_OK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16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для точного объекта найдена сильная публичнодоменная/открытая основа; scope и юрисдикция всё равно важны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MIRROR_WITH_ATTRIBUTION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10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переиспользование допускается с атрибуцией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MIRROR_NONCOMMERCIAL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6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полезно для текущего некоммерческого ToS; коммерческий сценарий не покрыт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OWN_TRANSLATION_POSSIBLE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6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чистая основа найдена только для указанного текста/фрагмента/тома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PERMISSION_REQUIRED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63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действие выходит за on-site access и требует согласия учреждения/правообладателя</w:t>
            </w:r>
          </w:p>
        </w:tc>
      </w:tr>
      <w:tr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7"/>
              </w:rPr>
              <w:t>RIGHTS_REVIEW_REQUIRED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123</w:t>
            </w:r>
          </w:p>
        </w:tc>
        <w:tc>
          <w:tcPr>
            <w:tcW w:type="dxa" w:w="34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7"/>
              </w:rPr>
              <w:t>консервативная блокировка автоматического расширения положительных тегов</w:t>
            </w:r>
          </w:p>
        </w:tc>
      </w:tr>
    </w:tbl>
    <w:p>
      <w:pPr>
        <w:pStyle w:val="SmallNote"/>
      </w:pPr>
      <w:r>
        <w:rPr>
          <w:rFonts w:ascii="Liberation Sans" w:hAnsi="Liberation Sans" w:eastAsia="Liberation Sans"/>
        </w:rPr>
        <w:t>Высокая доля RIGHTS_REVIEW_REQUIRED не означает, что данные бесполезны. Она отражает смешанные права, ограничения платформы, юрисдикционные оговорки и требование не переносить лицензию одного компонента на весь корпус.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4.2. Наиболее свободные слои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Что ToS может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Ключевое условие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CC BY 4.0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VedaWeb addressees, strata, stanza properties, Zurich morphology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скачать, зеркалировать, индексировать, строить embeddings; переводить там, где файл содержит исходный текст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атрибуция; действие только в пределах конкретного файла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CC BY-NC-SA 4.0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VedaWeb Lubotsky, Padapāṭha, Griffith, Geldner, Elizarenkova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некоммерческое зеркало, полнотекстовый поиск, embeddings, производные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атрибуция + NC + ShareAlike; не распространять лицензию на чужие компоненты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CC BY-SA 4.0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UD Sanskrit-Vedic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зеркало и производные для выбранных размеченных пассажей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атрибуция + ShareAlike; coverage — около 4 тыс. предложений, не весь Vedic corpus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Explicit PD/PDM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Griffith, Eggeling, Max Müller/Sāyaṇa, Whitney, Oupnek’hat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зеркало точного старого тома, OCR, индекс, embeddings; иногда собственный перевод оригинального слоя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item-level statement + юрисдикционная проверка; не переносить статус на современное издание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Project Gutenberg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Paramananda; SBE Upanishads; Vedānta-sūtras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зеркало US-public-domain eBook и полнотекстовая обработка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сохранить Gutenberg notice/trademark rules для брендированного файла; проверить юрисдикцию</w:t>
            </w:r>
          </w:p>
        </w:tc>
      </w:tr>
    </w:tbl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4.3. Бесплатно, но не для зеркалирования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Vedic Heritage Portal: полный on-site доступ ко многим текстам и flipbooks, но политика запрещает частичное и полное воспроизведение без письменного разрешения; отдельная hyperlink policy требует предварительного разрешения даже для направленных на портал ссылок. Поэтому записи помечены LINK_ONLY + PERMISSION_REQUIRED, а не LINK_OK.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GRETIL: доступ и скачивание полезны для научной сверки, но files are for scholarly reference, commercial use excluded, copyright remains with original holders. Публичный индекс и embeddings нельзя автоматически считать разрешёнными для любого файла.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TITUS: HTTP-тексты допускаются для научного использования с обязательной атрибуцией источника, редактора и даты; коммерческое использование исключено, часть материалов ограничена. Публичное зеркало/производные требуют file-level проверки.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Sanskrit Documents: тексты предназначены для личного изучения и исследования; репостинг, продвижение и коммерческое использование без разрешения запрещены.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Manchester, BORI и NMM: древность рукописи не освобождает фотографии, сканы, каталожное описание и условия репродукции.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4.4. Link-only, borrow, preview и purchase</w:t>
      </w:r>
    </w:p>
    <w:p>
      <w:r>
        <w:rPr>
          <w:rFonts w:ascii="Liberation Sans" w:hAnsi="Liberation Sans" w:eastAsia="Liberation Sans"/>
        </w:rPr>
        <w:t>Современные научные издания не исключались из-за защищённости. Jamison–Brereton и Olivelle вошли как лучшие академические маршруты: LINK_OK, институциональный доступ, preview и purchase. Современные переводы и критические решения нельзя зеркалировать, использовать как основу открытого собственного перевода или массово индексировать без лицензии. Open Library/WorldCat-строка для Sirr-i Akbar сохраняет библиотечный путь, даже когда полный файл не найден.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4.5. Где возможен собственный перевод ToS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Основа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Record ID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0B4F5C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Режим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VedaWeb Zurich morphology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A17-R098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Ṛgveda, покрытие файла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 BY 4.0; атрибуция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VedaWeb Lubotsky text/concordance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A17-R099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Ṛgveda, покрытие файла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 BY-NC-SA 4.0; NC + ShareAlike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VedaWeb Padapāṭha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A17-R100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Ṛgveda, покрытие файла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 BY-NC-SA 4.0; NC + ShareAlike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UD Sanskrit-Vedic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A17-R011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только выбранные пассажи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CC BY-SA 4.0; ShareAlike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Max Müller/Sāyaṇa vol. I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A17-R113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только материал тома I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historic public-domain scan; rights/jurisdiction review</w:t>
            </w:r>
          </w:p>
        </w:tc>
      </w:tr>
      <w:tr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7252B"/>
                <w:sz w:val="16"/>
              </w:rPr>
              <w:t>Whitney Atharvaveda Prātiśākhya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A17-R126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полный текст данного Prātiśākhya</w:t>
            </w:r>
          </w:p>
        </w:tc>
        <w:tc>
          <w:tcPr>
            <w:tcW w:type="dxa" w:w="255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7252B"/>
                <w:sz w:val="16"/>
              </w:rPr>
              <w:t>Public Domain Mark 1.0; rights/jurisdiction review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6" w:color="C28A2C"/>
              <w:left w:val="single" w:sz="6" w:color="C28A2C"/>
              <w:bottom w:val="single" w:sz="6" w:color="C28A2C"/>
              <w:right w:val="single" w:sz="6" w:color="C28A2C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color w:val="17252B"/>
                <w:sz w:val="19"/>
              </w:rPr>
              <w:t>OWN_TRANSLATION_POSSIBLE не означает «можно свободно перевести весь ведийский корпус». Тег ограничен конкретным файлом, томом, фрагментами или размеченными предложениями. Olivelle, Jamison–Brereton, VHP flipbooks и современные защищённые реконструкции могут использоваться для сравнения и проверки, но не как безусловная открытая основа публикации.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5. Характерные правовые тонкости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B4F5C"/>
        </w:rPr>
        <w:t xml:space="preserve">Древний оригинал ≠ свободный современный слой. </w:t>
      </w:r>
      <w:r>
        <w:rPr>
          <w:rFonts w:ascii="Liberation Sans" w:hAnsi="Liberation Sans" w:eastAsia="Liberation Sans"/>
        </w:rPr>
        <w:t>Veda, Brāhmaṇa и Upaniṣad находятся вне авторского права как древние произведения, но современный перевод, критический текст, пунктуация, реконструкция, комментарий и аппарат могут быть защищены.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B4F5C"/>
        </w:rPr>
        <w:t xml:space="preserve">Права внутри одного цифрового проекта различаются. </w:t>
      </w:r>
      <w:r>
        <w:rPr>
          <w:rFonts w:ascii="Liberation Sans" w:hAnsi="Liberation Sans" w:eastAsia="Liberation Sans"/>
        </w:rPr>
        <w:t>VedaWeb — показательный случай: отдельные JSON/XLSX-данные опубликованы под CC BY 4.0, текстовые и переводные CSV — под CC BY-NC-SA 4.0, а интегрированный TEI объединяет компоненты с разными условиями. Лицензия кода/репозитория не покрывает автоматически каждый текстовый слой.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B4F5C"/>
        </w:rPr>
        <w:t xml:space="preserve">Public Domain Mark — не лицензия. </w:t>
      </w:r>
      <w:r>
        <w:rPr>
          <w:rFonts w:ascii="Liberation Sans" w:hAnsi="Liberation Sans" w:eastAsia="Liberation Sans"/>
        </w:rPr>
        <w:t>PDM сообщает о статусе, но не создаёт право. В реестре он записан как rights statement; юрисдикция и точная идентичность тома всё равно проверяются.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B4F5C"/>
        </w:rPr>
        <w:t xml:space="preserve">Item metadata Internet Archive полезна, но не всесильна. </w:t>
      </w:r>
      <w:r>
        <w:rPr>
          <w:rFonts w:ascii="Liberation Sans" w:hAnsi="Liberation Sans" w:eastAsia="Liberation Sans"/>
        </w:rPr>
        <w:t>Когда item page прямо говорит In Public Domain, Out_of_copyright или NOT_IN_COPYRIGHT, это сильная практическая опора. Но uploader-applied CC0 для современного перевода или издания не принят как достаточное доказательство.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B4F5C"/>
        </w:rPr>
        <w:t xml:space="preserve">Скачивание может быть лишь доступом. </w:t>
      </w:r>
      <w:r>
        <w:rPr>
          <w:rFonts w:ascii="Liberation Sans" w:hAnsi="Liberation Sans" w:eastAsia="Liberation Sans"/>
        </w:rPr>
        <w:t>VHP, GRETIL, TITUS, Sanskrit Documents и многие рукописные порталы дают бесплатное чтение или файл, но ограничивают повторное размещение, коммерцию, deep linking, автоматизированный доступ либо производные действия.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B4F5C"/>
        </w:rPr>
        <w:t xml:space="preserve">Скан и фотография — отдельный объект. </w:t>
      </w:r>
      <w:r>
        <w:rPr>
          <w:rFonts w:ascii="Liberation Sans" w:hAnsi="Liberation Sans" w:eastAsia="Liberation Sans"/>
        </w:rPr>
        <w:t>Даже если манускрипт XVII века или берестяной свод древнего текста свободен, цифровая фотография, viewer, IIIF-манифест, каталог и watermark могут иметь самостоятельные условия.</w:t>
      </w:r>
    </w:p>
    <w:p>
      <w:pPr>
        <w:spacing w:after="100"/>
      </w:pPr>
      <w:r>
        <w:rPr>
          <w:rFonts w:ascii="Liberation Sans" w:hAnsi="Liberation Sans" w:eastAsia="Liberation Sans"/>
          <w:b/>
          <w:color w:val="0B4F5C"/>
        </w:rPr>
        <w:t xml:space="preserve">Комментарий нельзя переносить назад. </w:t>
      </w:r>
      <w:r>
        <w:rPr>
          <w:rFonts w:ascii="Liberation Sans" w:hAnsi="Liberation Sans" w:eastAsia="Liberation Sans"/>
        </w:rPr>
        <w:t>Śaṅkara, Rāmānuja, Sāyaṇa и Brahma-sūtra включены как рецепция и передача. Их тексты могут быть незаменимы для доступа, но не служат доказательством того, что ранняя Upaniṣad уже содержала позднюю систематику.</w:t>
      </w:r>
    </w:p>
    <w:p>
      <w:r>
        <w:rPr>
          <w:rFonts w:ascii="Liberation Sans" w:hAnsi="Liberation Sans" w:eastAsia="Liberation Sans"/>
        </w:rPr>
        <w:br w:type="page"/>
      </w: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6. Пробелы и дальнейший поиск</w:t>
      </w:r>
    </w:p>
    <w:p>
      <w:r>
        <w:rPr>
          <w:rFonts w:ascii="Liberation Sans" w:hAnsi="Liberation Sans" w:eastAsia="Liberation Sans"/>
        </w:rPr>
        <w:t>Лист gaps в XLSX содержит 15 конкретных кандидатов. Ниже — наиболее приоритетные направления. Ни один объект не был исключён только потому, что он лежит раньше или позже c. 1500–500 до н.э.; пробел означает недостаточную item-level идентификацию, неясные права или незавершённый поиск, а не нерелевантность.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Paippalāda Atharvaveda: </w:t>
      </w:r>
      <w:r>
        <w:rPr>
          <w:rFonts w:ascii="Liberation Sans" w:hAnsi="Liberation Sans" w:eastAsia="Liberation Sans"/>
        </w:rPr>
        <w:t>найти полный критический текст и конкретные Odisha manuscripts; отделить edition rights от image rights.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Kapiṣṭhala-Kaṭha: </w:t>
      </w:r>
      <w:r>
        <w:rPr>
          <w:rFonts w:ascii="Liberation Sans" w:hAnsi="Liberation Sans" w:eastAsia="Liberation Sans"/>
        </w:rPr>
        <w:t>разрешить полный юридически чистый цифровой вход; нынешний 1943 scan оставлен link/read-only из-за неясной власти uploader.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Kāṇva Śatapatha: </w:t>
      </w:r>
      <w:r>
        <w:rPr>
          <w:rFonts w:ascii="Liberation Sans" w:hAnsi="Liberation Sans" w:eastAsia="Liberation Sans"/>
        </w:rPr>
        <w:t>найти полный TEI/XML или научный e-text с file-level лицензией; официальная VHP-страница недостаточна для повторного использования.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Jaiminīya Upaniṣad Brāhmaṇa: </w:t>
      </w:r>
      <w:r>
        <w:rPr>
          <w:rFonts w:ascii="Liberation Sans" w:hAnsi="Liberation Sans" w:eastAsia="Liberation Sans"/>
        </w:rPr>
        <w:t>получить полный машиночитаемый текст и права; это core-объект, а не дальняя периферия.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Eggeling parts III and V: </w:t>
      </w:r>
      <w:r>
        <w:rPr>
          <w:rFonts w:ascii="Liberation Sans" w:hAnsi="Liberation Sans" w:eastAsia="Liberation Sans"/>
        </w:rPr>
        <w:t>установить точные IA identifiers и подтвердить item-level public-domain statements.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BORI 5/1875-76: </w:t>
      </w:r>
      <w:r>
        <w:rPr>
          <w:rFonts w:ascii="Liberation Sans" w:hAnsi="Liberation Sans" w:eastAsia="Liberation Sans"/>
        </w:rPr>
        <w:t>запросить item-level цифровые изображения/IIIF, стоимость репродукции и лицензию; без этого невозможны публичный OCR и факсимильная публикация.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NMM/Pandulipi Pātala: </w:t>
      </w:r>
      <w:r>
        <w:rPr>
          <w:rFonts w:ascii="Liberation Sans" w:hAnsi="Liberation Sans" w:eastAsia="Liberation Sans"/>
        </w:rPr>
        <w:t>провести отдельный shelfmark-pass для Ṛgveda, Śatapatha, Aitareya, Taittirīya, Bṛhadāraṇyaka и Chāndogya.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Русские Upaniṣad translations: </w:t>
      </w:r>
      <w:r>
        <w:rPr>
          <w:rFonts w:ascii="Liberation Sans" w:hAnsi="Liberation Sans" w:eastAsia="Liberation Sans"/>
        </w:rPr>
        <w:t>найти официальный OA/CC слой; VedaWeb решает русский Ṛgveda, но не principal Upaniṣads.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Mīmāṃsā и полный Sāyaṇa: </w:t>
      </w:r>
      <w:r>
        <w:rPr>
          <w:rFonts w:ascii="Liberation Sans" w:hAnsi="Liberation Sans" w:eastAsia="Liberation Sans"/>
        </w:rPr>
        <w:t>добавить Jaimini/Śabara и многообъёмные Sāyaṇa editions как прямую downstream hermeneutic line, сохраняя границу A17/A19.</w:t>
      </w:r>
    </w:p>
    <w:p>
      <w:pPr>
        <w:pStyle w:val="ListNumber"/>
        <w:spacing w:after="60"/>
      </w:pPr>
      <w:r>
        <w:rPr>
          <w:rFonts w:ascii="Liberation Sans" w:hAnsi="Liberation Sans" w:eastAsia="Liberation Sans"/>
          <w:b/>
          <w:color w:val="0B4F5C"/>
        </w:rPr>
        <w:t xml:space="preserve">Открытая аудио-рецитация: </w:t>
      </w:r>
      <w:r>
        <w:rPr>
          <w:rFonts w:ascii="Liberation Sans" w:hAnsi="Liberation Sans" w:eastAsia="Liberation Sans"/>
        </w:rPr>
        <w:t>найти item-level CC-licensed recordings с указанием śākhā, reciter, accent и coverage; VHP-аудио нельзя автоматически переиспользовать.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6.1. Доступ только через ограниченные каналы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Jamison–Brereton и Olivelle: институциональный доступ, preview или покупка; полный защищённый текст не открыт для зеркалирования.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BORI и многие NMM holdings: метаданные и institutional request, а не гарантированный публичный facsimile.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Manchester Sirr-i Akbar: свободный viewer, но права на изображения и публичный OCR требуют ручной проверки.</w:t>
      </w:r>
    </w:p>
    <w:p>
      <w:pPr>
        <w:pStyle w:val="ListBullet"/>
        <w:spacing w:after="50"/>
      </w:pPr>
      <w:r>
        <w:rPr>
          <w:rFonts w:ascii="Liberation Sans" w:hAnsi="Liberation Sans" w:eastAsia="Liberation Sans"/>
        </w:rPr>
        <w:t>VHP flipbooks: полное чтение, но воспроизведение и даже inbound linking регулируются специальными политиками.</w:t>
      </w: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6.2. Неоткрытые или недоведённые item-level входы</w:t>
      </w:r>
    </w:p>
    <w:p>
      <w:r>
        <w:rPr>
          <w:rFonts w:ascii="Liberation Sans" w:hAnsi="Liberation Sans" w:eastAsia="Liberation Sans"/>
        </w:rPr>
        <w:t>В ходе проверки не осталось центральной записи со статусом temporarily_unavailable. Однако для нескольких важных объектов не удалось получить достаточно надёжную item-level страницу: Paippalāda, Kapiṣṭhala-Kaṭha, полный Kāṇva Śatapatha, полный машиночитаемый Jaiminīya Upaniṣad Brāhmaṇa, отдельный Kauṣītaki Upaniṣad, Eggeling III/V и открытый facsimile BORI. Они не заменены общими порталами молча: каждый вынесен в gaps с конкретным следующим запросом.</w:t>
      </w:r>
    </w:p>
    <w:p>
      <w:pPr>
        <w:pStyle w:val="Heading1"/>
        <w:keepNext/>
        <w:keepLines/>
      </w:pPr>
      <w:r>
        <w:rPr>
          <w:rFonts w:ascii="Liberation Sans" w:hAnsi="Liberation Sans" w:eastAsia="Liberation Sans"/>
        </w:rPr>
        <w:t>7. Итоговая оценка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Покрытие корпуса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Высокое для центральных текстовых семей и основных рецензий; среднее для полного рукописного ландшафта и каждой утраченной/редкой śākhā.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Доступность оригиналов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Сильная для Ṛgveda, Śaunaka Atharvaveda, ряда Yajurveda/Sāmaveda текстов, Śatapatha Mādhyandina, Taittirīya layers и principal Upaniṣads; слабее для Kāṇva, Paippalāda, Kapiṣṭhala и Jaiminīya special corpora.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Доступность переводов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Очень хорошая на английском благодаря историческим публичнодоменным переводам и современным платным изданиям; отдельный открыто лицензированный русский слой найден для Ṛgveda, но не для полного Upaniṣad corpus.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Наиболее свободный слой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Компонентные VedaWeb datasets (CC BY / CC BY-NC-SA), UD Sanskrit-Vedic (CC BY-SA), явно публичнодоменные старые тома и Project Gutenberg eBooks.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Главные ограничения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VHP custom policies; research-only/noncommercial условия GRETIL/TITUS; запрет репостинга Sanskrit Documents; смешанные права TEI; защищённые OUP editions; неясные museum/manuscript image rights.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Основа собственного перевода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Реально установлена для шести ограниченных записей: открытые Ṛgveda source layers/selected passages и два публичнодоменных оригинально-языковых издания. Для всего корпуса единой чистой основы пока нет.</w:t>
            </w:r>
          </w:p>
        </w:tc>
      </w:tr>
      <w:tr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AF4F5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/>
                <w:color w:val="1F2D33"/>
                <w:sz w:val="18"/>
              </w:rPr>
              <w:t>Готовность к Codex</w:t>
            </w:r>
          </w:p>
        </w:tc>
        <w:tc>
          <w:tcPr>
            <w:tcW w:type="dxa" w:w="51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5F8F9"/>
          </w:tcPr>
          <w:p>
            <w:pPr>
              <w:spacing w:after="30" w:line="240" w:lineRule="auto"/>
            </w:pPr>
            <w:r>
              <w:rPr>
                <w:rFonts w:ascii="Liberation Sans" w:hAnsi="Liberation Sans" w:eastAsia="Liberation Sans"/>
                <w:b w:val="0"/>
                <w:color w:val="1F2D33"/>
                <w:sz w:val="18"/>
              </w:rPr>
              <w:t>Да. XLSX даёт 32-полевой нормализуемый реестр с record_id, item-level URLs, rights_scope, evidence и tos_use; gaps отделяет незавершённое от проверенного.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F4EC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6" w:color="216E4A"/>
              <w:left w:val="single" w:sz="6" w:color="216E4A"/>
              <w:bottom w:val="single" w:sz="6" w:color="216E4A"/>
              <w:right w:val="single" w:sz="6" w:color="216E4A"/>
            </w:tcBorders>
          </w:tcPr>
          <w:p>
            <w:pPr>
              <w:pStyle w:val="Callout"/>
            </w:pPr>
            <w:r>
              <w:rPr>
                <w:rFonts w:ascii="Liberation Sans" w:hAnsi="Liberation Sans" w:eastAsia="Liberation Sans"/>
                <w:color w:val="17252B"/>
                <w:sz w:val="19"/>
              </w:rPr>
              <w:t>Вердикт: пакет пригоден для передачи Codex как исследовательский слой A17. Его сильная сторона — не только количество ссылок, а разведение произведения, версии, цифрового объекта и условий платформы. Следующий прирост качества должен идти не через добавление общих порталов, а через item-level manuscript records, недостающие рецензии и официальные лицензии.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Liberation Sans" w:hAnsi="Liberation Sans" w:eastAsia="Liberation Sans"/>
        </w:rPr>
        <w:t>7.1. Файлы пакета</w:t>
      </w:r>
    </w:p>
    <w:p>
      <w:r>
        <w:rPr>
          <w:rFonts w:ascii="Liberation Sans" w:hAnsi="Liberation Sans" w:eastAsia="Liberation Sans"/>
          <w:b/>
          <w:color w:val="0B4F5C"/>
        </w:rPr>
        <w:t xml:space="preserve">XLSX: </w:t>
      </w:r>
      <w:r>
        <w:rPr>
          <w:rFonts w:ascii="Liberation Sans" w:hAnsi="Liberation Sans" w:eastAsia="Liberation Sans"/>
        </w:rPr>
        <w:t>ToS_Corpus_Rights_A17_registry.xlsx — листы registry и gaps.</w:t>
      </w:r>
    </w:p>
    <w:p>
      <w:r>
        <w:rPr>
          <w:rFonts w:ascii="Liberation Sans" w:hAnsi="Liberation Sans" w:eastAsia="Liberation Sans"/>
          <w:b/>
          <w:color w:val="0B4F5C"/>
        </w:rPr>
        <w:t xml:space="preserve">DOCX: </w:t>
      </w:r>
      <w:r>
        <w:rPr>
          <w:rFonts w:ascii="Liberation Sans" w:hAnsi="Liberation Sans" w:eastAsia="Liberation Sans"/>
        </w:rPr>
        <w:t>ToS_Corpus_Rights_A17_report.docx — этот человекочитаемый отчёт.</w:t>
      </w:r>
    </w:p>
    <w:p>
      <w:pPr>
        <w:pStyle w:val="SmallNote"/>
        <w:spacing w:before="360"/>
        <w:jc w:val="center"/>
      </w:pPr>
      <w:r>
        <w:rPr>
          <w:rFonts w:ascii="Liberation Sans" w:hAnsi="Liberation Sans" w:eastAsia="Liberation Sans"/>
        </w:rPr>
        <w:t>Конец отчёта • ToS / Древо Софии • A17 • 03.09.2026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5E6B73"/>
        <w:sz w:val="16"/>
      </w:rPr>
      <w:t xml:space="preserve">Tree of Sophia / Древо Софии  •  проверено 03.09.2026  •  </w:t>
    </w:r>
    <w:r>
      <w:rPr>
        <w:rFonts w:ascii="Liberation Sans" w:hAnsi="Liberation Sans" w:eastAsia="Liberation Sans"/>
        <w:color w:val="5E6B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A7C8CE"/>
      </w:pBdr>
    </w:pPr>
    <w:r>
      <w:rPr>
        <w:rFonts w:ascii="Liberation Sans" w:hAnsi="Liberation Sans" w:eastAsia="Liberation Sans"/>
        <w:b/>
        <w:color w:val="0B4F5C"/>
        <w:sz w:val="17"/>
      </w:rPr>
      <w:t>ToS Corpus &amp; Rights Registry  •  A17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color w:val="1725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4F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6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25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B4F5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Liberation Sans" w:hAnsi="Liberation Sans" w:eastAsia="Liberation Sans"/>
      <w:b/>
      <w:i/>
      <w:iCs/>
      <w:color w:val="5E6B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 w:line="240" w:lineRule="auto"/>
    </w:pPr>
    <w:rPr>
      <w:rFonts w:ascii="Liberation Sans" w:hAnsi="Liberation Sans" w:eastAsia="Liberation Sans"/>
      <w:color w:val="5E6B73"/>
      <w:sz w:val="17"/>
    </w:rPr>
  </w:style>
  <w:style w:type="paragraph" w:customStyle="1" w:styleId="Callout">
    <w:name w:val="Callout"/>
    <w:pPr>
      <w:spacing w:before="80" w:after="80"/>
      <w:ind w:left="227" w:right="227"/>
    </w:pPr>
    <w:rPr>
      <w:rFonts w:ascii="Liberation Sans" w:hAnsi="Liberation Sans" w:eastAsia="Liberation Sans"/>
      <w:color w:val="1725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retil.sub.uni-goettingen.de/gretil/1_sanskr/1_veda/1_sam/1_rv/rvh1-10u.htm" TargetMode="External"/><Relationship Id="rId12" Type="http://schemas.openxmlformats.org/officeDocument/2006/relationships/hyperlink" Target="https://titus.uni-frankfurt.de/texte/etcs/ind/aind/ved/rv/mt/rv.htm" TargetMode="External"/><Relationship Id="rId13" Type="http://schemas.openxmlformats.org/officeDocument/2006/relationships/hyperlink" Target="https://raw.githubusercontent.com/VedaWebProject/vedaweb-data/main/rigveda/TEI/vedaweb_corpus.tei" TargetMode="External"/><Relationship Id="rId14" Type="http://schemas.openxmlformats.org/officeDocument/2006/relationships/hyperlink" Target="https://github.com/VedaWebProject/vedaweb-data/blob/main/rigveda/versions/lubotsky.csv" TargetMode="External"/><Relationship Id="rId15" Type="http://schemas.openxmlformats.org/officeDocument/2006/relationships/hyperlink" Target="https://github.com/VedaWebProject/vedaweb-data/blob/main/rigveda/versions/padapatha.csv" TargetMode="External"/><Relationship Id="rId16" Type="http://schemas.openxmlformats.org/officeDocument/2006/relationships/hyperlink" Target="https://archive.org/details/in.ernet.dli.2015.237767" TargetMode="External"/><Relationship Id="rId17" Type="http://schemas.openxmlformats.org/officeDocument/2006/relationships/hyperlink" Target="https://archive.org/details/rigvedasanhitasa01syaauoft" TargetMode="External"/><Relationship Id="rId18" Type="http://schemas.openxmlformats.org/officeDocument/2006/relationships/hyperlink" Target="https://global.oup.com/academic/product/the-rigveda-9780190685003" TargetMode="External"/><Relationship Id="rId19" Type="http://schemas.openxmlformats.org/officeDocument/2006/relationships/hyperlink" Target="https://bori.ac.in/department/manuscript/" TargetMode="External"/><Relationship Id="rId20" Type="http://schemas.openxmlformats.org/officeDocument/2006/relationships/hyperlink" Target="https://github.com/VedaWebProject/vedaweb-data/blob/main/rigveda/translations/rus/elizarenkova.csv" TargetMode="External"/><Relationship Id="rId21" Type="http://schemas.openxmlformats.org/officeDocument/2006/relationships/hyperlink" Target="https://vedicheritage.gov.in/samhitas/yajurveda/vajasneyi-madhyandina-samhita/" TargetMode="External"/><Relationship Id="rId22" Type="http://schemas.openxmlformats.org/officeDocument/2006/relationships/hyperlink" Target="https://titus.uni-frankfurt.de/texte/texte.htm" TargetMode="External"/><Relationship Id="rId23" Type="http://schemas.openxmlformats.org/officeDocument/2006/relationships/hyperlink" Target="https://gretil.sub.uni-goettingen.de/gretil/1_sanskr/1_veda/2_bra/satapath/sb_01_u.htm" TargetMode="External"/><Relationship Id="rId24" Type="http://schemas.openxmlformats.org/officeDocument/2006/relationships/hyperlink" Target="https://vedicheritage.gov.in/flipbook/Shatpatha_Brahmana_Mandhyandina_Vol-I/" TargetMode="External"/><Relationship Id="rId25" Type="http://schemas.openxmlformats.org/officeDocument/2006/relationships/hyperlink" Target="https://archive.org/details/in.ernet.dli.2015.238711" TargetMode="External"/><Relationship Id="rId26" Type="http://schemas.openxmlformats.org/officeDocument/2006/relationships/hyperlink" Target="https://gretil.sub.uni-goettingen.de/gretil/1_sanskr/1_veda/1_sam/samavedu.htm" TargetMode="External"/><Relationship Id="rId27" Type="http://schemas.openxmlformats.org/officeDocument/2006/relationships/hyperlink" Target="https://vedicheritage.gov.in/samhitas/samaveda-samhitas/kauthuma-samhita/" TargetMode="External"/><Relationship Id="rId28" Type="http://schemas.openxmlformats.org/officeDocument/2006/relationships/hyperlink" Target="https://gretil.sub.uni-goettingen.de/gretil/1_sanskr/1_veda/2_bra/pncvbr1u.htm" TargetMode="External"/><Relationship Id="rId29" Type="http://schemas.openxmlformats.org/officeDocument/2006/relationships/hyperlink" Target="https://gretil.sub.uni-goettingen.de/gretil/1_sanskr/1_veda/1_sam/avs_acu.htm" TargetMode="External"/><Relationship Id="rId30" Type="http://schemas.openxmlformats.org/officeDocument/2006/relationships/hyperlink" Target="https://archive.org/details/bub_gb_GVbT8e1mEwgC" TargetMode="External"/><Relationship Id="rId31" Type="http://schemas.openxmlformats.org/officeDocument/2006/relationships/hyperlink" Target="https://gretil.sub.uni-goettingen.de/gretil/1_sanskr/1_veda/3_ara/sankharu.htm" TargetMode="External"/><Relationship Id="rId32" Type="http://schemas.openxmlformats.org/officeDocument/2006/relationships/hyperlink" Target="https://sanskritdocuments.org/doc_upanishhat/bri.html" TargetMode="External"/><Relationship Id="rId33" Type="http://schemas.openxmlformats.org/officeDocument/2006/relationships/hyperlink" Target="https://sanskritdocuments.org/doc_upanishhat/chhaandogya.html" TargetMode="External"/><Relationship Id="rId34" Type="http://schemas.openxmlformats.org/officeDocument/2006/relationships/hyperlink" Target="https://gretil.sub.uni-goettingen.de/gretil/1_sanskr/1_veda/4_upa/brupsb_u.htm" TargetMode="External"/><Relationship Id="rId35" Type="http://schemas.openxmlformats.org/officeDocument/2006/relationships/hyperlink" Target="https://www.gutenberg.org/ebooks/3283" TargetMode="External"/><Relationship Id="rId36" Type="http://schemas.openxmlformats.org/officeDocument/2006/relationships/hyperlink" Target="https://archive.org/details/in.ernet.dli.2015.461205" TargetMode="External"/><Relationship Id="rId37" Type="http://schemas.openxmlformats.org/officeDocument/2006/relationships/hyperlink" Target="https://academic.oup.com/book/50014" TargetMode="External"/><Relationship Id="rId38" Type="http://schemas.openxmlformats.org/officeDocument/2006/relationships/hyperlink" Target="https://www.namami.gov.in/" TargetMode="External"/><Relationship Id="rId39" Type="http://schemas.openxmlformats.org/officeDocument/2006/relationships/hyperlink" Target="https://vedicheritage.gov.in/vedic-manuscripts-search/" TargetMode="External"/><Relationship Id="rId40" Type="http://schemas.openxmlformats.org/officeDocument/2006/relationships/hyperlink" Target="https://www.digitalcollections.manchester.ac.uk/view/MS-PERSIAN-00340/677" TargetMode="External"/><Relationship Id="rId41" Type="http://schemas.openxmlformats.org/officeDocument/2006/relationships/hyperlink" Target="https://archive.org/details/bub_gb_W6rJKQZ3zmQC" TargetMode="External"/><Relationship Id="rId42" Type="http://schemas.openxmlformats.org/officeDocument/2006/relationships/hyperlink" Target="https://www.gutenberg.org/ebooks/16295" TargetMode="External"/><Relationship Id="rId43" Type="http://schemas.openxmlformats.org/officeDocument/2006/relationships/hyperlink" Target="https://www.avesta.org/yas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A17</dc:title>
  <dc:subject>Ведийско-брахманическая традиция: корпус, доступ и права</dc:subject>
  <dc:creator>Tree of Sophia / ToS</dc:creator>
  <cp:keywords>ToS, A17, Veda, Upanishads, corpus, rights, access</cp:keywords>
  <dc:description>Research package generated 2026-09-03; source DR left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