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40" w:after="120"/>
        <w:jc w:val="left"/>
      </w:pPr>
      <w:r>
        <w:rPr>
          <w:b/>
          <w:i w:val="0"/>
          <w:color w:val="17365D"/>
          <w:sz w:val="54"/>
        </w:rPr>
        <w:t>ToS Corpus &amp; Rights Registry</w:t>
      </w:r>
    </w:p>
    <w:p>
      <w:pPr>
        <w:spacing w:after="160"/>
      </w:pPr>
      <w:r>
        <w:rPr>
          <w:b/>
          <w:i w:val="0"/>
          <w:color w:val="0F6B6D"/>
          <w:sz w:val="40"/>
        </w:rPr>
        <w:t>A08 — Эламский клинописный слой</w:t>
        <w:br/>
        <w:t>и ахеменидское трёхъязычие</w:t>
      </w:r>
    </w:p>
    <w:p>
      <w:pPr>
        <w:spacing w:after="360"/>
      </w:pPr>
      <w:r>
        <w:rPr>
          <w:b w:val="0"/>
          <w:i/>
          <w:color w:val="36454F"/>
          <w:sz w:val="23"/>
        </w:rPr>
        <w:t>Исследовательский пакет по корпусу, законным путям доступа, цифровым объектам, правам и практическому использованию в публичном проекте «Древо Софии».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6" w:space="0" w:color="FFFFFF"/>
          <w:insideV w:val="single" w:sz="6" w:space="0" w:color="FFFFFF"/>
        </w:tblBorders>
      </w:tblPr>
      <w:tblGrid>
        <w:gridCol w:w="2452"/>
        <w:gridCol w:w="2452"/>
        <w:gridCol w:w="2452"/>
        <w:gridCol w:w="2452"/>
      </w:tblGrid>
      <w:tr>
        <w:trPr>
          <w:cantSplit/>
        </w:trPr>
        <w:tc>
          <w:tcPr>
            <w:tcW w:type="dxa" w:w="2353"/>
            <w:shd w:fill="17365D"/>
            <w:tcMar>
              <w:top w:w="11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i w:val="0"/>
                <w:color w:val="FFFFFF"/>
                <w:sz w:val="36"/>
              </w:rPr>
              <w:t>81</w:t>
            </w:r>
          </w:p>
        </w:tc>
        <w:tc>
          <w:tcPr>
            <w:tcW w:type="dxa" w:w="2353"/>
            <w:shd w:fill="0F6B6D"/>
            <w:tcMar>
              <w:top w:w="11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i w:val="0"/>
                <w:color w:val="FFFFFF"/>
                <w:sz w:val="36"/>
              </w:rPr>
              <w:t>15</w:t>
            </w:r>
          </w:p>
        </w:tc>
        <w:tc>
          <w:tcPr>
            <w:tcW w:type="dxa" w:w="2353"/>
            <w:shd w:fill="17365D"/>
            <w:tcMar>
              <w:top w:w="11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i w:val="0"/>
                <w:color w:val="FFFFFF"/>
                <w:sz w:val="36"/>
              </w:rPr>
              <w:t>67</w:t>
            </w:r>
          </w:p>
        </w:tc>
        <w:tc>
          <w:tcPr>
            <w:tcW w:type="dxa" w:w="2353"/>
            <w:shd w:fill="0F6B6D"/>
            <w:tcMar>
              <w:top w:w="11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i w:val="0"/>
                <w:color w:val="FFFFFF"/>
                <w:sz w:val="36"/>
              </w:rPr>
              <w:t>50</w:t>
            </w:r>
          </w:p>
        </w:tc>
      </w:tr>
      <w:tr>
        <w:trPr>
          <w:cantSplit/>
        </w:trPr>
        <w:tc>
          <w:tcPr>
            <w:tcW w:type="dxa" w:w="2353"/>
            <w:shd w:fill="F2F5F7"/>
            <w:tcMar>
              <w:top w:w="75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36454F"/>
                <w:sz w:val="17"/>
              </w:rPr>
              <w:t>способ доступа</w:t>
            </w:r>
          </w:p>
        </w:tc>
        <w:tc>
          <w:tcPr>
            <w:tcW w:type="dxa" w:w="2353"/>
            <w:shd w:fill="F2F5F7"/>
            <w:tcMar>
              <w:top w:w="75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36454F"/>
                <w:sz w:val="17"/>
              </w:rPr>
              <w:t>зафиксированных пробелов</w:t>
            </w:r>
          </w:p>
        </w:tc>
        <w:tc>
          <w:tcPr>
            <w:tcW w:type="dxa" w:w="2353"/>
            <w:shd w:fill="F2F5F7"/>
            <w:tcMar>
              <w:top w:w="75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36454F"/>
                <w:sz w:val="17"/>
              </w:rPr>
              <w:t>записей с бесплатным чтением</w:t>
            </w:r>
          </w:p>
        </w:tc>
        <w:tc>
          <w:tcPr>
            <w:tcW w:type="dxa" w:w="2353"/>
            <w:shd w:fill="F2F5F7"/>
            <w:tcMar>
              <w:top w:w="75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color w:val="36454F"/>
                <w:sz w:val="17"/>
              </w:rPr>
              <w:t>высокая уверенность прав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08"/>
      </w:tblGrid>
      <w:tr>
        <w:trPr>
          <w:cantSplit/>
        </w:trPr>
        <w:tc>
          <w:tcPr>
            <w:tcW w:type="dxa" w:w="9808"/>
            <w:shd w:fill="EAF2F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60"/>
            </w:pPr>
            <w:r>
              <w:rPr>
                <w:b/>
                <w:i w:val="0"/>
                <w:color w:val="17365D"/>
                <w:sz w:val="20"/>
              </w:rPr>
              <w:t>Главный результат</w:t>
            </w:r>
          </w:p>
          <w:p>
            <w:pPr>
              <w:spacing w:after="0" w:line="252" w:lineRule="auto"/>
            </w:pPr>
            <w:r>
              <w:rPr>
                <w:b w:val="0"/>
                <w:i w:val="0"/>
                <w:sz w:val="19"/>
              </w:rPr>
              <w:t>Ядро A08 получило несколько независимых законных входов: музейные карточки и факсимиле, старые публичнодоменные издания, современные открытые статьи и annotated corpora, библиотечные/платные критические издания, а также API, TEI/XML и bulk-пакеты. Открытость каждого слоя ограничена конкретными правами и покрытием.</w:t>
            </w:r>
          </w:p>
        </w:tc>
      </w:tr>
    </w:tbl>
    <w:p>
      <w:pPr>
        <w:spacing w:after="0"/>
      </w:pPr>
    </w:p>
    <w:p>
      <w:pPr>
        <w:spacing w:before="240" w:after="40"/>
      </w:pPr>
      <w:r>
        <w:rPr>
          <w:b/>
          <w:i w:val="0"/>
          <w:color w:val="17365D"/>
        </w:rPr>
        <w:t>Исходный документ:</w:t>
      </w:r>
      <w:r>
        <w:rPr>
          <w:b w:val="0"/>
          <w:i w:val="0"/>
          <w:sz w:val="18"/>
        </w:rPr>
        <w:t xml:space="preserve"> ToS Deep Research_ A08 — Эламский клинописный слой и ахеменидское трехъязычие.docx</w:t>
      </w:r>
    </w:p>
    <w:p>
      <w:pPr>
        <w:pStyle w:val="SourceNote"/>
      </w:pPr>
      <w:r>
        <w:t>Статус строки сохранён без изменения: B. Дата веб-проверки: 3 сентября 2026 г.</w:t>
      </w:r>
    </w:p>
    <w:p>
      <w:pPr>
        <w:spacing w:before="160" w:after="0"/>
      </w:pPr>
      <w:r>
        <w:rPr>
          <w:b/>
          <w:i w:val="0"/>
          <w:color w:val="A61B1B"/>
          <w:sz w:val="18"/>
        </w:rPr>
        <w:t xml:space="preserve">Важно: </w:t>
      </w:r>
      <w:r>
        <w:rPr>
          <w:b w:val="0"/>
          <w:i/>
          <w:sz w:val="18"/>
        </w:rPr>
        <w:t>это исследовательская карта прав и доступа, а не юридическое заключение. Перед публичным зеркалированием защищённых или смешанных компонентов нужна item-level проверка.</w:t>
      </w:r>
    </w:p>
    <w:p>
      <w:r>
        <w:br w:type="page"/>
      </w:r>
    </w:p>
    <w:p>
      <w:pPr>
        <w:pStyle w:val="Heading1"/>
      </w:pPr>
      <w:r>
        <w:t>1. Паспорт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5D1"/>
          <w:left w:val="single" w:sz="4" w:space="0" w:color="B7C5D1"/>
          <w:bottom w:val="single" w:sz="4" w:space="0" w:color="B7C5D1"/>
          <w:right w:val="single" w:sz="4" w:space="0" w:color="B7C5D1"/>
          <w:insideH w:val="single" w:sz="4" w:space="0" w:color="B7C5D1"/>
          <w:insideV w:val="single" w:sz="4" w:space="0" w:color="B7C5D1"/>
        </w:tblBorders>
      </w:tblPr>
      <w:tblGrid>
        <w:gridCol w:w="4904"/>
        <w:gridCol w:w="4904"/>
      </w:tblGrid>
      <w:tr>
        <w:trPr>
          <w:cantSplit/>
        </w:trPr>
        <w:tc>
          <w:tcPr>
            <w:tcW w:type="dxa" w:w="2438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b/>
                <w:i w:val="0"/>
                <w:color w:val="17365D"/>
                <w:sz w:val="18"/>
              </w:rPr>
              <w:t>ID / название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A08 — Западная Азия: Эламский клинописный слой и ахеменидское трёхъязычие</w:t>
            </w:r>
          </w:p>
        </w:tc>
      </w:tr>
      <w:tr>
        <w:trPr>
          <w:cantSplit/>
        </w:trPr>
        <w:tc>
          <w:tcPr>
            <w:tcW w:type="dxa" w:w="2438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b/>
                <w:i w:val="0"/>
                <w:color w:val="17365D"/>
                <w:sz w:val="18"/>
              </w:rPr>
              <w:t>Исходный статус</w:t>
            </w:r>
          </w:p>
        </w:tc>
        <w:tc>
          <w:tcPr>
            <w:tcW w:type="dxa" w:w="7030"/>
            <w:shd w:fill="FAFB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B; статус и ID не менялись</w:t>
            </w:r>
          </w:p>
        </w:tc>
      </w:tr>
      <w:tr>
        <w:trPr>
          <w:cantSplit/>
        </w:trPr>
        <w:tc>
          <w:tcPr>
            <w:tcW w:type="dxa" w:w="2438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b/>
                <w:i w:val="0"/>
                <w:color w:val="17365D"/>
                <w:sz w:val="18"/>
              </w:rPr>
              <w:t>Хронологический фокус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формирование c. 2300–500 до н.э.; письменная фиксация c. 2300–330 до н.э.; имперская стабилизация c. 550–330 до н.э.</w:t>
            </w:r>
          </w:p>
        </w:tc>
      </w:tr>
      <w:tr>
        <w:trPr>
          <w:cantSplit/>
        </w:trPr>
        <w:tc>
          <w:tcPr>
            <w:tcW w:type="dxa" w:w="2438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b/>
                <w:i w:val="0"/>
                <w:color w:val="17365D"/>
                <w:sz w:val="18"/>
              </w:rPr>
              <w:t>Исходный DR</w:t>
            </w:r>
          </w:p>
        </w:tc>
        <w:tc>
          <w:tcPr>
            <w:tcW w:type="dxa" w:w="7030"/>
            <w:shd w:fill="FAFB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ToS Deep Research_ A08 — Эламский клинописный слой и ахеменидское трехъязычие.docx</w:t>
            </w:r>
          </w:p>
        </w:tc>
      </w:tr>
      <w:tr>
        <w:trPr>
          <w:cantSplit/>
        </w:trPr>
        <w:tc>
          <w:tcPr>
            <w:tcW w:type="dxa" w:w="2438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b/>
                <w:i w:val="0"/>
                <w:color w:val="17365D"/>
                <w:sz w:val="18"/>
              </w:rPr>
              <w:t>Дата проверки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03.09.2026</w:t>
            </w:r>
          </w:p>
        </w:tc>
      </w:tr>
      <w:tr>
        <w:trPr>
          <w:cantSplit/>
        </w:trPr>
        <w:tc>
          <w:tcPr>
            <w:tcW w:type="dxa" w:w="2438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b/>
                <w:i w:val="0"/>
                <w:color w:val="17365D"/>
                <w:sz w:val="18"/>
              </w:rPr>
              <w:t>Языки поиска</w:t>
            </w:r>
          </w:p>
        </w:tc>
        <w:tc>
          <w:tcPr>
            <w:tcW w:type="dxa" w:w="7030"/>
            <w:shd w:fill="FAFB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русский, английский, французский, немецкий; оригинальные названия, сиглы и идентификаторы на эламском, древнеперсидском, аккадском и имперском арамейском</w:t>
            </w:r>
          </w:p>
        </w:tc>
      </w:tr>
      <w:tr>
        <w:trPr>
          <w:cantSplit/>
        </w:trPr>
        <w:tc>
          <w:tcPr>
            <w:tcW w:type="dxa" w:w="2438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b/>
                <w:i w:val="0"/>
                <w:color w:val="17365D"/>
                <w:sz w:val="18"/>
              </w:rPr>
              <w:t>Ядро корпуса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читаемый эламский клинописный слой; Behistun/DB; более широкий корпус ахеменидских царских надписей; Persepolis Fortification Archive; Persepolis Treasury Tablets; seals и uninscribed sealed tablets</w:t>
            </w:r>
          </w:p>
        </w:tc>
      </w:tr>
      <w:tr>
        <w:trPr>
          <w:cantSplit/>
        </w:trPr>
        <w:tc>
          <w:tcPr>
            <w:tcW w:type="dxa" w:w="2438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b/>
                <w:i w:val="0"/>
                <w:color w:val="17365D"/>
                <w:sz w:val="18"/>
              </w:rPr>
              <w:t>Искомые объекты</w:t>
            </w:r>
          </w:p>
        </w:tc>
        <w:tc>
          <w:tcPr>
            <w:tcW w:type="dxa" w:w="7030"/>
            <w:shd w:fill="FAFBFC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произведения и корпусы, физические свидетели, переводы и издания, музейные карточки, фотографии, факсимиле, TEI/XML, APIs, bulk data, каталоги и законные library/preview/purchase routes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08"/>
      </w:tblGrid>
      <w:tr>
        <w:trPr>
          <w:cantSplit/>
        </w:trPr>
        <w:tc>
          <w:tcPr>
            <w:tcW w:type="dxa" w:w="9808"/>
            <w:shd w:fill="E7F2F2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60"/>
            </w:pPr>
            <w:r>
              <w:rPr>
                <w:b/>
                <w:i w:val="0"/>
                <w:color w:val="0F6B6D"/>
                <w:sz w:val="20"/>
              </w:rPr>
              <w:t>Метод корпуса</w:t>
            </w:r>
          </w:p>
          <w:p>
            <w:pPr>
              <w:spacing w:after="0" w:line="252" w:lineRule="auto"/>
            </w:pPr>
            <w:r>
              <w:rPr>
                <w:b w:val="0"/>
                <w:i w:val="0"/>
                <w:sz w:val="19"/>
              </w:rPr>
              <w:t>Хронологический диапазон использован как точка фокуса, а не забор. После инвентаризации ядра проведены проходы назад — к договору Нарам-Сина, сузской среде Пузур-Иншушинака и месопотамской клинописной матрице — и вперёд: к продолжению царского трёхъязычия, арамейской копии на Элефантине, современным критическим изданиям и цифровым инфраструктурам.</w:t>
            </w:r>
          </w:p>
        </w:tc>
      </w:tr>
    </w:tbl>
    <w:p>
      <w:pPr>
        <w:spacing w:after="0"/>
      </w:pPr>
    </w:p>
    <w:p>
      <w:pPr>
        <w:pStyle w:val="Heading1"/>
      </w:pPr>
      <w:r>
        <w:t>2. Охват корпуса</w:t>
      </w:r>
    </w:p>
    <w:p>
      <w:pPr>
        <w:pStyle w:val="Heading2"/>
      </w:pPr>
      <w:r>
        <w:t>2.1. Корпусное ядро из исходного DR</w:t>
      </w:r>
    </w:p>
    <w:p>
      <w:r>
        <w:t>Исходный DR задавал семь опорных групп: ранний договор Нарам-Сина с правителем Авана; документы Пузур-Иншушинака; позднеэламские акропольные таблички; Behistun/DB; ахеменидский корпус царских надписей; Persepolis Fortification Archive; Persepolis Treasury Tablets вместе с печатями и неписаными запечатанными документами. Все эти группы получили хотя бы один законный вход либо явную запись о неполном покрытии.</w:t>
      </w:r>
      <w:r>
        <w:rPr>
          <w:b w:val="0"/>
          <w:i/>
          <w:color w:val="6B7280"/>
          <w:sz w:val="17"/>
        </w:rPr>
        <w:t xml:space="preserve">  [A08-R001–R021; R022–R048; R049–R081]</w:t>
      </w:r>
    </w:p>
    <w:p>
      <w:pPr>
        <w:pStyle w:val="ListBullet"/>
        <w:spacing w:after="40" w:line="252" w:lineRule="auto"/>
      </w:pPr>
      <w:r>
        <w:t>Договор Нарам-Сина–Аван: музейная карточка и фотографии Louvre, а также MDP XI как публичнодоменное историческое издание.</w:t>
      </w:r>
    </w:p>
    <w:p>
      <w:pPr>
        <w:pStyle w:val="ListBullet"/>
        <w:spacing w:after="40" w:line="252" w:lineRule="auto"/>
      </w:pPr>
      <w:r>
        <w:t>Пузур-Иншушинак: пять конкретных Louvre witnesses, включая билингвальную таблицу и плиту с современной транслитерацией; MDP VI и старые публикации как transmission layer.</w:t>
      </w:r>
    </w:p>
    <w:p>
      <w:pPr>
        <w:pStyle w:val="ListBullet"/>
        <w:spacing w:after="40" w:line="252" w:lineRule="auto"/>
      </w:pPr>
      <w:r>
        <w:t>Позднеэламский переход: конкретная акропольная табличка SB 13041 / MDP IX 271; полный корпус вынесен в gaps.</w:t>
      </w:r>
    </w:p>
    <w:p>
      <w:pPr>
        <w:pStyle w:val="ListBullet"/>
        <w:spacing w:after="40" w:line="252" w:lineRule="auto"/>
      </w:pPr>
      <w:r>
        <w:t>Behistun: памятник, три исходных языковых версии, позднейшая арамейская копия, старые и современные издания.</w:t>
      </w:r>
    </w:p>
    <w:p>
      <w:pPr>
        <w:pStyle w:val="ListBullet"/>
        <w:spacing w:after="40" w:line="252" w:lineRule="auto"/>
      </w:pPr>
      <w:r>
        <w:t>Царская эпиграфика после Behistun: DNa, DSe, DSf, XPh и Xerxes I 19 как прямое продолжение многоязычной нормы.</w:t>
      </w:r>
    </w:p>
    <w:p>
      <w:pPr>
        <w:pStyle w:val="ListBullet"/>
        <w:spacing w:after="40" w:line="252" w:lineRule="auto"/>
      </w:pPr>
      <w:r>
        <w:t>Персеполь: PFA, PTT/PTA, seals, арамейский параллельный канал и уникальная древнеперсидская административная табличка.</w:t>
      </w:r>
    </w:p>
    <w:p>
      <w:pPr>
        <w:pStyle w:val="Heading2"/>
      </w:pPr>
      <w:r>
        <w:t>2.2. Расширение назад во времени</w:t>
      </w:r>
    </w:p>
    <w:p>
      <w:r>
        <w:t>Вне формального ахеменидского ядра включены только объекты с конкретной генетической или институциональной связью. Договор эпохи Нарам-Сина фиксирует раннюю нижнюю границу читаемого эламского клинописного слоя. Сузские памятники Пузур-Иншушинака показывают смешанную среду аккадской клинописи и Linear Elamite; они помечены как boundary/antecedent, а не растворены в ядре. Аккадские foundation objects из Суз представлены как входящая месопотамская письменная матрица.</w:t>
      </w:r>
      <w:r>
        <w:rPr>
          <w:b w:val="0"/>
          <w:i/>
          <w:color w:val="6B7280"/>
          <w:sz w:val="17"/>
        </w:rPr>
        <w:t xml:space="preserve">  [A08-R001–R019]</w:t>
      </w:r>
    </w:p>
    <w:p>
      <w:pPr>
        <w:pStyle w:val="Heading2"/>
      </w:pPr>
      <w:r>
        <w:t>2.3. Расширение вперёд во времени</w:t>
      </w:r>
    </w:p>
    <w:p>
      <w:r>
        <w:t>Хронологический ореол после 500 г. до н.э. включает не общую историю Ахеменидов, а конкретные продолжения и каналы передачи: надписи Ксеркса, позднейшие царские сиглы, арамейскую копию Behistun на Элефантине, библиотечные критические издания XX–XXI вв., старые публикации, современные annotated corpora и машиночитаемые платформы. Копии из Вавилона признаны важными, но пока оставлены в gaps из-за отсутствия надёжных item-level музейных входов.</w:t>
      </w:r>
      <w:r>
        <w:rPr>
          <w:b w:val="0"/>
          <w:i/>
          <w:color w:val="6B7280"/>
          <w:sz w:val="17"/>
        </w:rPr>
        <w:t xml:space="preserve">  [A08-R039–R048; R049–R063; gaps G006]</w:t>
      </w:r>
    </w:p>
    <w:p>
      <w:pPr>
        <w:pStyle w:val="Heading2"/>
      </w:pPr>
      <w:r>
        <w:t>2.4. Количественный профиль</w:t>
      </w:r>
    </w:p>
    <w:p>
      <w:r>
        <w:t>Реестр содержит 81 практически различимый способ доступа. Это не 81 произведение: записи описывают порядка двух десятков первичных произведений, корпусных семей и конкретных физических свидетелей, к которым добавлены отдельные издания, переводы, цифровые объекты и инфраструктуры. Повтор одной и той же надписи допустим только тогда, когда меняются язык, редакция, репозиторий, формат, полнота или права.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5D1"/>
          <w:left w:val="single" w:sz="4" w:space="0" w:color="B7C5D1"/>
          <w:bottom w:val="single" w:sz="4" w:space="0" w:color="B7C5D1"/>
          <w:right w:val="single" w:sz="4" w:space="0" w:color="B7C5D1"/>
          <w:insideH w:val="single" w:sz="4" w:space="0" w:color="B7C5D1"/>
          <w:insideV w:val="single" w:sz="4" w:space="0" w:color="B7C5D1"/>
        </w:tblBorders>
      </w:tblPr>
      <w:tblGrid>
        <w:gridCol w:w="3269"/>
        <w:gridCol w:w="3269"/>
        <w:gridCol w:w="3269"/>
      </w:tblGrid>
      <w:tr>
        <w:trPr>
          <w:tblHeader w:val="true"/>
          <w:cantSplit/>
        </w:trPr>
        <w:tc>
          <w:tcPr>
            <w:tcW w:type="dxa" w:w="3269"/>
            <w:shd w:fill="17365D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Измерение</w:t>
            </w:r>
          </w:p>
        </w:tc>
        <w:tc>
          <w:tcPr>
            <w:tcW w:type="dxa" w:w="3269"/>
            <w:shd w:fill="17365D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Количество записей</w:t>
            </w:r>
          </w:p>
        </w:tc>
        <w:tc>
          <w:tcPr>
            <w:tcW w:type="dxa" w:w="3269"/>
            <w:shd w:fill="17365D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Как читать</w:t>
            </w:r>
          </w:p>
        </w:tc>
      </w:tr>
      <w:tr>
        <w:trPr>
          <w:cantSplit/>
        </w:trPr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Core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b/>
                <w:i w:val="0"/>
                <w:color w:val="0F6B6D"/>
                <w:sz w:val="20"/>
              </w:rPr>
              <w:t>15</w:t>
            </w:r>
          </w:p>
        </w:tc>
        <w:tc>
          <w:tcPr>
            <w:tcW w:type="dxa" w:w="493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способы доступа к центральным объектам, не число самостоятельных произведений</w:t>
            </w:r>
          </w:p>
        </w:tc>
      </w:tr>
      <w:tr>
        <w:trPr>
          <w:cantSplit/>
        </w:trPr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shd w:fill="F2F5F7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Same corpus/tradition + continuation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shd w:fill="F2F5F7"/>
          </w:tcPr>
          <w:p>
            <w:pPr>
              <w:spacing w:after="0"/>
              <w:jc w:val="center"/>
            </w:pPr>
            <w:r>
              <w:rPr>
                <w:b/>
                <w:i w:val="0"/>
                <w:color w:val="0F6B6D"/>
                <w:sz w:val="20"/>
              </w:rPr>
              <w:t>13</w:t>
            </w:r>
          </w:p>
        </w:tc>
        <w:tc>
          <w:tcPr>
            <w:tcW w:type="dxa" w:w="4932"/>
            <w:tcMar>
              <w:top w:w="70" w:type="dxa"/>
              <w:start w:w="90" w:type="dxa"/>
              <w:bottom w:w="70" w:type="dxa"/>
              <w:end w:w="90" w:type="dxa"/>
            </w:tcMar>
            <w:shd w:fill="F2F5F7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прямые члены и позднейшая фаза царского/архивного корпуса</w:t>
            </w:r>
          </w:p>
        </w:tc>
      </w:tr>
      <w:tr>
        <w:trPr>
          <w:cantSplit/>
        </w:trPr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Antecedent + boundary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b/>
                <w:i w:val="0"/>
                <w:color w:val="0F6B6D"/>
                <w:sz w:val="20"/>
              </w:rPr>
              <w:t>14</w:t>
            </w:r>
          </w:p>
        </w:tc>
        <w:tc>
          <w:tcPr>
            <w:tcW w:type="dxa" w:w="493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ранняя Сузиана, Пузур-Иншушинак, месопотамская матрица</w:t>
            </w:r>
          </w:p>
        </w:tc>
      </w:tr>
      <w:tr>
        <w:trPr>
          <w:cantSplit/>
        </w:trPr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shd w:fill="F2F5F7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Transmission/preservation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shd w:fill="F2F5F7"/>
          </w:tcPr>
          <w:p>
            <w:pPr>
              <w:spacing w:after="0"/>
              <w:jc w:val="center"/>
            </w:pPr>
            <w:r>
              <w:rPr>
                <w:b/>
                <w:i w:val="0"/>
                <w:color w:val="0F6B6D"/>
                <w:sz w:val="20"/>
              </w:rPr>
              <w:t>23</w:t>
            </w:r>
          </w:p>
        </w:tc>
        <w:tc>
          <w:tcPr>
            <w:tcW w:type="dxa" w:w="4932"/>
            <w:tcMar>
              <w:top w:w="70" w:type="dxa"/>
              <w:start w:w="90" w:type="dxa"/>
              <w:bottom w:w="70" w:type="dxa"/>
              <w:end w:w="90" w:type="dxa"/>
            </w:tcMar>
            <w:shd w:fill="F2F5F7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старые и современные издания, копии, цифровое сохранение</w:t>
            </w:r>
          </w:p>
        </w:tc>
      </w:tr>
      <w:tr>
        <w:trPr>
          <w:cantSplit/>
        </w:trPr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Infrastructure/navigation/supporting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b/>
                <w:i w:val="0"/>
                <w:color w:val="0F6B6D"/>
                <w:sz w:val="20"/>
              </w:rPr>
              <w:t>16</w:t>
            </w:r>
          </w:p>
        </w:tc>
        <w:tc>
          <w:tcPr>
            <w:tcW w:type="dxa" w:w="493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проекты, API, каталоги, secondary navigation</w:t>
            </w:r>
          </w:p>
        </w:tc>
      </w:tr>
    </w:tbl>
    <w:p>
      <w:pPr>
        <w:pStyle w:val="SourceNote"/>
      </w:pPr>
      <w:r>
        <w:t>Access-mode counts overlap: 67 records allow free reading, 57 allow free download, 14 retain a purchase route, 5 a library-borrow route, 2 only preview/snippet, and 2 were unavailable.</w:t>
      </w:r>
    </w:p>
    <w:p>
      <w:r>
        <w:br w:type="page"/>
      </w:r>
    </w:p>
    <w:p>
      <w:pPr>
        <w:pStyle w:val="Heading1"/>
      </w:pPr>
      <w:r>
        <w:t>3. Лучшие пути доступа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08"/>
      </w:tblGrid>
      <w:tr>
        <w:trPr>
          <w:cantSplit/>
        </w:trPr>
        <w:tc>
          <w:tcPr>
            <w:tcW w:type="dxa" w:w="9808"/>
            <w:shd w:fill="EAF2F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60"/>
            </w:pPr>
            <w:r>
              <w:rPr>
                <w:b/>
                <w:i w:val="0"/>
                <w:color w:val="17365D"/>
                <w:sz w:val="20"/>
              </w:rPr>
              <w:t>Как читать этот раздел</w:t>
            </w:r>
          </w:p>
          <w:p>
            <w:pPr>
              <w:spacing w:after="0" w:line="252" w:lineRule="auto"/>
            </w:pPr>
            <w:r>
              <w:rPr>
                <w:b w:val="0"/>
                <w:i w:val="0"/>
                <w:sz w:val="19"/>
              </w:rPr>
              <w:t>Для каждой значимой группы отдельно названы бесплатное чтение, скачивание, оригинал/факсимиле, старый публичнодоменный слой, современный научный вариант, машиночитаемый вариант и наиболее свободная лицензия. Если свободного аналога не найдено, это указано прямо.</w:t>
            </w:r>
          </w:p>
        </w:tc>
      </w:tr>
    </w:tbl>
    <w:p>
      <w:pPr>
        <w:spacing w:after="0"/>
      </w:pPr>
    </w:p>
    <w:p>
      <w:pPr>
        <w:pStyle w:val="Heading2"/>
      </w:pPr>
      <w:r>
        <w:t>3.1. Ранний эламский слой и Сузы</w:t>
      </w:r>
    </w:p>
    <w:p>
      <w:r>
        <w:rPr>
          <w:b/>
          <w:i w:val="0"/>
          <w:color w:val="17365D"/>
          <w:sz w:val="21"/>
        </w:rPr>
        <w:t>Договор Нарам-Сина с правителем Авана</w:t>
      </w:r>
    </w:p>
    <w:p>
      <w:pPr>
        <w:spacing w:after="40" w:line="247" w:lineRule="auto"/>
        <w:ind w:left="227" w:hanging="227"/>
      </w:pPr>
      <w:r>
        <w:rPr>
          <w:b/>
          <w:i w:val="0"/>
          <w:color w:val="17365D"/>
        </w:rPr>
        <w:t xml:space="preserve">Лучшее бесплатное чтение: </w:t>
      </w:r>
      <w:hyperlink r:id="rId11">
        <w:r>
          <w:rPr>
            <w:color w:val="0563C1"/>
            <w:u w:val="single"/>
          </w:rPr>
          <w:t>Louvre: SB 8833 / AS 9916</w:t>
        </w:r>
      </w:hyperlink>
      <w:r>
        <w:rPr>
          <w:b w:val="0"/>
          <w:i w:val="0"/>
        </w:rPr>
        <w:t xml:space="preserve"> - официальная карточка, библиография и четыре изображения; A08-R001–R002</w:t>
      </w:r>
    </w:p>
    <w:p>
      <w:pPr>
        <w:spacing w:after="40" w:line="247" w:lineRule="auto"/>
        <w:ind w:left="227" w:hanging="227"/>
      </w:pPr>
      <w:r>
        <w:rPr>
          <w:b/>
          <w:i w:val="0"/>
          <w:color w:val="17365D"/>
        </w:rPr>
        <w:t xml:space="preserve">Лучшее скачивание: </w:t>
      </w:r>
      <w:hyperlink r:id="rId12">
        <w:r>
          <w:rPr>
            <w:color w:val="0563C1"/>
            <w:u w:val="single"/>
          </w:rPr>
          <w:t>MDP XI на Internet Archive</w:t>
        </w:r>
      </w:hyperlink>
      <w:r>
        <w:rPr>
          <w:b w:val="0"/>
          <w:i w:val="0"/>
        </w:rPr>
        <w:t xml:space="preserve"> - полный исторический том 1911 г.; договор на pp. 1–11; A08-R003</w:t>
      </w:r>
    </w:p>
    <w:p>
      <w:pPr>
        <w:spacing w:after="40" w:line="247" w:lineRule="auto"/>
        <w:ind w:left="227" w:hanging="227"/>
      </w:pPr>
      <w:r>
        <w:rPr>
          <w:b/>
          <w:i w:val="0"/>
          <w:color w:val="17365D"/>
        </w:rPr>
        <w:t xml:space="preserve">Оригинал/факсимиле: </w:t>
      </w:r>
      <w:hyperlink r:id="rId11">
        <w:r>
          <w:rPr>
            <w:color w:val="0563C1"/>
            <w:u w:val="single"/>
          </w:rPr>
          <w:t>Louvre photographs</w:t>
        </w:r>
      </w:hyperlink>
      <w:r>
        <w:rPr>
          <w:b w:val="0"/>
          <w:i w:val="0"/>
        </w:rPr>
        <w:t xml:space="preserve"> - конкретный физический свидетель; custom educational/scientific terms</w:t>
      </w:r>
    </w:p>
    <w:p>
      <w:pPr>
        <w:spacing w:after="40" w:line="247" w:lineRule="auto"/>
        <w:ind w:left="227" w:hanging="227"/>
      </w:pPr>
      <w:r>
        <w:rPr>
          <w:b/>
          <w:i w:val="0"/>
          <w:color w:val="17365D"/>
        </w:rPr>
        <w:t xml:space="preserve">Старый PD-слой: </w:t>
      </w:r>
      <w:hyperlink r:id="rId12">
        <w:r>
          <w:rPr>
            <w:color w:val="0563C1"/>
            <w:u w:val="single"/>
          </w:rPr>
          <w:t>Jean-Vincent Scheil, MDP XI</w:t>
        </w:r>
      </w:hyperlink>
      <w:r>
        <w:rPr>
          <w:b w:val="0"/>
          <w:i w:val="0"/>
        </w:rPr>
        <w:t xml:space="preserve"> - копия, транслитерация и французский перевод; научно устарел</w:t>
      </w:r>
    </w:p>
    <w:p>
      <w:pPr>
        <w:spacing w:after="40" w:line="247" w:lineRule="auto"/>
        <w:ind w:left="227" w:hanging="227"/>
      </w:pPr>
      <w:r>
        <w:rPr>
          <w:b/>
          <w:i w:val="0"/>
          <w:color w:val="17365D"/>
        </w:rPr>
        <w:t xml:space="preserve">Современный научный вариант: </w:t>
      </w:r>
      <w:hyperlink r:id="rId11">
        <w:r>
          <w:rPr>
            <w:color w:val="0563C1"/>
            <w:u w:val="single"/>
          </w:rPr>
          <w:t>Louvre bibliography</w:t>
        </w:r>
      </w:hyperlink>
      <w:r>
        <w:rPr>
          <w:b w:val="0"/>
          <w:i w:val="0"/>
        </w:rPr>
        <w:t xml:space="preserve"> - навигация к современным работам; отдельного полного open critical edition не найдено</w:t>
      </w:r>
    </w:p>
    <w:p>
      <w:pPr>
        <w:spacing w:after="40" w:line="247" w:lineRule="auto"/>
        <w:ind w:left="227" w:hanging="227"/>
      </w:pPr>
      <w:r>
        <w:rPr>
          <w:b/>
          <w:i w:val="0"/>
          <w:color w:val="17365D"/>
        </w:rPr>
        <w:t xml:space="preserve">Машиночитаемый вариант: </w:t>
      </w:r>
      <w:hyperlink r:id="rId13">
        <w:r>
          <w:rPr>
            <w:color w:val="0563C1"/>
            <w:u w:val="single"/>
          </w:rPr>
          <w:t>Louvre JSON</w:t>
        </w:r>
      </w:hyperlink>
      <w:r>
        <w:rPr>
          <w:b w:val="0"/>
          <w:i w:val="0"/>
        </w:rPr>
        <w:t xml:space="preserve"> - открытые каталожные данные Etalab; не полный клинописный текст</w:t>
      </w:r>
    </w:p>
    <w:p>
      <w:pPr>
        <w:spacing w:after="40" w:line="247" w:lineRule="auto"/>
        <w:ind w:left="227" w:hanging="227"/>
      </w:pPr>
      <w:r>
        <w:rPr>
          <w:b/>
          <w:i w:val="0"/>
          <w:color w:val="17365D"/>
        </w:rPr>
        <w:t xml:space="preserve">Наиболее свободный слой: </w:t>
      </w:r>
      <w:hyperlink r:id="rId14">
        <w:r>
          <w:rPr>
            <w:color w:val="0563C1"/>
            <w:u w:val="single"/>
          </w:rPr>
          <w:t>Louvre textual data terms</w:t>
        </w:r>
      </w:hyperlink>
      <w:r>
        <w:rPr>
          <w:b w:val="0"/>
          <w:i w:val="0"/>
        </w:rPr>
        <w:t xml:space="preserve"> - Etalab Open Licence 2.0 для текста карточки/JSON; фотографии регулируются отдельно</w:t>
      </w:r>
    </w:p>
    <w:p>
      <w:r>
        <w:rPr>
          <w:b/>
          <w:i w:val="0"/>
          <w:color w:val="17365D"/>
          <w:sz w:val="21"/>
        </w:rPr>
        <w:t>Пузур-Иншушинак и смешанная сузская письменность</w:t>
      </w:r>
    </w:p>
    <w:p>
      <w:pPr>
        <w:spacing w:after="40" w:line="247" w:lineRule="auto"/>
        <w:ind w:left="227" w:hanging="227"/>
      </w:pPr>
      <w:r>
        <w:rPr>
          <w:b/>
          <w:i w:val="0"/>
          <w:color w:val="17365D"/>
        </w:rPr>
        <w:t xml:space="preserve">Лучшее бесплатное чтение: </w:t>
      </w:r>
      <w:hyperlink r:id="rId15">
        <w:r>
          <w:rPr>
            <w:color w:val="0563C1"/>
            <w:u w:val="single"/>
          </w:rPr>
          <w:t>Louvre bilingual table SB 17</w:t>
        </w:r>
      </w:hyperlink>
      <w:r>
        <w:rPr>
          <w:b w:val="0"/>
          <w:i w:val="0"/>
        </w:rPr>
        <w:t xml:space="preserve"> - официальная карточка, 10 изображений; A08-R005–R006</w:t>
      </w:r>
    </w:p>
    <w:p>
      <w:pPr>
        <w:spacing w:after="40" w:line="247" w:lineRule="auto"/>
        <w:ind w:left="227" w:hanging="227"/>
      </w:pPr>
      <w:r>
        <w:rPr>
          <w:b/>
          <w:i w:val="0"/>
          <w:color w:val="17365D"/>
        </w:rPr>
        <w:t xml:space="preserve">Наиболее полезная открытая транслитерация: </w:t>
      </w:r>
      <w:hyperlink r:id="rId16">
        <w:r>
          <w:rPr>
            <w:color w:val="0563C1"/>
            <w:u w:val="single"/>
          </w:rPr>
          <w:t>Louvre SB 139 / MDP XXXI G</w:t>
        </w:r>
      </w:hyperlink>
      <w:r>
        <w:rPr>
          <w:b w:val="0"/>
          <w:i w:val="0"/>
        </w:rPr>
        <w:t xml:space="preserve"> - карточка печатает modern transliteration/translation; A08-R013–R014</w:t>
      </w:r>
    </w:p>
    <w:p>
      <w:pPr>
        <w:spacing w:after="40" w:line="247" w:lineRule="auto"/>
        <w:ind w:left="227" w:hanging="227"/>
      </w:pPr>
      <w:r>
        <w:rPr>
          <w:b/>
          <w:i w:val="0"/>
          <w:color w:val="17365D"/>
        </w:rPr>
        <w:t xml:space="preserve">Старые PD-издания: </w:t>
      </w:r>
      <w:hyperlink r:id="rId17">
        <w:r>
          <w:rPr>
            <w:color w:val="0563C1"/>
            <w:u w:val="single"/>
          </w:rPr>
          <w:t>MDP VI</w:t>
        </w:r>
      </w:hyperlink>
      <w:r>
        <w:rPr>
          <w:b w:val="0"/>
          <w:i w:val="0"/>
        </w:rPr>
        <w:t xml:space="preserve"> - и Thureau-Dangin 1905; A08-R007, R020</w:t>
      </w:r>
    </w:p>
    <w:p>
      <w:pPr>
        <w:spacing w:after="40" w:line="247" w:lineRule="auto"/>
        <w:ind w:left="227" w:hanging="227"/>
      </w:pPr>
      <w:r>
        <w:rPr>
          <w:b/>
          <w:i w:val="0"/>
          <w:color w:val="17365D"/>
        </w:rPr>
        <w:t xml:space="preserve">Оригинал/факсимиле: </w:t>
      </w:r>
      <w:hyperlink r:id="rId15">
        <w:r>
          <w:rPr>
            <w:color w:val="0563C1"/>
            <w:u w:val="single"/>
          </w:rPr>
          <w:t>Louvre Puzur-Inshushinak records</w:t>
        </w:r>
      </w:hyperlink>
      <w:r>
        <w:rPr>
          <w:b w:val="0"/>
          <w:i w:val="0"/>
        </w:rPr>
        <w:t xml:space="preserve"> - отдельные witnesses SB 17, SB 55, SB 54/6617, SB 139, SB 6</w:t>
      </w:r>
    </w:p>
    <w:p>
      <w:pPr>
        <w:spacing w:after="40" w:line="247" w:lineRule="auto"/>
        <w:ind w:left="227" w:hanging="227"/>
      </w:pPr>
      <w:r>
        <w:rPr>
          <w:b/>
          <w:i w:val="0"/>
          <w:color w:val="17365D"/>
        </w:rPr>
        <w:t xml:space="preserve">Современный научный вариант: </w:t>
      </w:r>
      <w:hyperlink r:id="rId16">
        <w:r>
          <w:rPr>
            <w:color w:val="0563C1"/>
            <w:u w:val="single"/>
          </w:rPr>
          <w:t>Louvre SB 139 bibliography</w:t>
        </w:r>
      </w:hyperlink>
      <w:r>
        <w:rPr>
          <w:b w:val="0"/>
          <w:i w:val="0"/>
        </w:rPr>
        <w:t xml:space="preserve"> - ссылка на новое чтение; полный MDP XXXI остаётся пробелом</w:t>
      </w:r>
    </w:p>
    <w:p>
      <w:pPr>
        <w:spacing w:after="40" w:line="247" w:lineRule="auto"/>
        <w:ind w:left="227" w:hanging="227"/>
      </w:pPr>
      <w:r>
        <w:rPr>
          <w:b/>
          <w:i w:val="0"/>
          <w:color w:val="17365D"/>
        </w:rPr>
        <w:t xml:space="preserve">Наиболее свободный слой: </w:t>
      </w:r>
      <w:hyperlink r:id="rId14">
        <w:r>
          <w:rPr>
            <w:color w:val="0563C1"/>
            <w:u w:val="single"/>
          </w:rPr>
          <w:t>Etalab text/JSON + licensed medium images</w:t>
        </w:r>
      </w:hyperlink>
      <w:r>
        <w:rPr>
          <w:b w:val="0"/>
          <w:i w:val="0"/>
        </w:rPr>
        <w:t xml:space="preserve"> - scope строго разделён; OWN_TRANSLATION_POSSIBLE только для конкретного свидетеля</w:t>
      </w:r>
    </w:p>
    <w:p>
      <w:r>
        <w:rPr>
          <w:b/>
          <w:i w:val="0"/>
          <w:color w:val="17365D"/>
          <w:sz w:val="21"/>
        </w:rPr>
        <w:t>Позднеэламские акропольные таблички</w:t>
      </w:r>
    </w:p>
    <w:p>
      <w:pPr>
        <w:spacing w:after="40" w:line="247" w:lineRule="auto"/>
        <w:ind w:left="227" w:hanging="227"/>
      </w:pPr>
      <w:r>
        <w:rPr>
          <w:b/>
          <w:i w:val="0"/>
          <w:color w:val="17365D"/>
        </w:rPr>
        <w:t xml:space="preserve">Item-level вход: </w:t>
      </w:r>
      <w:hyperlink r:id="rId18">
        <w:r>
          <w:rPr>
            <w:color w:val="0563C1"/>
            <w:u w:val="single"/>
          </w:rPr>
          <w:t>Louvre SB 13041 / MDP IX 271</w:t>
        </w:r>
      </w:hyperlink>
      <w:r>
        <w:rPr>
          <w:b w:val="0"/>
          <w:i w:val="0"/>
        </w:rPr>
        <w:t xml:space="preserve"> - один Neo-Elamite witness и одна фотография; A08-R018–R019</w:t>
      </w:r>
    </w:p>
    <w:p>
      <w:pPr>
        <w:spacing w:after="40" w:line="247" w:lineRule="auto"/>
        <w:ind w:left="227" w:hanging="227"/>
      </w:pPr>
      <w:r>
        <w:rPr>
          <w:b/>
          <w:i w:val="0"/>
          <w:color w:val="17365D"/>
        </w:rPr>
        <w:t xml:space="preserve">Полный корпус: </w:t>
      </w:r>
      <w:hyperlink r:id="rId18">
        <w:r>
          <w:rPr>
            <w:color w:val="0563C1"/>
            <w:u w:val="single"/>
          </w:rPr>
          <w:t>не найден</w:t>
        </w:r>
      </w:hyperlink>
      <w:r>
        <w:rPr>
          <w:b w:val="0"/>
          <w:i w:val="0"/>
        </w:rPr>
        <w:t xml:space="preserve"> - MDP IX и современная полная цифровая редакция вынесены в gaps G001–G002</w:t>
      </w:r>
    </w:p>
    <w:p>
      <w:pPr>
        <w:pStyle w:val="Heading2"/>
      </w:pPr>
      <w:r>
        <w:t>3.2. Behistun / Bīsotūn</w:t>
      </w:r>
    </w:p>
    <w:p>
      <w:pPr>
        <w:spacing w:after="40" w:line="247" w:lineRule="auto"/>
        <w:ind w:left="227" w:hanging="227"/>
      </w:pPr>
      <w:r>
        <w:rPr>
          <w:b/>
          <w:i w:val="0"/>
          <w:color w:val="17365D"/>
        </w:rPr>
        <w:t xml:space="preserve">Лучший официальный памятниковый вход: </w:t>
      </w:r>
      <w:hyperlink r:id="rId19">
        <w:r>
          <w:rPr>
            <w:color w:val="0563C1"/>
            <w:u w:val="single"/>
          </w:rPr>
          <w:t>UNESCO World Heritage 1222</w:t>
        </w:r>
      </w:hyperlink>
      <w:r>
        <w:rPr>
          <w:b w:val="0"/>
          <w:i w:val="0"/>
        </w:rPr>
        <w:t xml:space="preserve"> - история, охранный статус и публичные материалы; A08-R022</w:t>
      </w:r>
    </w:p>
    <w:p>
      <w:pPr>
        <w:spacing w:after="40" w:line="247" w:lineRule="auto"/>
        <w:ind w:left="227" w:hanging="227"/>
      </w:pPr>
      <w:r>
        <w:rPr>
          <w:b/>
          <w:i w:val="0"/>
          <w:color w:val="17365D"/>
        </w:rPr>
        <w:t xml:space="preserve">Лучший бесплатный современный эламский текст: </w:t>
      </w:r>
      <w:hyperlink r:id="rId20">
        <w:r>
          <w:rPr>
            <w:color w:val="0563C1"/>
            <w:u w:val="single"/>
          </w:rPr>
          <w:t>CDLB 2017:3</w:t>
        </w:r>
      </w:hyperlink>
      <w:r>
        <w:rPr>
          <w:b w:val="0"/>
          <w:i w:val="0"/>
        </w:rPr>
        <w:t xml:space="preserve"> - колонка I §§1–20, CC BY 4.0; A08-R024</w:t>
      </w:r>
    </w:p>
    <w:p>
      <w:pPr>
        <w:spacing w:after="40" w:line="247" w:lineRule="auto"/>
        <w:ind w:left="227" w:hanging="227"/>
      </w:pPr>
      <w:r>
        <w:rPr>
          <w:b/>
          <w:i w:val="0"/>
          <w:color w:val="17365D"/>
        </w:rPr>
        <w:t xml:space="preserve">Продолжение открытой эламской редакции: </w:t>
      </w:r>
      <w:hyperlink r:id="rId21">
        <w:r>
          <w:rPr>
            <w:color w:val="0563C1"/>
            <w:u w:val="single"/>
          </w:rPr>
          <w:t>CDLB 2020:1</w:t>
        </w:r>
      </w:hyperlink>
      <w:r>
        <w:rPr>
          <w:b w:val="0"/>
          <w:i w:val="0"/>
        </w:rPr>
        <w:t xml:space="preserve"> - CC BY 4.0; A08-R025</w:t>
      </w:r>
    </w:p>
    <w:p>
      <w:pPr>
        <w:spacing w:after="40" w:line="247" w:lineRule="auto"/>
        <w:ind w:left="227" w:hanging="227"/>
      </w:pPr>
      <w:r>
        <w:rPr>
          <w:b/>
          <w:i w:val="0"/>
          <w:color w:val="17365D"/>
        </w:rPr>
        <w:t xml:space="preserve">Точечное новое чтение: </w:t>
      </w:r>
      <w:hyperlink r:id="rId22">
        <w:r>
          <w:rPr>
            <w:color w:val="0563C1"/>
            <w:u w:val="single"/>
          </w:rPr>
          <w:t>CDLB 2024:3</w:t>
        </w:r>
      </w:hyperlink>
      <w:r>
        <w:rPr>
          <w:b w:val="0"/>
          <w:i w:val="0"/>
        </w:rPr>
        <w:t xml:space="preserve"> - §70, CC BY 4.0; A08-R026</w:t>
      </w:r>
    </w:p>
    <w:p>
      <w:pPr>
        <w:spacing w:after="40" w:line="247" w:lineRule="auto"/>
        <w:ind w:left="227" w:hanging="227"/>
      </w:pPr>
      <w:r>
        <w:rPr>
          <w:b/>
          <w:i w:val="0"/>
          <w:color w:val="17365D"/>
        </w:rPr>
        <w:t xml:space="preserve">Лучшее единое старое трёхъязычное издание: </w:t>
      </w:r>
      <w:hyperlink r:id="rId23">
        <w:r>
          <w:rPr>
            <w:color w:val="0563C1"/>
            <w:u w:val="single"/>
          </w:rPr>
          <w:t>King &amp; Thompson 1907</w:t>
        </w:r>
      </w:hyperlink>
      <w:r>
        <w:rPr>
          <w:b w:val="0"/>
          <w:i w:val="0"/>
        </w:rPr>
        <w:t xml:space="preserve"> - Persian, Susian/Elamite, Babylonian, plates and translations; A08-R028</w:t>
      </w:r>
    </w:p>
    <w:p>
      <w:pPr>
        <w:spacing w:after="40" w:line="247" w:lineRule="auto"/>
        <w:ind w:left="227" w:hanging="227"/>
      </w:pPr>
      <w:r>
        <w:rPr>
          <w:b/>
          <w:i w:val="0"/>
          <w:color w:val="17365D"/>
        </w:rPr>
        <w:t xml:space="preserve">Машиночитаемый PD-путь: </w:t>
      </w:r>
      <w:hyperlink r:id="rId24">
        <w:r>
          <w:rPr>
            <w:color w:val="0563C1"/>
            <w:u w:val="single"/>
          </w:rPr>
          <w:t>Wikisource transcription</w:t>
        </w:r>
      </w:hyperlink>
      <w:r>
        <w:rPr>
          <w:b w:val="0"/>
          <w:i w:val="0"/>
        </w:rPr>
        <w:t xml:space="preserve"> - source PD, contributor layer CC BY-SA; proofing incomplete; A08-R029</w:t>
      </w:r>
    </w:p>
    <w:p>
      <w:pPr>
        <w:spacing w:after="40" w:line="247" w:lineRule="auto"/>
        <w:ind w:left="227" w:hanging="227"/>
      </w:pPr>
      <w:r>
        <w:rPr>
          <w:b/>
          <w:i w:val="0"/>
          <w:color w:val="17365D"/>
        </w:rPr>
        <w:t xml:space="preserve">Удобное чтение Old Persian: </w:t>
      </w:r>
      <w:hyperlink r:id="rId25">
        <w:r>
          <w:rPr>
            <w:color w:val="0563C1"/>
            <w:u w:val="single"/>
          </w:rPr>
          <w:t>Livius segmented text</w:t>
        </w:r>
      </w:hyperlink>
      <w:r>
        <w:rPr>
          <w:b w:val="0"/>
          <w:i w:val="0"/>
        </w:rPr>
        <w:t xml:space="preserve"> - free read, но современная транскрипция/перевод link-only; A08-R027</w:t>
      </w:r>
    </w:p>
    <w:p>
      <w:pPr>
        <w:spacing w:after="40" w:line="247" w:lineRule="auto"/>
        <w:ind w:left="227" w:hanging="227"/>
      </w:pPr>
      <w:r>
        <w:rPr>
          <w:b/>
          <w:i w:val="0"/>
          <w:color w:val="17365D"/>
        </w:rPr>
        <w:t xml:space="preserve">Лучший современный Old Persian: </w:t>
      </w:r>
      <w:hyperlink r:id="rId26">
        <w:r>
          <w:rPr>
            <w:color w:val="0563C1"/>
            <w:u w:val="single"/>
          </w:rPr>
          <w:t>Schmitt 1991 / WorldCat</w:t>
        </w:r>
      </w:hyperlink>
      <w:r>
        <w:rPr>
          <w:b w:val="0"/>
          <w:i w:val="0"/>
        </w:rPr>
        <w:t xml:space="preserve"> - библиотека/покупка; A08-R036</w:t>
      </w:r>
    </w:p>
    <w:p>
      <w:pPr>
        <w:spacing w:after="40" w:line="247" w:lineRule="auto"/>
        <w:ind w:left="227" w:hanging="227"/>
      </w:pPr>
      <w:r>
        <w:rPr>
          <w:b/>
          <w:i w:val="0"/>
          <w:color w:val="17365D"/>
        </w:rPr>
        <w:t xml:space="preserve">Лучший современный Babylonian: </w:t>
      </w:r>
      <w:hyperlink r:id="rId27">
        <w:r>
          <w:rPr>
            <w:color w:val="0563C1"/>
            <w:u w:val="single"/>
          </w:rPr>
          <w:t>von Voigtlander 1978 / WorldCat</w:t>
        </w:r>
      </w:hyperlink>
      <w:r>
        <w:rPr>
          <w:b w:val="0"/>
          <w:i w:val="0"/>
        </w:rPr>
        <w:t xml:space="preserve"> - библиотека/покупка; A08-R037</w:t>
      </w:r>
    </w:p>
    <w:p>
      <w:pPr>
        <w:spacing w:after="40" w:line="247" w:lineRule="auto"/>
        <w:ind w:left="227" w:hanging="227"/>
      </w:pPr>
      <w:r>
        <w:rPr>
          <w:b/>
          <w:i w:val="0"/>
          <w:color w:val="17365D"/>
        </w:rPr>
        <w:t xml:space="preserve">Лучший защищённый современный Elamite: </w:t>
      </w:r>
      <w:hyperlink r:id="rId28">
        <w:r>
          <w:rPr>
            <w:color w:val="0563C1"/>
            <w:u w:val="single"/>
          </w:rPr>
          <w:t>Grillot-Susini et al. 1993</w:t>
        </w:r>
      </w:hyperlink>
      <w:r>
        <w:rPr>
          <w:b w:val="0"/>
          <w:i w:val="0"/>
        </w:rPr>
        <w:t xml:space="preserve"> - preview/institution/purchase; A08-R038</w:t>
      </w:r>
    </w:p>
    <w:p>
      <w:pPr>
        <w:spacing w:after="40" w:line="247" w:lineRule="auto"/>
        <w:ind w:left="227" w:hanging="227"/>
      </w:pPr>
      <w:r>
        <w:rPr>
          <w:b/>
          <w:i w:val="0"/>
          <w:color w:val="17365D"/>
        </w:rPr>
        <w:t xml:space="preserve">Навигация по стадиям и библиографии: </w:t>
      </w:r>
      <w:hyperlink r:id="rId29">
        <w:r>
          <w:rPr>
            <w:color w:val="0563C1"/>
            <w:u w:val="single"/>
          </w:rPr>
          <w:t>Encyclopaedia Iranica: BISOTUN iii</w:t>
        </w:r>
      </w:hyperlink>
      <w:r>
        <w:rPr>
          <w:b w:val="0"/>
          <w:i w:val="0"/>
        </w:rPr>
        <w:t xml:space="preserve"> - free read/PDF, но статья защищена; A08-R035</w:t>
      </w:r>
    </w:p>
    <w:p>
      <w:pPr>
        <w:spacing w:before="100"/>
      </w:pPr>
      <w:r>
        <w:rPr>
          <w:b/>
          <w:i w:val="0"/>
          <w:color w:val="0F6B6D"/>
        </w:rPr>
        <w:t xml:space="preserve">Вердикт по Behistun. </w:t>
      </w:r>
      <w:r>
        <w:rPr>
          <w:b w:val="0"/>
          <w:i w:val="0"/>
        </w:rPr>
        <w:t>Для свободной исследовательской основы лучше сочетать King–Thompson 1907, открытые CDLI эламские выпуски и ARIo/ORACC. Современные CII и Journal Asiatique нужны как контроль научного чтения, но не как зеркалируемый слой. Единого полного современного открытого издания всех трёх версий пока не зафиксировано.</w:t>
      </w:r>
    </w:p>
    <w:p>
      <w:pPr>
        <w:pStyle w:val="Heading2"/>
      </w:pPr>
      <w:r>
        <w:t>3.3. Арамейская копия Behistun на Элефантине</w:t>
      </w:r>
    </w:p>
    <w:p>
      <w:pPr>
        <w:spacing w:after="40" w:line="247" w:lineRule="auto"/>
        <w:ind w:left="227" w:hanging="227"/>
      </w:pPr>
      <w:r>
        <w:rPr>
          <w:b/>
          <w:i w:val="0"/>
          <w:color w:val="17365D"/>
        </w:rPr>
        <w:t xml:space="preserve">Лучший общий вход: </w:t>
      </w:r>
      <w:hyperlink r:id="rId30">
        <w:r>
          <w:rPr>
            <w:color w:val="0563C1"/>
            <w:u w:val="single"/>
          </w:rPr>
          <w:t>Texts &amp; Scripts from Elephantine, Dataset 306603</w:t>
        </w:r>
      </w:hyperlink>
      <w:r>
        <w:rPr>
          <w:b w:val="0"/>
          <w:i w:val="0"/>
        </w:rPr>
        <w:t xml:space="preserve"> - метаданные, transcription, English translation, images; CC BY-NC-SA 4.0; A08-R040</w:t>
      </w:r>
    </w:p>
    <w:p>
      <w:pPr>
        <w:spacing w:after="40" w:line="247" w:lineRule="auto"/>
        <w:ind w:left="227" w:hanging="227"/>
      </w:pPr>
      <w:r>
        <w:rPr>
          <w:b/>
          <w:i w:val="0"/>
          <w:color w:val="17365D"/>
        </w:rPr>
        <w:t xml:space="preserve">Лучший машиночитаемый вариант: </w:t>
      </w:r>
      <w:hyperlink r:id="rId31">
        <w:r>
          <w:rPr>
            <w:color w:val="0563C1"/>
            <w:u w:val="single"/>
          </w:rPr>
          <w:t>direct TEI XML</w:t>
        </w:r>
      </w:hyperlink>
      <w:r>
        <w:rPr>
          <w:b w:val="0"/>
          <w:i w:val="0"/>
        </w:rPr>
        <w:t xml:space="preserve"> - лицензированный fragment-level ingest; A08-R041</w:t>
      </w:r>
    </w:p>
    <w:p>
      <w:pPr>
        <w:spacing w:after="40" w:line="247" w:lineRule="auto"/>
        <w:ind w:left="227" w:hanging="227"/>
      </w:pPr>
      <w:r>
        <w:rPr>
          <w:b/>
          <w:i w:val="0"/>
          <w:color w:val="17365D"/>
        </w:rPr>
        <w:t xml:space="preserve">Лучшие лицензированные изображения: </w:t>
      </w:r>
      <w:hyperlink r:id="rId30">
        <w:r>
          <w:rPr>
            <w:color w:val="0563C1"/>
            <w:u w:val="single"/>
          </w:rPr>
          <w:t>Elephantine project image set</w:t>
        </w:r>
      </w:hyperlink>
      <w:r>
        <w:rPr>
          <w:b w:val="0"/>
          <w:i w:val="0"/>
        </w:rPr>
        <w:t xml:space="preserve"> - CC BY-NC-SA 4.0; A08-R042</w:t>
      </w:r>
    </w:p>
    <w:p>
      <w:pPr>
        <w:spacing w:after="40" w:line="247" w:lineRule="auto"/>
        <w:ind w:left="227" w:hanging="227"/>
      </w:pPr>
      <w:r>
        <w:rPr>
          <w:b/>
          <w:i w:val="0"/>
          <w:color w:val="17365D"/>
        </w:rPr>
        <w:t xml:space="preserve">Альтернативная музейная фотография: </w:t>
      </w:r>
      <w:hyperlink r:id="rId32">
        <w:r>
          <w:rPr>
            <w:color w:val="0563C1"/>
            <w:u w:val="single"/>
          </w:rPr>
          <w:t>SMB object 2049838</w:t>
        </w:r>
      </w:hyperlink>
      <w:r>
        <w:rPr>
          <w:b w:val="0"/>
          <w:i w:val="0"/>
        </w:rPr>
        <w:t xml:space="preserve"> - фотография CC BY-SA 4.0; A08-R043</w:t>
      </w:r>
    </w:p>
    <w:p>
      <w:pPr>
        <w:spacing w:after="40" w:line="247" w:lineRule="auto"/>
        <w:ind w:left="227" w:hanging="227"/>
      </w:pPr>
      <w:r>
        <w:rPr>
          <w:b/>
          <w:i w:val="0"/>
          <w:color w:val="17365D"/>
        </w:rPr>
        <w:t xml:space="preserve">Наиболее свободная фотография: </w:t>
      </w:r>
      <w:hyperlink r:id="rId33">
        <w:r>
          <w:rPr>
            <w:color w:val="0563C1"/>
            <w:u w:val="single"/>
          </w:rPr>
          <w:t>Livius CC0 photo</w:t>
        </w:r>
      </w:hyperlink>
      <w:r>
        <w:rPr>
          <w:b w:val="0"/>
          <w:i w:val="0"/>
        </w:rPr>
        <w:t xml:space="preserve"> - конкретный снимок CC0 1.0; A08-R044</w:t>
      </w:r>
    </w:p>
    <w:p>
      <w:pPr>
        <w:spacing w:after="40" w:line="247" w:lineRule="auto"/>
        <w:ind w:left="227" w:hanging="227"/>
      </w:pPr>
      <w:r>
        <w:rPr>
          <w:b/>
          <w:i w:val="0"/>
          <w:color w:val="17365D"/>
        </w:rPr>
        <w:t xml:space="preserve">Старый PD-текст: </w:t>
      </w:r>
      <w:hyperlink r:id="rId34">
        <w:r>
          <w:rPr>
            <w:color w:val="0563C1"/>
            <w:u w:val="single"/>
          </w:rPr>
          <w:t>Cowley 1923</w:t>
        </w:r>
      </w:hyperlink>
      <w:r>
        <w:rPr>
          <w:b w:val="0"/>
          <w:i w:val="0"/>
        </w:rPr>
        <w:t xml:space="preserve"> - Behistun fragments pp. 248–271; A08-R045</w:t>
      </w:r>
    </w:p>
    <w:p>
      <w:pPr>
        <w:spacing w:after="40" w:line="247" w:lineRule="auto"/>
        <w:ind w:left="227" w:hanging="227"/>
      </w:pPr>
      <w:r>
        <w:rPr>
          <w:b/>
          <w:i w:val="0"/>
          <w:color w:val="17365D"/>
        </w:rPr>
        <w:t xml:space="preserve">Лучший современный критический вариант: </w:t>
      </w:r>
      <w:hyperlink r:id="rId35">
        <w:r>
          <w:rPr>
            <w:color w:val="0563C1"/>
            <w:u w:val="single"/>
          </w:rPr>
          <w:t>Greenfield–Porten 1982 / SUDOC</w:t>
        </w:r>
      </w:hyperlink>
      <w:r>
        <w:rPr>
          <w:b w:val="0"/>
          <w:i w:val="0"/>
        </w:rPr>
        <w:t xml:space="preserve"> - library/purchase; A08-R048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08"/>
      </w:tblGrid>
      <w:tr>
        <w:trPr>
          <w:cantSplit/>
        </w:trPr>
        <w:tc>
          <w:tcPr>
            <w:tcW w:type="dxa" w:w="9808"/>
            <w:shd w:fill="FBF4E3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60"/>
            </w:pPr>
            <w:r>
              <w:rPr>
                <w:b/>
                <w:i w:val="0"/>
                <w:color w:val="B8913D"/>
                <w:sz w:val="20"/>
              </w:rPr>
              <w:t>Смешанные права на Элефантине</w:t>
            </w:r>
          </w:p>
          <w:p>
            <w:pPr>
              <w:spacing w:after="0" w:line="252" w:lineRule="auto"/>
            </w:pPr>
            <w:r>
              <w:rPr>
                <w:b w:val="0"/>
                <w:i w:val="0"/>
                <w:sz w:val="19"/>
              </w:rPr>
              <w:t>Dataset 306603, TEI и перечисленные изображения открыты под CC BY-NC-SA 4.0, но item page отдельно помечает publication permission status физического объекта как unknown. Поэтому положительные теги относятся к лицензированному dataset, а не к безусловному праву распоряжаться папирусом.</w:t>
            </w:r>
          </w:p>
        </w:tc>
      </w:tr>
    </w:tbl>
    <w:p>
      <w:pPr>
        <w:spacing w:after="0"/>
      </w:pPr>
    </w:p>
    <w:p>
      <w:pPr>
        <w:pStyle w:val="Heading2"/>
      </w:pPr>
      <w:r>
        <w:t>3.4. Более широкий корпус ахеменидских царских надписей</w:t>
      </w:r>
    </w:p>
    <w:p>
      <w:pPr>
        <w:spacing w:after="40" w:line="247" w:lineRule="auto"/>
        <w:ind w:left="227" w:hanging="227"/>
      </w:pPr>
      <w:r>
        <w:rPr>
          <w:b/>
          <w:i w:val="0"/>
          <w:color w:val="17365D"/>
        </w:rPr>
        <w:t xml:space="preserve">Лучший машиночитаемый корпус: </w:t>
      </w:r>
      <w:hyperlink r:id="rId36">
        <w:r>
          <w:rPr>
            <w:color w:val="0563C1"/>
            <w:u w:val="single"/>
          </w:rPr>
          <w:t>ARIo / ORACC</w:t>
        </w:r>
      </w:hyperlink>
      <w:r>
        <w:rPr>
          <w:b w:val="0"/>
          <w:i w:val="0"/>
        </w:rPr>
        <w:t xml:space="preserve"> - annotated multilingual corpus; CC BY-SA 3.0; A08-R049</w:t>
      </w:r>
    </w:p>
    <w:p>
      <w:pPr>
        <w:spacing w:after="40" w:line="247" w:lineRule="auto"/>
        <w:ind w:left="227" w:hanging="227"/>
      </w:pPr>
      <w:r>
        <w:rPr>
          <w:b/>
          <w:i w:val="0"/>
          <w:color w:val="17365D"/>
        </w:rPr>
        <w:t xml:space="preserve">Репрезентативный item Дария: </w:t>
      </w:r>
      <w:hyperlink r:id="rId37">
        <w:r>
          <w:rPr>
            <w:color w:val="0563C1"/>
            <w:u w:val="single"/>
          </w:rPr>
          <w:t>ARIo Q007151 / DMb</w:t>
        </w:r>
      </w:hyperlink>
      <w:r>
        <w:rPr>
          <w:b w:val="0"/>
          <w:i w:val="0"/>
        </w:rPr>
        <w:t xml:space="preserve"> - Akkadian, Old Persian, Elamite, English; A08-R050</w:t>
      </w:r>
    </w:p>
    <w:p>
      <w:pPr>
        <w:spacing w:after="40" w:line="247" w:lineRule="auto"/>
        <w:ind w:left="227" w:hanging="227"/>
      </w:pPr>
      <w:r>
        <w:rPr>
          <w:b/>
          <w:i w:val="0"/>
          <w:color w:val="17365D"/>
        </w:rPr>
        <w:t xml:space="preserve">Прямое продолжение при Ксерксе: </w:t>
      </w:r>
      <w:hyperlink r:id="rId38">
        <w:r>
          <w:rPr>
            <w:color w:val="0563C1"/>
            <w:u w:val="single"/>
          </w:rPr>
          <w:t>ARIo Q007223</w:t>
        </w:r>
      </w:hyperlink>
      <w:r>
        <w:rPr>
          <w:b w:val="0"/>
          <w:i w:val="0"/>
        </w:rPr>
        <w:t xml:space="preserve"> - CC BY-SA 3.0; A08-R051</w:t>
      </w:r>
    </w:p>
    <w:p>
      <w:pPr>
        <w:spacing w:after="40" w:line="247" w:lineRule="auto"/>
        <w:ind w:left="227" w:hanging="227"/>
      </w:pPr>
      <w:r>
        <w:rPr>
          <w:b/>
          <w:i w:val="0"/>
          <w:color w:val="17365D"/>
        </w:rPr>
        <w:t xml:space="preserve">Лучшее удобное чтение: </w:t>
      </w:r>
      <w:hyperlink r:id="rId39">
        <w:r>
          <w:rPr>
            <w:color w:val="0563C1"/>
            <w:u w:val="single"/>
          </w:rPr>
          <w:t>Livius royal inscriptions portal</w:t>
        </w:r>
      </w:hyperlink>
      <w:r>
        <w:rPr>
          <w:b w:val="0"/>
          <w:i w:val="0"/>
        </w:rPr>
        <w:t xml:space="preserve"> - DNa, DSe, DSf, XPh и др.; free read, link-only; A08-R053–R058</w:t>
      </w:r>
    </w:p>
    <w:p>
      <w:pPr>
        <w:spacing w:after="40" w:line="247" w:lineRule="auto"/>
        <w:ind w:left="227" w:hanging="227"/>
      </w:pPr>
      <w:r>
        <w:rPr>
          <w:b/>
          <w:i w:val="0"/>
          <w:color w:val="17365D"/>
        </w:rPr>
        <w:t xml:space="preserve">Открытый item-level Akkadian: </w:t>
      </w:r>
      <w:hyperlink r:id="rId40">
        <w:r>
          <w:rPr>
            <w:color w:val="0563C1"/>
            <w:u w:val="single"/>
          </w:rPr>
          <w:t>CDLI DSe, CDLN 2017:2</w:t>
        </w:r>
      </w:hyperlink>
      <w:r>
        <w:rPr>
          <w:b w:val="0"/>
          <w:i w:val="0"/>
        </w:rPr>
        <w:t xml:space="preserve"> - CC BY 4.0 except images; A08-R059</w:t>
      </w:r>
    </w:p>
    <w:p>
      <w:pPr>
        <w:spacing w:after="40" w:line="247" w:lineRule="auto"/>
        <w:ind w:left="227" w:hanging="227"/>
      </w:pPr>
      <w:r>
        <w:rPr>
          <w:b/>
          <w:i w:val="0"/>
          <w:color w:val="17365D"/>
        </w:rPr>
        <w:t xml:space="preserve">Старый широкий PD-корпус: </w:t>
      </w:r>
      <w:hyperlink r:id="rId41">
        <w:r>
          <w:rPr>
            <w:color w:val="0563C1"/>
            <w:u w:val="single"/>
          </w:rPr>
          <w:t>Weissbach 1911</w:t>
        </w:r>
      </w:hyperlink>
      <w:r>
        <w:rPr>
          <w:b w:val="0"/>
          <w:i w:val="0"/>
        </w:rPr>
        <w:t xml:space="preserve"> - полезен для охвата, но не заменяет современные чтения; A08-R032</w:t>
      </w:r>
    </w:p>
    <w:p>
      <w:pPr>
        <w:spacing w:after="40" w:line="247" w:lineRule="auto"/>
        <w:ind w:left="227" w:hanging="227"/>
      </w:pPr>
      <w:r>
        <w:rPr>
          <w:b/>
          <w:i w:val="0"/>
          <w:color w:val="17365D"/>
        </w:rPr>
        <w:t xml:space="preserve">Современный Old Persian corpus: </w:t>
      </w:r>
      <w:hyperlink r:id="rId42">
        <w:r>
          <w:rPr>
            <w:color w:val="0563C1"/>
            <w:u w:val="single"/>
          </w:rPr>
          <w:t>Schmitt 2023</w:t>
        </w:r>
      </w:hyperlink>
      <w:r>
        <w:rPr>
          <w:b w:val="0"/>
          <w:i w:val="0"/>
        </w:rPr>
        <w:t xml:space="preserve"> - покупка/библиотека; A08-R052</w:t>
      </w:r>
    </w:p>
    <w:p>
      <w:pPr>
        <w:spacing w:after="40" w:line="247" w:lineRule="auto"/>
        <w:ind w:left="227" w:hanging="227"/>
      </w:pPr>
      <w:r>
        <w:rPr>
          <w:b/>
          <w:i w:val="0"/>
          <w:color w:val="17365D"/>
        </w:rPr>
        <w:t xml:space="preserve">Монументальные факсимиле: </w:t>
      </w:r>
      <w:hyperlink r:id="rId43">
        <w:r>
          <w:rPr>
            <w:color w:val="0563C1"/>
            <w:u w:val="single"/>
          </w:rPr>
          <w:t>ISAC OIP 68</w:t>
        </w:r>
      </w:hyperlink>
      <w:r>
        <w:rPr>
          <w:b w:val="0"/>
          <w:i w:val="0"/>
        </w:rPr>
        <w:t xml:space="preserve"> - free PDF, но link-only distribution; A08-R062</w:t>
      </w:r>
    </w:p>
    <w:p>
      <w:pPr>
        <w:pStyle w:val="Heading2"/>
      </w:pPr>
      <w:r>
        <w:t>3.5. Persepolis Fortification Archive</w:t>
      </w:r>
    </w:p>
    <w:p>
      <w:pPr>
        <w:spacing w:after="40" w:line="247" w:lineRule="auto"/>
        <w:ind w:left="227" w:hanging="227"/>
      </w:pPr>
      <w:r>
        <w:rPr>
          <w:b/>
          <w:i w:val="0"/>
          <w:color w:val="17365D"/>
        </w:rPr>
        <w:t xml:space="preserve">Лучший официальный корпусный вход: </w:t>
      </w:r>
      <w:hyperlink r:id="rId44">
        <w:r>
          <w:rPr>
            <w:color w:val="0563C1"/>
            <w:u w:val="single"/>
          </w:rPr>
          <w:t>ISAC PFA Project</w:t>
        </w:r>
      </w:hyperlink>
      <w:r>
        <w:rPr>
          <w:b w:val="0"/>
          <w:i w:val="0"/>
        </w:rPr>
        <w:t xml:space="preserve"> - масштаб, состав, история проекта и OCHRE link; A08-R064</w:t>
      </w:r>
    </w:p>
    <w:p>
      <w:pPr>
        <w:spacing w:after="40" w:line="247" w:lineRule="auto"/>
        <w:ind w:left="227" w:hanging="227"/>
      </w:pPr>
      <w:r>
        <w:rPr>
          <w:b/>
          <w:i w:val="0"/>
          <w:color w:val="17365D"/>
        </w:rPr>
        <w:t xml:space="preserve">Самая богатая текущая цифровая среда: </w:t>
      </w:r>
      <w:hyperlink r:id="rId45">
        <w:r>
          <w:rPr>
            <w:color w:val="0563C1"/>
            <w:u w:val="single"/>
          </w:rPr>
          <w:t>PFA in OCHRE</w:t>
        </w:r>
      </w:hyperlink>
      <w:r>
        <w:rPr>
          <w:b w:val="0"/>
          <w:i w:val="0"/>
        </w:rPr>
        <w:t xml:space="preserve"> - 7,500+ editions и 4,000+ seals reported; item-level rights ещё требуют проверки; A08-R065</w:t>
      </w:r>
    </w:p>
    <w:p>
      <w:pPr>
        <w:spacing w:after="40" w:line="247" w:lineRule="auto"/>
        <w:ind w:left="227" w:hanging="227"/>
      </w:pPr>
      <w:r>
        <w:rPr>
          <w:b/>
          <w:i w:val="0"/>
          <w:color w:val="17365D"/>
        </w:rPr>
        <w:t xml:space="preserve">Лучшее классическое полное издание: </w:t>
      </w:r>
      <w:hyperlink r:id="rId46">
        <w:r>
          <w:rPr>
            <w:color w:val="0563C1"/>
            <w:u w:val="single"/>
          </w:rPr>
          <w:t>Hallock, OIP 92</w:t>
        </w:r>
      </w:hyperlink>
      <w:r>
        <w:rPr>
          <w:b w:val="0"/>
          <w:i w:val="0"/>
        </w:rPr>
        <w:t xml:space="preserve"> - 2,087 Elamite texts, free PDF, no external file distribution; A08-R070</w:t>
      </w:r>
    </w:p>
    <w:p>
      <w:pPr>
        <w:spacing w:after="40" w:line="247" w:lineRule="auto"/>
        <w:ind w:left="227" w:hanging="227"/>
      </w:pPr>
      <w:r>
        <w:rPr>
          <w:b/>
          <w:i w:val="0"/>
          <w:color w:val="17365D"/>
        </w:rPr>
        <w:t xml:space="preserve">Альтернативный corpus route: </w:t>
      </w:r>
      <w:hyperlink r:id="rId47">
        <w:r>
          <w:rPr>
            <w:color w:val="0563C1"/>
            <w:u w:val="single"/>
          </w:rPr>
          <w:t>Achemenet PFA</w:t>
        </w:r>
      </w:hyperlink>
      <w:r>
        <w:rPr>
          <w:b w:val="0"/>
          <w:i w:val="0"/>
        </w:rPr>
        <w:t xml:space="preserve"> - free reading, mixed item rights; A08-R066</w:t>
      </w:r>
    </w:p>
    <w:p>
      <w:pPr>
        <w:spacing w:after="40" w:line="247" w:lineRule="auto"/>
        <w:ind w:left="227" w:hanging="227"/>
      </w:pPr>
      <w:r>
        <w:rPr>
          <w:b/>
          <w:i w:val="0"/>
          <w:color w:val="17365D"/>
        </w:rPr>
        <w:t xml:space="preserve">Item-level structured metadata: </w:t>
      </w:r>
      <w:hyperlink r:id="rId48">
        <w:r>
          <w:rPr>
            <w:color w:val="0563C1"/>
            <w:u w:val="single"/>
          </w:rPr>
          <w:t>CDLI P533154 / PF-NN 0066</w:t>
        </w:r>
      </w:hyperlink>
      <w:r>
        <w:rPr>
          <w:b w:val="0"/>
          <w:i w:val="0"/>
        </w:rPr>
        <w:t xml:space="preserve"> - JSON/CSV/RDF exports, no image/text on this item; A08-R067</w:t>
      </w:r>
    </w:p>
    <w:p>
      <w:pPr>
        <w:spacing w:after="40" w:line="247" w:lineRule="auto"/>
        <w:ind w:left="227" w:hanging="227"/>
      </w:pPr>
      <w:r>
        <w:rPr>
          <w:b/>
          <w:i w:val="0"/>
          <w:color w:val="17365D"/>
        </w:rPr>
        <w:t xml:space="preserve">API: </w:t>
      </w:r>
      <w:hyperlink r:id="rId49">
        <w:r>
          <w:rPr>
            <w:color w:val="0563C1"/>
            <w:u w:val="single"/>
          </w:rPr>
          <w:t>CDLI REST API</w:t>
        </w:r>
      </w:hyperlink>
      <w:r>
        <w:rPr>
          <w:b w:val="0"/>
          <w:i w:val="0"/>
        </w:rPr>
        <w:t xml:space="preserve"> - JSON, linked data, C-ATF, CoNLL, CSV/TSV/XLSX; A08-R068</w:t>
      </w:r>
    </w:p>
    <w:p>
      <w:pPr>
        <w:spacing w:after="40" w:line="247" w:lineRule="auto"/>
        <w:ind w:left="227" w:hanging="227"/>
      </w:pPr>
      <w:r>
        <w:rPr>
          <w:b/>
          <w:i w:val="0"/>
          <w:color w:val="17365D"/>
        </w:rPr>
        <w:t xml:space="preserve">Bulk: </w:t>
      </w:r>
      <w:hyperlink r:id="rId50">
        <w:r>
          <w:rPr>
            <w:color w:val="0563C1"/>
            <w:u w:val="single"/>
          </w:rPr>
          <w:t>CDLI bulk packages</w:t>
        </w:r>
      </w:hyperlink>
      <w:r>
        <w:rPr>
          <w:b w:val="0"/>
          <w:i w:val="0"/>
        </w:rPr>
        <w:t xml:space="preserve"> - daily catalogue/transliteration packages; license scope must be captured per release; A08-R069</w:t>
      </w:r>
    </w:p>
    <w:p>
      <w:pPr>
        <w:spacing w:after="40" w:line="247" w:lineRule="auto"/>
        <w:ind w:left="227" w:hanging="227"/>
      </w:pPr>
      <w:r>
        <w:rPr>
          <w:b/>
          <w:i w:val="0"/>
          <w:color w:val="17365D"/>
        </w:rPr>
        <w:t xml:space="preserve">Печати: </w:t>
      </w:r>
      <w:hyperlink r:id="rId51">
        <w:r>
          <w:rPr>
            <w:color w:val="0563C1"/>
            <w:u w:val="single"/>
          </w:rPr>
          <w:t>OIP 117</w:t>
        </w:r>
      </w:hyperlink>
      <w:r>
        <w:rPr>
          <w:b w:val="0"/>
          <w:i w:val="0"/>
        </w:rPr>
        <w:t xml:space="preserve"> - 312 seals / 1,970 impressions in volume I; A08-R072</w:t>
      </w:r>
    </w:p>
    <w:p>
      <w:pPr>
        <w:spacing w:after="40" w:line="247" w:lineRule="auto"/>
        <w:ind w:left="227" w:hanging="227"/>
      </w:pPr>
      <w:r>
        <w:rPr>
          <w:b/>
          <w:i w:val="0"/>
          <w:color w:val="17365D"/>
        </w:rPr>
        <w:t xml:space="preserve">Древнеперсидское административное исключение: </w:t>
      </w:r>
      <w:hyperlink r:id="rId52">
        <w:r>
          <w:rPr>
            <w:color w:val="0563C1"/>
            <w:u w:val="single"/>
          </w:rPr>
          <w:t>ARTA 2007.001</w:t>
        </w:r>
      </w:hyperlink>
      <w:r>
        <w:rPr>
          <w:b w:val="0"/>
          <w:i w:val="0"/>
        </w:rPr>
        <w:t xml:space="preserve"> - free article/PDF, but no explicit reuse license; A08-R077</w:t>
      </w:r>
    </w:p>
    <w:p>
      <w:pPr>
        <w:pStyle w:val="Heading2"/>
      </w:pPr>
      <w:r>
        <w:t>3.6. Persepolis Treasury Tablets</w:t>
      </w:r>
    </w:p>
    <w:p>
      <w:pPr>
        <w:spacing w:after="40" w:line="247" w:lineRule="auto"/>
        <w:ind w:left="227" w:hanging="227"/>
      </w:pPr>
      <w:r>
        <w:rPr>
          <w:b/>
          <w:i w:val="0"/>
          <w:color w:val="17365D"/>
        </w:rPr>
        <w:t xml:space="preserve">Лучшее бесплатное издание: </w:t>
      </w:r>
      <w:hyperlink r:id="rId53">
        <w:r>
          <w:rPr>
            <w:color w:val="0563C1"/>
            <w:u w:val="single"/>
          </w:rPr>
          <w:t>Cameron, OIP 65</w:t>
        </w:r>
      </w:hyperlink>
      <w:r>
        <w:rPr>
          <w:b w:val="0"/>
          <w:i w:val="0"/>
        </w:rPr>
        <w:t xml:space="preserve"> - 103 Elamite + 1 Akkadian tablet, photos and translations; A08-R071</w:t>
      </w:r>
    </w:p>
    <w:p>
      <w:pPr>
        <w:spacing w:after="40" w:line="247" w:lineRule="auto"/>
        <w:ind w:left="227" w:hanging="227"/>
      </w:pPr>
      <w:r>
        <w:rPr>
          <w:b/>
          <w:i w:val="0"/>
          <w:color w:val="17365D"/>
        </w:rPr>
        <w:t xml:space="preserve">Археологический контекст: </w:t>
      </w:r>
      <w:hyperlink r:id="rId54">
        <w:r>
          <w:rPr>
            <w:color w:val="0563C1"/>
            <w:u w:val="single"/>
          </w:rPr>
          <w:t>Persepolis II, OIP 69</w:t>
        </w:r>
      </w:hyperlink>
      <w:r>
        <w:rPr>
          <w:b w:val="0"/>
          <w:i w:val="0"/>
        </w:rPr>
        <w:t xml:space="preserve"> - Treasury objects, provenience and plates; A08-R074</w:t>
      </w:r>
    </w:p>
    <w:p>
      <w:pPr>
        <w:spacing w:after="40" w:line="247" w:lineRule="auto"/>
        <w:ind w:left="227" w:hanging="227"/>
      </w:pPr>
      <w:r>
        <w:rPr>
          <w:b/>
          <w:i w:val="0"/>
          <w:color w:val="17365D"/>
        </w:rPr>
        <w:t xml:space="preserve">Лучший краткий обзор состава: </w:t>
      </w:r>
      <w:hyperlink r:id="rId55">
        <w:r>
          <w:rPr>
            <w:color w:val="0563C1"/>
            <w:u w:val="single"/>
          </w:rPr>
          <w:t>Iranica: Persepolis Treasury Archive</w:t>
        </w:r>
      </w:hyperlink>
      <w:r>
        <w:rPr>
          <w:b w:val="0"/>
          <w:i w:val="0"/>
        </w:rPr>
        <w:t xml:space="preserve"> - free read, modern protected article; A08-R078</w:t>
      </w:r>
    </w:p>
    <w:p>
      <w:r>
        <w:t>Полного актуального item-level Treasury corpus с унифицированными правами не найдено. OIP 65 остаётся практическим базовым изданием, но современные добавления и музейные конкордансы вынесены в gaps G012.</w:t>
      </w:r>
    </w:p>
    <w:p>
      <w:pPr>
        <w:pStyle w:val="Heading1"/>
      </w:pPr>
      <w:r>
        <w:t>4. Карта прав и практического использования</w:t>
      </w:r>
    </w:p>
    <w:p>
      <w:r>
        <w:t>В реестре 36 записей получили `OWN_TRANSLATION_POSSIBLE`, но почти всегда с узким coverage: один свидетель, отдельная колонка, один параграф, конкретный TEI-фрагмент или конкретная фотография. 65 записей одновременно требуют ручной проверки, потому что права смешаны, выводятся по дате, не охватывают изображения либо не разрешают дальнейшее распространение.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5D1"/>
          <w:left w:val="single" w:sz="4" w:space="0" w:color="B7C5D1"/>
          <w:bottom w:val="single" w:sz="4" w:space="0" w:color="B7C5D1"/>
          <w:right w:val="single" w:sz="4" w:space="0" w:color="B7C5D1"/>
          <w:insideH w:val="single" w:sz="4" w:space="0" w:color="B7C5D1"/>
          <w:insideV w:val="single" w:sz="4" w:space="0" w:color="B7C5D1"/>
        </w:tblBorders>
      </w:tblPr>
      <w:tblGrid>
        <w:gridCol w:w="3269"/>
        <w:gridCol w:w="3269"/>
        <w:gridCol w:w="3269"/>
      </w:tblGrid>
      <w:tr>
        <w:trPr>
          <w:tblHeader w:val="true"/>
          <w:cantSplit/>
        </w:trPr>
        <w:tc>
          <w:tcPr>
            <w:tcW w:type="dxa" w:w="3269"/>
            <w:shd w:fill="17365D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Группа</w:t>
            </w:r>
          </w:p>
        </w:tc>
        <w:tc>
          <w:tcPr>
            <w:tcW w:type="dxa" w:w="3269"/>
            <w:shd w:fill="17365D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Характерные примеры</w:t>
            </w:r>
          </w:p>
        </w:tc>
        <w:tc>
          <w:tcPr>
            <w:tcW w:type="dxa" w:w="3269"/>
            <w:shd w:fill="17365D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Практический режим ToS</w:t>
            </w:r>
          </w:p>
        </w:tc>
      </w:tr>
      <w:tr>
        <w:trPr>
          <w:cantSplit/>
        </w:trPr>
        <w:tc>
          <w:tcPr>
            <w:tcW w:type="dxa" w:w="232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Открытое зеркалирование</w:t>
            </w:r>
          </w:p>
        </w:tc>
        <w:tc>
          <w:tcPr>
            <w:tcW w:type="dxa" w:w="351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Livius CC0 photo; CDLI CC BY articles; ARIo CC BY-SA; Louvre text/JSON Etalab</w:t>
            </w:r>
          </w:p>
        </w:tc>
        <w:tc>
          <w:tcPr>
            <w:tcW w:type="dxa" w:w="368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MIRROR_OK либо MIRROR_WITH_ATTRIBUTION; строго в пределах указанного компонента</w:t>
            </w:r>
          </w:p>
        </w:tc>
      </w:tr>
      <w:tr>
        <w:trPr>
          <w:cantSplit/>
        </w:trPr>
        <w:tc>
          <w:tcPr>
            <w:tcW w:type="dxa" w:w="2324"/>
            <w:tcMar>
              <w:top w:w="80" w:type="dxa"/>
              <w:start w:w="90" w:type="dxa"/>
              <w:bottom w:w="80" w:type="dxa"/>
              <w:end w:w="90" w:type="dxa"/>
            </w:tcMar>
            <w:shd w:fill="F2F5F7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Некоммерческое зеркалирование</w:t>
            </w:r>
          </w:p>
        </w:tc>
        <w:tc>
          <w:tcPr>
            <w:tcW w:type="dxa" w:w="3515"/>
            <w:tcMar>
              <w:top w:w="80" w:type="dxa"/>
              <w:start w:w="90" w:type="dxa"/>
              <w:bottom w:w="80" w:type="dxa"/>
              <w:end w:w="90" w:type="dxa"/>
            </w:tcMar>
            <w:shd w:fill="F2F5F7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Elephantine Dataset 306603 и TEI/images под CC BY-NC-SA</w:t>
            </w:r>
          </w:p>
        </w:tc>
        <w:tc>
          <w:tcPr>
            <w:tcW w:type="dxa" w:w="3685"/>
            <w:tcMar>
              <w:top w:w="80" w:type="dxa"/>
              <w:start w:w="90" w:type="dxa"/>
              <w:bottom w:w="80" w:type="dxa"/>
              <w:end w:w="90" w:type="dxa"/>
            </w:tcMar>
            <w:shd w:fill="F2F5F7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MIRROR_NONCOMMERCIAL + attribution + ShareAlike; ToS подходит как некоммерческий проект</w:t>
            </w:r>
          </w:p>
        </w:tc>
      </w:tr>
      <w:tr>
        <w:trPr>
          <w:cantSplit/>
        </w:trPr>
        <w:tc>
          <w:tcPr>
            <w:tcW w:type="dxa" w:w="232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Custom educational/scientific use</w:t>
            </w:r>
          </w:p>
        </w:tc>
        <w:tc>
          <w:tcPr>
            <w:tcW w:type="dxa" w:w="351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Louvre medium-format photos</w:t>
            </w:r>
          </w:p>
        </w:tc>
        <w:tc>
          <w:tcPr>
            <w:tcW w:type="dxa" w:w="368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возможна публикация в цифровом научном/образовательном ToS с credit + permalink; не CC</w:t>
            </w:r>
          </w:p>
        </w:tc>
      </w:tr>
      <w:tr>
        <w:trPr>
          <w:cantSplit/>
        </w:trPr>
        <w:tc>
          <w:tcPr>
            <w:tcW w:type="dxa" w:w="2324"/>
            <w:tcMar>
              <w:top w:w="80" w:type="dxa"/>
              <w:start w:w="90" w:type="dxa"/>
              <w:bottom w:w="80" w:type="dxa"/>
              <w:end w:w="90" w:type="dxa"/>
            </w:tcMar>
            <w:shd w:fill="F2F5F7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PD / исторические издания</w:t>
            </w:r>
          </w:p>
        </w:tc>
        <w:tc>
          <w:tcPr>
            <w:tcW w:type="dxa" w:w="3515"/>
            <w:tcMar>
              <w:top w:w="80" w:type="dxa"/>
              <w:start w:w="90" w:type="dxa"/>
              <w:bottom w:w="80" w:type="dxa"/>
              <w:end w:w="90" w:type="dxa"/>
            </w:tcMar>
            <w:shd w:fill="F2F5F7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MDP, King–Thompson, Rawlinson, Norris, Cowley, Weissbach</w:t>
            </w:r>
          </w:p>
        </w:tc>
        <w:tc>
          <w:tcPr>
            <w:tcW w:type="dxa" w:w="3685"/>
            <w:tcMar>
              <w:top w:w="80" w:type="dxa"/>
              <w:start w:w="90" w:type="dxa"/>
              <w:bottom w:w="80" w:type="dxa"/>
              <w:end w:w="90" w:type="dxa"/>
            </w:tcMar>
            <w:shd w:fill="F2F5F7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исследовательская копия, OCR и потенциальное зеркало после проверки даты, provenance и юрисдикции</w:t>
            </w:r>
          </w:p>
        </w:tc>
      </w:tr>
      <w:tr>
        <w:trPr>
          <w:cantSplit/>
        </w:trPr>
        <w:tc>
          <w:tcPr>
            <w:tcW w:type="dxa" w:w="232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Free download, но link-only</w:t>
            </w:r>
          </w:p>
        </w:tc>
        <w:tc>
          <w:tcPr>
            <w:tcW w:type="dxa" w:w="351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ISAC EPI PDFs; UCLouvain article without explicit license; Livius/Iranica modern text</w:t>
            </w:r>
          </w:p>
        </w:tc>
        <w:tc>
          <w:tcPr>
            <w:tcW w:type="dxa" w:w="368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читать/скачать локально и ссылаться; не размещать файл или современный текст у себя</w:t>
            </w:r>
          </w:p>
        </w:tc>
      </w:tr>
      <w:tr>
        <w:trPr>
          <w:cantSplit/>
        </w:trPr>
        <w:tc>
          <w:tcPr>
            <w:tcW w:type="dxa" w:w="2324"/>
            <w:tcMar>
              <w:top w:w="80" w:type="dxa"/>
              <w:start w:w="90" w:type="dxa"/>
              <w:bottom w:w="80" w:type="dxa"/>
              <w:end w:w="90" w:type="dxa"/>
            </w:tcMar>
            <w:shd w:fill="F2F5F7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Borrow / preview / purchase</w:t>
            </w:r>
          </w:p>
        </w:tc>
        <w:tc>
          <w:tcPr>
            <w:tcW w:type="dxa" w:w="3515"/>
            <w:tcMar>
              <w:top w:w="80" w:type="dxa"/>
              <w:start w:w="90" w:type="dxa"/>
              <w:bottom w:w="80" w:type="dxa"/>
              <w:end w:w="90" w:type="dxa"/>
            </w:tcMar>
            <w:shd w:fill="F2F5F7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Schmitt, von Voigtlander, Greenfield–Porten, Grillot-Susini et al.</w:t>
            </w:r>
          </w:p>
        </w:tc>
        <w:tc>
          <w:tcPr>
            <w:tcW w:type="dxa" w:w="3685"/>
            <w:tcMar>
              <w:top w:w="80" w:type="dxa"/>
              <w:start w:w="90" w:type="dxa"/>
              <w:bottom w:w="80" w:type="dxa"/>
              <w:end w:w="90" w:type="dxa"/>
            </w:tcMar>
            <w:shd w:fill="F2F5F7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каталожная карточка, библиотека, preview или покупка; без зеркала</w:t>
            </w:r>
          </w:p>
        </w:tc>
      </w:tr>
    </w:tbl>
    <w:p>
      <w:pPr>
        <w:pStyle w:val="Heading2"/>
      </w:pPr>
      <w:r>
        <w:t>4.1. Что ToS потенциально может зеркалировать</w:t>
      </w:r>
    </w:p>
    <w:p>
      <w:pPr>
        <w:pStyle w:val="ListBullet"/>
        <w:spacing w:after="40" w:line="252" w:lineRule="auto"/>
      </w:pPr>
      <w:r>
        <w:t>Конкретную Livius photograph арамейского папируса, выпущенную под CC0 1.0; это не переносится на музейный объект или другие фотографии.</w:t>
      </w:r>
    </w:p>
    <w:p>
      <w:pPr>
        <w:pStyle w:val="ListBullet"/>
        <w:spacing w:after="40" w:line="252" w:lineRule="auto"/>
      </w:pPr>
      <w:r>
        <w:t>Текст и данные CDLI articles под CC BY 4.0, исключая artifact images с отдельными условиями.</w:t>
      </w:r>
    </w:p>
    <w:p>
      <w:pPr>
        <w:pStyle w:val="ListBullet"/>
        <w:spacing w:after="40" w:line="252" w:lineRule="auto"/>
      </w:pPr>
      <w:r>
        <w:t>ARIo annotated editions под CC BY-SA 3.0 при атрибуции и ShareAlike.</w:t>
      </w:r>
    </w:p>
    <w:p>
      <w:pPr>
        <w:pStyle w:val="ListBullet"/>
        <w:spacing w:after="40" w:line="252" w:lineRule="auto"/>
      </w:pPr>
      <w:r>
        <w:t>Текстовые карточки и JSON Louvre под Etalab Open Licence 2.0 с указанием источника и актуальности.</w:t>
      </w:r>
    </w:p>
    <w:p>
      <w:pPr>
        <w:pStyle w:val="ListBullet"/>
        <w:spacing w:after="40" w:line="252" w:lineRule="auto"/>
      </w:pPr>
      <w:r>
        <w:t>Elephantine TEI/images под CC BY-NC-SA 4.0 в некоммерческом ToS с атрибуцией и ShareAlike.</w:t>
      </w:r>
    </w:p>
    <w:p>
      <w:pPr>
        <w:pStyle w:val="ListBullet"/>
        <w:spacing w:after="40" w:line="252" w:lineRule="auto"/>
      </w:pPr>
      <w:r>
        <w:t>Старые издания, опубликованные до 1929 г., после проверки юрисдикции и provenance конкретного скана; поэтому многие такие строки сохраняют RIGHTS_REVIEW_REQUIRED.</w:t>
      </w:r>
    </w:p>
    <w:p>
      <w:pPr>
        <w:pStyle w:val="Heading2"/>
      </w:pPr>
      <w:r>
        <w:t>4.2. Что нельзя автоматически зеркалировать</w:t>
      </w:r>
    </w:p>
    <w:p>
      <w:pPr>
        <w:pStyle w:val="ListBullet"/>
        <w:spacing w:after="40" w:line="252" w:lineRule="auto"/>
      </w:pPr>
      <w:r>
        <w:t>ISAC EPI PDFs: бесплатная загрузка не даёт права распространять файл; условия требуют, чтобы файлы распространялись только с сайта ISAC.</w:t>
      </w:r>
    </w:p>
    <w:p>
      <w:pPr>
        <w:pStyle w:val="ListBullet"/>
        <w:spacing w:after="40" w:line="252" w:lineRule="auto"/>
      </w:pPr>
      <w:r>
        <w:t>Livius transcriptions/translations и Iranica articles: бесплатное чтение не равно открытой лицензии.</w:t>
      </w:r>
    </w:p>
    <w:p>
      <w:pPr>
        <w:pStyle w:val="ListBullet"/>
        <w:spacing w:after="40" w:line="252" w:lineRule="auto"/>
      </w:pPr>
      <w:r>
        <w:t>OCHRE PFA: публичная база чрезвычайно полезна, но открытая лицензия на весь dataset, images и editions не установлена.</w:t>
      </w:r>
    </w:p>
    <w:p>
      <w:pPr>
        <w:pStyle w:val="ListBullet"/>
        <w:spacing w:after="40" w:line="252" w:lineRule="auto"/>
      </w:pPr>
      <w:r>
        <w:t>Современные CII и Journal Asiatique editions: библиотека, покупка, institutional access или preview; link-only.</w:t>
      </w:r>
    </w:p>
    <w:p>
      <w:pPr>
        <w:pStyle w:val="ListBullet"/>
        <w:spacing w:after="40" w:line="252" w:lineRule="auto"/>
      </w:pPr>
      <w:r>
        <w:t>CDLI artifact images: лицензия статьи или каталожных данных не переносится автоматически на фотографию таблички.</w:t>
      </w:r>
    </w:p>
    <w:p>
      <w:pPr>
        <w:pStyle w:val="Heading2"/>
      </w:pPr>
      <w:r>
        <w:t>4.3. Неизменённое распространение</w:t>
      </w:r>
    </w:p>
    <w:p>
      <w:r>
        <w:t>Отдельного надёжно доказанного слоя `UNCHANGED_ONLY` не выявлено, поэтому ни одна запись не получила этот тег. Ближайший по практическому эффекту случай — ISAC EPI: пользователь может скачать личную копию, но ToS должен направлять к официальному файлу, а не распространять его даже в неизменённом виде.</w:t>
      </w:r>
    </w:p>
    <w:p>
      <w:pPr>
        <w:pStyle w:val="Heading2"/>
      </w:pPr>
      <w:r>
        <w:t>4.4. Собственный перевод ToS</w:t>
      </w:r>
    </w:p>
    <w:p>
      <w:r>
        <w:t>Чистая основа присутствует там, где доступен оригинальный исторический свидетель, публичнодоменная транскрипция/факсимиле или открыто лицензированный оригинальный слой. Наиболее сильные основания: Louvre witnesses и открытая транслитерация SB 139; King–Thompson и иные PD editions; CDLI Elamite articles; ARIo annotated texts; Elephantine TEI; CC0/CC BY-SA фотографии папируса. Тег всегда ограничен coverage. Например, CDLB 2024:3 позволяет работать с §70, а не со всем Behistun; Dataset 306603 - только с сохранившимися арамейскими фрагментами.</w:t>
      </w:r>
    </w:p>
    <w:p>
      <w:r>
        <w:t>Защищённые современные критические издания остаются необходимы как средство проверки, но сами по себе не создают свободную основу для публичного производного перевода.</w:t>
      </w:r>
    </w:p>
    <w:p>
      <w:pPr>
        <w:pStyle w:val="Heading2"/>
      </w:pPr>
      <w:r>
        <w:t>4.5. Ключевые официальные условия</w:t>
      </w:r>
    </w:p>
    <w:p>
      <w:pPr>
        <w:spacing w:after="40" w:line="247" w:lineRule="auto"/>
        <w:ind w:left="227" w:hanging="227"/>
      </w:pPr>
      <w:r>
        <w:rPr>
          <w:b/>
          <w:i w:val="0"/>
          <w:color w:val="17365D"/>
        </w:rPr>
        <w:t xml:space="preserve">Louvre: </w:t>
      </w:r>
      <w:hyperlink r:id="rId14">
        <w:r>
          <w:rPr>
            <w:color w:val="0563C1"/>
            <w:u w:val="single"/>
          </w:rPr>
          <w:t>Conditions of use</w:t>
        </w:r>
      </w:hyperlink>
      <w:r>
        <w:rPr>
          <w:b w:val="0"/>
          <w:i w:val="0"/>
        </w:rPr>
        <w:t xml:space="preserve"> - Etalab для textual information; отдельный режим фотографий</w:t>
      </w:r>
    </w:p>
    <w:p>
      <w:pPr>
        <w:spacing w:after="40" w:line="247" w:lineRule="auto"/>
        <w:ind w:left="227" w:hanging="227"/>
      </w:pPr>
      <w:r>
        <w:rPr>
          <w:b/>
          <w:i w:val="0"/>
          <w:color w:val="17365D"/>
        </w:rPr>
        <w:t xml:space="preserve">ISAC: </w:t>
      </w:r>
      <w:hyperlink r:id="rId56">
        <w:r>
          <w:rPr>
            <w:color w:val="0563C1"/>
            <w:u w:val="single"/>
          </w:rPr>
          <w:t>Electronic Publications Initiative Terms</w:t>
        </w:r>
      </w:hyperlink>
      <w:r>
        <w:rPr>
          <w:b w:val="0"/>
          <w:i w:val="0"/>
        </w:rPr>
        <w:t xml:space="preserve"> - one personal copy; distribute only from ISAC</w:t>
      </w:r>
    </w:p>
    <w:p>
      <w:pPr>
        <w:spacing w:after="40" w:line="247" w:lineRule="auto"/>
        <w:ind w:left="227" w:hanging="227"/>
      </w:pPr>
      <w:r>
        <w:rPr>
          <w:b/>
          <w:i w:val="0"/>
          <w:color w:val="17365D"/>
        </w:rPr>
        <w:t xml:space="preserve">ORACC: </w:t>
      </w:r>
      <w:hyperlink r:id="rId57">
        <w:r>
          <w:rPr>
            <w:color w:val="0563C1"/>
            <w:u w:val="single"/>
          </w:rPr>
          <w:t>Reusing Oracc</w:t>
        </w:r>
      </w:hyperlink>
      <w:r>
        <w:rPr>
          <w:b w:val="0"/>
          <w:i w:val="0"/>
        </w:rPr>
        <w:t xml:space="preserve"> - project-level attribution/ShareAlike rules</w:t>
      </w:r>
    </w:p>
    <w:p>
      <w:pPr>
        <w:spacing w:after="40" w:line="247" w:lineRule="auto"/>
        <w:ind w:left="227" w:hanging="227"/>
      </w:pPr>
      <w:r>
        <w:rPr>
          <w:b/>
          <w:i w:val="0"/>
          <w:color w:val="17365D"/>
        </w:rPr>
        <w:t xml:space="preserve">CDLI: </w:t>
      </w:r>
      <w:hyperlink r:id="rId58">
        <w:r>
          <w:rPr>
            <w:color w:val="0563C1"/>
            <w:u w:val="single"/>
          </w:rPr>
          <w:t>Terms of Use</w:t>
        </w:r>
      </w:hyperlink>
      <w:r>
        <w:rPr>
          <w:b w:val="0"/>
          <w:i w:val="0"/>
        </w:rPr>
        <w:t xml:space="preserve"> - component-level review, especially images</w:t>
      </w:r>
    </w:p>
    <w:p>
      <w:pPr>
        <w:spacing w:after="40" w:line="247" w:lineRule="auto"/>
        <w:ind w:left="227" w:hanging="227"/>
      </w:pPr>
      <w:r>
        <w:rPr>
          <w:b/>
          <w:i w:val="0"/>
          <w:color w:val="17365D"/>
        </w:rPr>
        <w:t xml:space="preserve">Elephantine: </w:t>
      </w:r>
      <w:hyperlink r:id="rId30">
        <w:r>
          <w:rPr>
            <w:color w:val="0563C1"/>
            <w:u w:val="single"/>
          </w:rPr>
          <w:t>Dataset 306603 rights</w:t>
        </w:r>
      </w:hyperlink>
      <w:r>
        <w:rPr>
          <w:b w:val="0"/>
          <w:i w:val="0"/>
        </w:rPr>
        <w:t xml:space="preserve"> - CC BY-NC-SA 4.0 on dataset and listed pictures</w:t>
      </w:r>
    </w:p>
    <w:p>
      <w:pPr>
        <w:spacing w:after="40" w:line="247" w:lineRule="auto"/>
        <w:ind w:left="227" w:hanging="227"/>
      </w:pPr>
      <w:r>
        <w:rPr>
          <w:b/>
          <w:i w:val="0"/>
          <w:color w:val="17365D"/>
        </w:rPr>
        <w:t xml:space="preserve">SMB: </w:t>
      </w:r>
      <w:hyperlink r:id="rId32">
        <w:r>
          <w:rPr>
            <w:color w:val="0563C1"/>
            <w:u w:val="single"/>
          </w:rPr>
          <w:t>Object 2049838</w:t>
        </w:r>
      </w:hyperlink>
      <w:r>
        <w:rPr>
          <w:b w:val="0"/>
          <w:i w:val="0"/>
        </w:rPr>
        <w:t xml:space="preserve"> - specific photograph CC BY-SA 4.0</w:t>
      </w:r>
    </w:p>
    <w:p>
      <w:pPr>
        <w:pStyle w:val="Heading1"/>
      </w:pPr>
      <w:r>
        <w:t>5. Характерные правовые тонкости</w:t>
      </w:r>
    </w:p>
    <w:p>
      <w:pPr>
        <w:spacing w:after="60"/>
      </w:pPr>
      <w:r>
        <w:rPr>
          <w:b/>
          <w:i w:val="0"/>
          <w:color w:val="0F6B6D"/>
        </w:rPr>
        <w:t xml:space="preserve">Древний оригинал и современная редакция - разные слои. </w:t>
      </w:r>
      <w:r>
        <w:rPr>
          <w:b w:val="0"/>
          <w:i w:val="0"/>
        </w:rPr>
        <w:t>Behistun и архивные документы как древние произведения свободны от современного авторского права, но Schmitt, von Voigtlander, Grillot-Susini, Livius и OCHRE editions могут быть защищены.</w:t>
      </w:r>
    </w:p>
    <w:p>
      <w:pPr>
        <w:spacing w:after="60"/>
      </w:pPr>
      <w:r>
        <w:rPr>
          <w:b/>
          <w:i w:val="0"/>
          <w:color w:val="0F6B6D"/>
        </w:rPr>
        <w:t xml:space="preserve">Текст карточки и фотография одного объекта могут иметь разные права. </w:t>
      </w:r>
      <w:r>
        <w:rPr>
          <w:b w:val="0"/>
          <w:i w:val="0"/>
        </w:rPr>
        <w:t>На Louvre text/JSON распространяется Etalab, а images имеют custom educational/scientific terms. На CDLI article text действует CC BY, но artifact images исключены.</w:t>
      </w:r>
    </w:p>
    <w:p>
      <w:pPr>
        <w:spacing w:after="60"/>
      </w:pPr>
      <w:r>
        <w:rPr>
          <w:b/>
          <w:i w:val="0"/>
          <w:color w:val="0F6B6D"/>
        </w:rPr>
        <w:t xml:space="preserve">Кнопка Download не является разрешением на повторное размещение. </w:t>
      </w:r>
      <w:r>
        <w:rPr>
          <w:b w:val="0"/>
          <w:i w:val="0"/>
        </w:rPr>
        <w:t>ISAC EPI - образцовый случай: PDF свободно скачивается, но файлы должны распространяться только с сайта ISAC.</w:t>
      </w:r>
    </w:p>
    <w:p>
      <w:pPr>
        <w:spacing w:after="60"/>
      </w:pPr>
      <w:r>
        <w:rPr>
          <w:b/>
          <w:i w:val="0"/>
          <w:color w:val="0F6B6D"/>
        </w:rPr>
        <w:t xml:space="preserve">Общая лицензия проекта не покрывает материалы третьих лиц. </w:t>
      </w:r>
      <w:r>
        <w:rPr>
          <w:b w:val="0"/>
          <w:i w:val="0"/>
        </w:rPr>
        <w:t>ARIo/ORACC и CDLI требуют сохранять provenance и проверять изображения/внешние source editions отдельно.</w:t>
      </w:r>
    </w:p>
    <w:p>
      <w:pPr>
        <w:spacing w:after="60"/>
      </w:pPr>
      <w:r>
        <w:rPr>
          <w:b/>
          <w:i w:val="0"/>
          <w:color w:val="0F6B6D"/>
        </w:rPr>
        <w:t xml:space="preserve">Public Domain Mark - не лицензия. </w:t>
      </w:r>
      <w:r>
        <w:rPr>
          <w:b w:val="0"/>
          <w:i w:val="0"/>
        </w:rPr>
        <w:t>В реестре он записан как rights statement. Для старых томов без item-level отметки PD вывод по дате помечен как inference и не превращён в безусловное международное разрешение.</w:t>
      </w:r>
    </w:p>
    <w:p>
      <w:pPr>
        <w:spacing w:after="60"/>
      </w:pPr>
      <w:r>
        <w:rPr>
          <w:b/>
          <w:i w:val="0"/>
          <w:color w:val="0F6B6D"/>
        </w:rPr>
        <w:t xml:space="preserve">Некоммерческий статус ToS помогает, но не отменяет условий. </w:t>
      </w:r>
      <w:r>
        <w:rPr>
          <w:b w:val="0"/>
          <w:i w:val="0"/>
        </w:rPr>
        <w:t>CC BY-NC-SA Elephantine полезна для ToS, однако требует атрибуции и ShareAlike; бесплатный доступ без лицензии по-прежнему остаётся link-only.</w:t>
      </w:r>
    </w:p>
    <w:p>
      <w:pPr>
        <w:spacing w:after="60"/>
      </w:pPr>
      <w:r>
        <w:rPr>
          <w:b/>
          <w:i w:val="0"/>
          <w:color w:val="0F6B6D"/>
        </w:rPr>
        <w:t xml:space="preserve">OCR, полнотекстовый индекс и embeddings - разные действия. </w:t>
      </w:r>
      <w:r>
        <w:rPr>
          <w:b w:val="0"/>
          <w:i w:val="0"/>
        </w:rPr>
        <w:t>Они разрешены лишь там, где права на конкретный текст/изображение это поддерживают. OCR одной Louvre photograph не означает OCR всего PFA; open metadata не означает open images.</w:t>
      </w:r>
    </w:p>
    <w:p>
      <w:pPr>
        <w:spacing w:after="60"/>
      </w:pPr>
      <w:r>
        <w:rPr>
          <w:b/>
          <w:i w:val="0"/>
          <w:color w:val="0F6B6D"/>
        </w:rPr>
        <w:t xml:space="preserve">Открытый цифровой слой может быть неполным. </w:t>
      </w:r>
      <w:r>
        <w:rPr>
          <w:b w:val="0"/>
          <w:i w:val="0"/>
        </w:rPr>
        <w:t>CDLI Elamite Behistun articles и Elephantine TEI дают чистую основу, но только для опубликованных колонок, параграфов или фрагментов. Нельзя расширять тег на весь корпус.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08"/>
      </w:tblGrid>
      <w:tr>
        <w:trPr>
          <w:cantSplit/>
        </w:trPr>
        <w:tc>
          <w:tcPr>
            <w:tcW w:type="dxa" w:w="9808"/>
            <w:shd w:fill="FBF4E3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60"/>
            </w:pPr>
            <w:r>
              <w:rPr>
                <w:b/>
                <w:i w:val="0"/>
                <w:color w:val="B8913D"/>
                <w:sz w:val="20"/>
              </w:rPr>
              <w:t>Почему RIGHTS_REVIEW_REQUIRED встречается вместе с положительным тегом</w:t>
            </w:r>
          </w:p>
          <w:p>
            <w:pPr>
              <w:spacing w:after="0" w:line="252" w:lineRule="auto"/>
            </w:pPr>
            <w:r>
              <w:rPr>
                <w:b w:val="0"/>
                <w:i w:val="0"/>
                <w:sz w:val="19"/>
              </w:rPr>
              <w:t>Это не противоречие. Положительный тег действует на явно доказанный component и coverage, а RIGHTS_REVIEW_REQUIRED блокирует автоматическое расширение. Например, `MIRROR_WITH_ATTRIBUTION` может относиться к Louvre JSON, тогда как фотографии той же страницы требуют отдельного режима.</w:t>
            </w:r>
          </w:p>
        </w:tc>
      </w:tr>
    </w:tbl>
    <w:p>
      <w:pPr>
        <w:spacing w:after="0"/>
      </w:pPr>
    </w:p>
    <w:p>
      <w:pPr>
        <w:pStyle w:val="Heading1"/>
      </w:pPr>
      <w:r>
        <w:t>6. Пробелы и дальнейший поиск</w:t>
      </w:r>
    </w:p>
    <w:p>
      <w:r>
        <w:t>На листе `gaps` зафиксировано 15 объектов или задач. Это не общие пожелания, а конкретные места, где доказанный корпус шире найденного законного цифрового входа либо права/идентификаторы не позволяют безопасно автоматизировать использование.</w:t>
      </w:r>
    </w:p>
    <w:p>
      <w:pPr>
        <w:pStyle w:val="Heading2"/>
      </w:pPr>
      <w:r>
        <w:t>6.1. Главные пробелы</w:t>
      </w:r>
    </w:p>
    <w:p>
      <w:pPr>
        <w:pStyle w:val="ListBullet"/>
        <w:spacing w:after="40" w:line="252" w:lineRule="auto"/>
      </w:pPr>
      <w:r>
        <w:t>Полная цифровая редакция 300+ позднеэламских акропольных табличек и законный MDP IX.</w:t>
      </w:r>
    </w:p>
    <w:p>
      <w:pPr>
        <w:pStyle w:val="ListBullet"/>
        <w:spacing w:after="40" w:line="252" w:lineRule="auto"/>
      </w:pPr>
      <w:r>
        <w:t>Полный MDP XXXI для Linear Elamite witnesses Пузур-Иншушинака и boundary A07/A08.</w:t>
      </w:r>
    </w:p>
    <w:p>
      <w:pPr>
        <w:pStyle w:val="ListBullet"/>
        <w:spacing w:after="40" w:line="252" w:lineRule="auto"/>
      </w:pPr>
      <w:r>
        <w:t>Консолидированная полная современная Elamite edition Behistun после выпусков 2017, 2020 и 2024.</w:t>
      </w:r>
    </w:p>
    <w:p>
      <w:pPr>
        <w:pStyle w:val="ListBullet"/>
        <w:spacing w:after="40" w:line="252" w:lineRule="auto"/>
      </w:pPr>
      <w:r>
        <w:t>Официальное высокоразрешённое facsimile Behistun с ясным item-level rights statement.</w:t>
      </w:r>
    </w:p>
    <w:p>
      <w:pPr>
        <w:pStyle w:val="ListBullet"/>
        <w:spacing w:after="40" w:line="252" w:lineRule="auto"/>
      </w:pPr>
      <w:r>
        <w:t>Музейные идентификаторы и цифровые карточки Babylonian copies/fragments Behistun из Вавилона.</w:t>
      </w:r>
    </w:p>
    <w:p>
      <w:pPr>
        <w:pStyle w:val="ListBullet"/>
        <w:spacing w:after="40" w:line="252" w:lineRule="auto"/>
      </w:pPr>
      <w:r>
        <w:t>Полные законные цифровые версии Schmitt 1991 и von Voigtlander 1978 либо устойчивый institutional e-book route.</w:t>
      </w:r>
    </w:p>
    <w:p>
      <w:pPr>
        <w:pStyle w:val="ListBullet"/>
        <w:spacing w:after="40" w:line="252" w:lineRule="auto"/>
      </w:pPr>
      <w:r>
        <w:t>Активный item-level endpoint/API проекта DARIOSH.</w:t>
      </w:r>
    </w:p>
    <w:p>
      <w:pPr>
        <w:pStyle w:val="ListBullet"/>
        <w:spacing w:after="40" w:line="252" w:lineRule="auto"/>
      </w:pPr>
      <w:r>
        <w:t>Stable OCHRE PFA item links и component-level license для text, metadata, image и seal records.</w:t>
      </w:r>
    </w:p>
    <w:p>
      <w:pPr>
        <w:pStyle w:val="ListBullet"/>
        <w:spacing w:after="40" w:line="252" w:lineRule="auto"/>
      </w:pPr>
      <w:r>
        <w:t>Полный item-level Aramaic PFA corpus с фотографиями, transcription и правами.</w:t>
      </w:r>
    </w:p>
    <w:p>
      <w:pPr>
        <w:pStyle w:val="ListBullet"/>
        <w:spacing w:after="40" w:line="252" w:lineRule="auto"/>
      </w:pPr>
      <w:r>
        <w:t>Современный digital Treasury corpus beyond Cameron OIP 65.</w:t>
      </w:r>
    </w:p>
    <w:p>
      <w:pPr>
        <w:pStyle w:val="ListBullet"/>
        <w:spacing w:after="40" w:line="252" w:lineRule="auto"/>
      </w:pPr>
      <w:r>
        <w:t>Изображение уникальной Old Persian administrative tablet с отдельно доказанными правами.</w:t>
      </w:r>
    </w:p>
    <w:p>
      <w:pPr>
        <w:pStyle w:val="ListBullet"/>
        <w:spacing w:after="40" w:line="252" w:lineRule="auto"/>
      </w:pPr>
      <w:r>
        <w:t>Широкая item-level карта Middle Elamite royal inscriptions из Суз, связывающая ранний и поздний слои.</w:t>
      </w:r>
    </w:p>
    <w:p>
      <w:pPr>
        <w:pStyle w:val="Heading2"/>
      </w:pPr>
      <w:r>
        <w:t>6.2. Ссылки и сервисы, требующие перепроверки</w:t>
      </w:r>
    </w:p>
    <w:p>
      <w:pPr>
        <w:pStyle w:val="ListBullet"/>
        <w:spacing w:after="40" w:line="252" w:lineRule="auto"/>
      </w:pPr>
      <w:r>
        <w:t>CDLI posting 186: ссылка из исходного DR сохранена, но при проверке страница дала timeout.</w:t>
      </w:r>
    </w:p>
    <w:p>
      <w:pPr>
        <w:pStyle w:val="ListBullet"/>
        <w:spacing w:after="40" w:line="252" w:lineRule="auto"/>
      </w:pPr>
      <w:r>
        <w:t>Hallock, Selected Fortification Texts (1978): legacy Achemenet PDF route записан, но item-level открытие не подтверждено.</w:t>
      </w:r>
    </w:p>
    <w:p>
      <w:pPr>
        <w:pStyle w:val="ListBullet"/>
        <w:spacing w:after="40" w:line="252" w:lineRule="auto"/>
      </w:pPr>
      <w:r>
        <w:t>DARIOSH: официальный project page найден, активный корпус или API не установлен.</w:t>
      </w:r>
    </w:p>
    <w:p>
      <w:pPr>
        <w:pStyle w:val="ListBullet"/>
        <w:spacing w:after="40" w:line="252" w:lineRule="auto"/>
      </w:pPr>
      <w:r>
        <w:t>InscriptiFact: подтверждён как permanently discontinued с 15.08.2022; рабочим путём больше не является.</w:t>
      </w:r>
    </w:p>
    <w:p>
      <w:pPr>
        <w:pStyle w:val="ListBullet"/>
        <w:spacing w:after="40" w:line="252" w:lineRule="auto"/>
      </w:pPr>
      <w:r>
        <w:t>OCHRE: сама среда доступна, но права на конкретные editions/images/data и устойчивые item URLs нужно извлечь на representative sample.</w:t>
      </w:r>
    </w:p>
    <w:p>
      <w:pPr>
        <w:pStyle w:val="Heading2"/>
      </w:pPr>
      <w:r>
        <w:t>6.3. Targeted follow-up</w:t>
      </w:r>
    </w:p>
    <w:p>
      <w:pPr>
        <w:pStyle w:val="ListNumber"/>
        <w:spacing w:after="60" w:line="259" w:lineRule="auto"/>
      </w:pPr>
      <w:r>
        <w:t>Найти MDP IX по полному французскому названию в BnF/Gallica, HathiTrust и университетских оцифровках; построить concordance MDP IX ↔ SB/AS.</w:t>
      </w:r>
    </w:p>
    <w:p>
      <w:pPr>
        <w:pStyle w:val="ListNumber"/>
        <w:spacing w:after="60" w:line="259" w:lineRule="auto"/>
      </w:pPr>
      <w:r>
        <w:t>Собрать полный список Amiri Parian по Behistun и проверить, завершена ли новая Elamite edition после 2024 года.</w:t>
      </w:r>
    </w:p>
    <w:p>
      <w:pPr>
        <w:pStyle w:val="ListNumber"/>
        <w:spacing w:after="60" w:line="259" w:lineRule="auto"/>
      </w:pPr>
      <w:r>
        <w:t>Идентифицировать Babylon copy через excavation/publication numbers и проверить CDLI, British Museum и Vorderasiatisches Museum.</w:t>
      </w:r>
    </w:p>
    <w:p>
      <w:pPr>
        <w:pStyle w:val="ListNumber"/>
        <w:spacing w:after="60" w:line="259" w:lineRule="auto"/>
      </w:pPr>
      <w:r>
        <w:t>Открыть по одному representative OCHRE record для Elamite text, Aramaic document, seal и uninscribed tablet; записать ID, export, credit и rights.</w:t>
      </w:r>
    </w:p>
    <w:p>
      <w:pPr>
        <w:pStyle w:val="ListNumber"/>
        <w:spacing w:after="60" w:line="259" w:lineRule="auto"/>
      </w:pPr>
      <w:r>
        <w:t>Запросить у CII/издателя цифровой institutional route для Schmitt, von Voigtlander и Greenfield–Porten.</w:t>
      </w:r>
    </w:p>
    <w:p>
      <w:pPr>
        <w:pStyle w:val="ListNumber"/>
        <w:spacing w:after="60" w:line="259" w:lineRule="auto"/>
      </w:pPr>
      <w:r>
        <w:t>Отфильтровать CDLI bulk по PF/PF-NN/PT сиглам и проверить, какая доля имеет transcription, image и явный license.</w:t>
      </w:r>
    </w:p>
    <w:p>
      <w:pPr>
        <w:pStyle w:val="ListNumber"/>
        <w:spacing w:after="60" w:line="259" w:lineRule="auto"/>
      </w:pPr>
      <w:r>
        <w:t>Сопоставить ARIo sigla с CDLI/Louvre/ISAC item pages, чтобы разделить открытый text layer и image layer.</w:t>
      </w:r>
    </w:p>
    <w:p>
      <w:pPr>
        <w:pStyle w:val="ListNumber"/>
        <w:spacing w:after="60" w:line="259" w:lineRule="auto"/>
      </w:pPr>
      <w:r>
        <w:t>Продолжить item-level поиск Middle/Neo-Elamite royal inscriptions по museum IDs, а не только по именам царей.</w:t>
      </w:r>
    </w:p>
    <w:p>
      <w:pPr>
        <w:pStyle w:val="SourceNote"/>
      </w:pPr>
      <w:r>
        <w:t>Внепериодные кандидаты не исключены по дате: они оставлены в gaps только там, где не хватило доказательства связи, item-level входа, времени на полный поиск или ясности прав.</w:t>
      </w:r>
    </w:p>
    <w:p>
      <w:pPr>
        <w:pStyle w:val="Heading1"/>
        <w:pageBreakBefore/>
      </w:pPr>
      <w:r>
        <w:t>7. Итоговая оценка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5D1"/>
          <w:left w:val="single" w:sz="4" w:space="0" w:color="B7C5D1"/>
          <w:bottom w:val="single" w:sz="4" w:space="0" w:color="B7C5D1"/>
          <w:right w:val="single" w:sz="4" w:space="0" w:color="B7C5D1"/>
          <w:insideH w:val="single" w:sz="4" w:space="0" w:color="B7C5D1"/>
          <w:insideV w:val="single" w:sz="4" w:space="0" w:color="B7C5D1"/>
        </w:tblBorders>
      </w:tblPr>
      <w:tblGrid>
        <w:gridCol w:w="4904"/>
        <w:gridCol w:w="4904"/>
      </w:tblGrid>
      <w:tr>
        <w:trPr>
          <w:cantSplit/>
        </w:trPr>
        <w:tc>
          <w:tcPr>
            <w:tcW w:type="dxa" w:w="2381"/>
            <w:shd w:fill="E7F2F2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b/>
                <w:i w:val="0"/>
                <w:color w:val="0F6B6D"/>
                <w:sz w:val="18"/>
              </w:rPr>
              <w:t>Покрытие корпуса</w:t>
            </w:r>
          </w:p>
        </w:tc>
        <w:tc>
          <w:tcPr>
            <w:tcW w:type="dxa" w:w="708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Хорошее для ядра: все главные группы DR имеют путь доступа. Неполнота сосредоточена в Neo-Elamite Acropolis corpus, Babylon copies и item-level OCHRE/PTA.</w:t>
            </w:r>
          </w:p>
        </w:tc>
      </w:tr>
      <w:tr>
        <w:trPr>
          <w:cantSplit/>
        </w:trPr>
        <w:tc>
          <w:tcPr>
            <w:tcW w:type="dxa" w:w="2381"/>
            <w:shd w:fill="E7F2F2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b/>
                <w:i w:val="0"/>
                <w:color w:val="0F6B6D"/>
                <w:sz w:val="18"/>
              </w:rPr>
              <w:t>Оригиналы и факсимиле</w:t>
            </w:r>
          </w:p>
        </w:tc>
        <w:tc>
          <w:tcPr>
            <w:tcW w:type="dxa" w:w="7087"/>
            <w:shd w:fill="FAFBFC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Сильны для отдельных Louvre witnesses, Elephantine papyrus и старых plate editions; слабее для целого Behistun cliff monument и массовых архивов.</w:t>
            </w:r>
          </w:p>
        </w:tc>
      </w:tr>
      <w:tr>
        <w:trPr>
          <w:cantSplit/>
        </w:trPr>
        <w:tc>
          <w:tcPr>
            <w:tcW w:type="dxa" w:w="2381"/>
            <w:shd w:fill="E7F2F2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b/>
                <w:i w:val="0"/>
                <w:color w:val="0F6B6D"/>
                <w:sz w:val="18"/>
              </w:rPr>
              <w:t>Переводы и издания</w:t>
            </w:r>
          </w:p>
        </w:tc>
        <w:tc>
          <w:tcPr>
            <w:tcW w:type="dxa" w:w="708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Исторические PD editions доступны широко; лучшие современные критические editions часто защищены и требуют библиотеки/покупки.</w:t>
            </w:r>
          </w:p>
        </w:tc>
      </w:tr>
      <w:tr>
        <w:trPr>
          <w:cantSplit/>
        </w:trPr>
        <w:tc>
          <w:tcPr>
            <w:tcW w:type="dxa" w:w="2381"/>
            <w:shd w:fill="E7F2F2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b/>
                <w:i w:val="0"/>
                <w:color w:val="0F6B6D"/>
                <w:sz w:val="18"/>
              </w:rPr>
              <w:t>Наиболее свободный слой</w:t>
            </w:r>
          </w:p>
        </w:tc>
        <w:tc>
          <w:tcPr>
            <w:tcW w:type="dxa" w:w="7087"/>
            <w:shd w:fill="FAFBFC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CC0 Livius photo; CC BY CDLI articles; CC BY-SA ARIo/SMB; CC BY-NC-SA Elephantine; Etalab Louvre text/JSON; PD historical editions after review.</w:t>
            </w:r>
          </w:p>
        </w:tc>
      </w:tr>
      <w:tr>
        <w:trPr>
          <w:cantSplit/>
        </w:trPr>
        <w:tc>
          <w:tcPr>
            <w:tcW w:type="dxa" w:w="2381"/>
            <w:shd w:fill="E7F2F2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b/>
                <w:i w:val="0"/>
                <w:color w:val="0F6B6D"/>
                <w:sz w:val="18"/>
              </w:rPr>
              <w:t>Главные ограничения</w:t>
            </w:r>
          </w:p>
        </w:tc>
        <w:tc>
          <w:tcPr>
            <w:tcW w:type="dxa" w:w="708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Mixed rights на text/data/images; ISAC link-only PDF distribution; OCHRE rights ambiguity; защищённые CII и Journal Asiatique editions.</w:t>
            </w:r>
          </w:p>
        </w:tc>
      </w:tr>
      <w:tr>
        <w:trPr>
          <w:cantSplit/>
        </w:trPr>
        <w:tc>
          <w:tcPr>
            <w:tcW w:type="dxa" w:w="2381"/>
            <w:shd w:fill="E7F2F2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b/>
                <w:i w:val="0"/>
                <w:color w:val="0F6B6D"/>
                <w:sz w:val="18"/>
              </w:rPr>
              <w:t>Готовность для Codex</w:t>
            </w:r>
          </w:p>
        </w:tc>
        <w:tc>
          <w:tcPr>
            <w:tcW w:type="dxa" w:w="7087"/>
            <w:shd w:fill="FAFBFC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Да. Реестр пригоден как machine-ready research package при сохранении record_id, rights_scope, coverage, verification_status и RIGHTS_REVIEW_REQUIRED.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08"/>
      </w:tblGrid>
      <w:tr>
        <w:trPr>
          <w:cantSplit/>
        </w:trPr>
        <w:tc>
          <w:tcPr>
            <w:tcW w:type="dxa" w:w="9808"/>
            <w:shd w:fill="EAF2F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60"/>
            </w:pPr>
            <w:r>
              <w:rPr>
                <w:b/>
                <w:i w:val="0"/>
                <w:color w:val="17365D"/>
                <w:sz w:val="20"/>
              </w:rPr>
              <w:t>Финальный вердикт</w:t>
            </w:r>
          </w:p>
          <w:p>
            <w:pPr>
              <w:spacing w:after="0" w:line="252" w:lineRule="auto"/>
            </w:pPr>
            <w:r>
              <w:rPr>
                <w:b w:val="0"/>
                <w:i w:val="0"/>
                <w:sz w:val="19"/>
              </w:rPr>
              <w:t>A08 покрыт достаточно полно, чтобы передать пакет Codex для дедупликации и нормализации. Наиболее надёжная архитектура ingest - сочетать свободный текстовый слой ARIo/CDLI/Elephantine, музейные идентификаторы Louvre/SMB, официальные ссылки ISAC/OCHRE и защищённые критические издания как link-only scholarly control. Автоматическое расширение прав за пределы coverage запрещено.</w:t>
            </w:r>
          </w:p>
        </w:tc>
      </w:tr>
    </w:tbl>
    <w:p>
      <w:pPr>
        <w:spacing w:after="0"/>
      </w:pPr>
    </w:p>
    <w:p>
      <w:pPr>
        <w:spacing w:before="240"/>
        <w:jc w:val="center"/>
      </w:pPr>
      <w:r>
        <w:rPr>
          <w:b w:val="0"/>
          <w:i/>
          <w:color w:val="6B7280"/>
          <w:sz w:val="17"/>
        </w:rPr>
        <w:t>Конец отчёта  ·  ToS / A08  ·  03.09.2026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1049" w:bottom="935" w:left="1049" w:header="397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b w:val="0"/>
        <w:i w:val="0"/>
        <w:color w:val="6B7280"/>
        <w:sz w:val="16"/>
      </w:rPr>
      <w:t xml:space="preserve">A08  ·  проверено 03.09.2026  ·  стр.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b/>
        <w:i w:val="0"/>
        <w:color w:val="17365D"/>
        <w:sz w:val="17"/>
      </w:rPr>
      <w:t>ToS Corpus &amp; Rights Registry</w:t>
    </w:r>
    <w:r>
      <w:rPr>
        <w:b/>
        <w:i w:val="0"/>
        <w:color w:val="0F6B6D"/>
        <w:sz w:val="17"/>
      </w:rPr>
      <w:t xml:space="preserve">   |   A08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00" w:line="269" w:lineRule="auto"/>
    </w:pPr>
    <w:rPr>
      <w:rFonts w:ascii="Liberation Sans" w:hAnsi="Liberation Sans" w:eastAsia="Liberation Sans"/>
      <w:color w:val="36454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00"/>
      <w:outlineLvl w:val="1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0F6B6D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100"/>
      <w:outlineLvl w:val="2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17365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 w:eastAsia="Liberation Sans"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Liberation Sans" w:hAnsi="Liberation Sans" w:eastAsia="Liberation Sans"/>
      <w:i/>
      <w:iCs/>
      <w:color w:val="0F6B6D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Liberation Sans" w:hAnsi="Liberation Sans" w:eastAsia="Liberation Sans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Liberation Sans" w:hAnsi="Liberation Sans" w:eastAsia="Liberation Sans"/>
      <w:sz w:val="19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Liberation Sans" w:hAnsi="Liberation Sans" w:eastAsia="Liberation Sans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Note">
    <w:name w:val="Source Note"/>
    <w:pPr>
      <w:spacing w:after="60"/>
    </w:pPr>
    <w:rPr>
      <w:rFonts w:ascii="Liberation Sans" w:hAnsi="Liberation Sans" w:eastAsia="Liberation Sans"/>
      <w:color w:val="6B7280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collections.louvre.fr/ark:/53355/cl010181586" TargetMode="External"/><Relationship Id="rId12" Type="http://schemas.openxmlformats.org/officeDocument/2006/relationships/hyperlink" Target="https://archive.org/details/mmoires11franuoft" TargetMode="External"/><Relationship Id="rId13" Type="http://schemas.openxmlformats.org/officeDocument/2006/relationships/hyperlink" Target="https://collections.louvre.fr/ark:/53355/cl010181586.json" TargetMode="External"/><Relationship Id="rId14" Type="http://schemas.openxmlformats.org/officeDocument/2006/relationships/hyperlink" Target="https://collections.louvre.fr/en/page/cgu" TargetMode="External"/><Relationship Id="rId15" Type="http://schemas.openxmlformats.org/officeDocument/2006/relationships/hyperlink" Target="https://collections.louvre.fr/en/ark:/53355/cl010174448" TargetMode="External"/><Relationship Id="rId16" Type="http://schemas.openxmlformats.org/officeDocument/2006/relationships/hyperlink" Target="https://collections.louvre.fr/en/ark:/53355/cl010174559" TargetMode="External"/><Relationship Id="rId17" Type="http://schemas.openxmlformats.org/officeDocument/2006/relationships/hyperlink" Target="https://archive.org/details/mmoires06franuoft" TargetMode="External"/><Relationship Id="rId18" Type="http://schemas.openxmlformats.org/officeDocument/2006/relationships/hyperlink" Target="https://collections.louvre.fr/ark:/53355/cl010185604" TargetMode="External"/><Relationship Id="rId19" Type="http://schemas.openxmlformats.org/officeDocument/2006/relationships/hyperlink" Target="https://whc.unesco.org/en/list/1222" TargetMode="External"/><Relationship Id="rId20" Type="http://schemas.openxmlformats.org/officeDocument/2006/relationships/hyperlink" Target="https://cdli.earth/articles/cdlb/2017-3" TargetMode="External"/><Relationship Id="rId21" Type="http://schemas.openxmlformats.org/officeDocument/2006/relationships/hyperlink" Target="https://cdli.earth/articles/cdlb/2020-1" TargetMode="External"/><Relationship Id="rId22" Type="http://schemas.openxmlformats.org/officeDocument/2006/relationships/hyperlink" Target="https://cdli.earth/articles/cdlb/2024-3" TargetMode="External"/><Relationship Id="rId23" Type="http://schemas.openxmlformats.org/officeDocument/2006/relationships/hyperlink" Target="https://archive.org/details/sculpturesinscri00brituoft" TargetMode="External"/><Relationship Id="rId24" Type="http://schemas.openxmlformats.org/officeDocument/2006/relationships/hyperlink" Target="https://en.wikisource.org/wiki/The_Sculptures_and_Inscription_of_Darius_the_Great_on_the_Rock_of_Behist%C3%BBn_in_Persia/Annotated/The_Persian_Text" TargetMode="External"/><Relationship Id="rId25" Type="http://schemas.openxmlformats.org/officeDocument/2006/relationships/hyperlink" Target="https://www.livius.org/sources/content/behistun-persian-text/" TargetMode="External"/><Relationship Id="rId26" Type="http://schemas.openxmlformats.org/officeDocument/2006/relationships/hyperlink" Target="https://search.worldcat.org/title/The-Bisitun-inscriptions-of-Darius-the-Great-%3A-old-Persian-text/oclc/34787789" TargetMode="External"/><Relationship Id="rId27" Type="http://schemas.openxmlformats.org/officeDocument/2006/relationships/hyperlink" Target="https://search.worldcat.org/es/title/bisitun-inscription-of-darius-the-great-babylonian-version-by-elizabeth-n-von-voigtlander/oclc/803812201" TargetMode="External"/><Relationship Id="rId28" Type="http://schemas.openxmlformats.org/officeDocument/2006/relationships/hyperlink" Target="https://poj.peeters-leuven.be/content.php?id=2006131&amp;url=article" TargetMode="External"/><Relationship Id="rId29" Type="http://schemas.openxmlformats.org/officeDocument/2006/relationships/hyperlink" Target="https://www.iranicaonline.org/articles/bisotun-iii/" TargetMode="External"/><Relationship Id="rId30" Type="http://schemas.openxmlformats.org/officeDocument/2006/relationships/hyperlink" Target="https://elephantine.smb.museum/objects/object.php?o=306603" TargetMode="External"/><Relationship Id="rId31" Type="http://schemas.openxmlformats.org/officeDocument/2006/relationships/hyperlink" Target="https://p612399.webspaceconfig.de/xml/elephantine_erc_db_306603.tei.xml" TargetMode="External"/><Relationship Id="rId32" Type="http://schemas.openxmlformats.org/officeDocument/2006/relationships/hyperlink" Target="https://search.smb.museum/object/obj-2049838" TargetMode="External"/><Relationship Id="rId33" Type="http://schemas.openxmlformats.org/officeDocument/2006/relationships/hyperlink" Target="https://www.livius.org/pictures/egypt/elephantine/elephantine-aramaic-text-of-the-behistun-inscription/" TargetMode="External"/><Relationship Id="rId34" Type="http://schemas.openxmlformats.org/officeDocument/2006/relationships/hyperlink" Target="https://archive.org/details/aramaicpapyrioff00ahikuoft" TargetMode="External"/><Relationship Id="rId35" Type="http://schemas.openxmlformats.org/officeDocument/2006/relationships/hyperlink" Target="https://www.sudoc.fr/06321203X" TargetMode="External"/><Relationship Id="rId36" Type="http://schemas.openxmlformats.org/officeDocument/2006/relationships/hyperlink" Target="https://oracc.museum.upenn.edu/ario/" TargetMode="External"/><Relationship Id="rId37" Type="http://schemas.openxmlformats.org/officeDocument/2006/relationships/hyperlink" Target="https://oracc.museum.upenn.edu/ario/Q007151" TargetMode="External"/><Relationship Id="rId38" Type="http://schemas.openxmlformats.org/officeDocument/2006/relationships/hyperlink" Target="https://oracc.museum.upenn.edu/ario/Q007223" TargetMode="External"/><Relationship Id="rId39" Type="http://schemas.openxmlformats.org/officeDocument/2006/relationships/hyperlink" Target="https://www.livius.org/sources/content/achaemenid-royal-inscriptions/" TargetMode="External"/><Relationship Id="rId40" Type="http://schemas.openxmlformats.org/officeDocument/2006/relationships/hyperlink" Target="https://cdli.earth/articles/cdln/2017-2" TargetMode="External"/><Relationship Id="rId41" Type="http://schemas.openxmlformats.org/officeDocument/2006/relationships/hyperlink" Target="https://archive.org/details/diekeilinschrift00weis" TargetMode="External"/><Relationship Id="rId42" Type="http://schemas.openxmlformats.org/officeDocument/2006/relationships/hyperlink" Target="https://www.kulturkaufhaus.de/de/detail/ISBN-9783752007169/Schmitt-R%C3%BCdiger/Die-altpersischen-Inschriften-der-Achaimeniden" TargetMode="External"/><Relationship Id="rId43" Type="http://schemas.openxmlformats.org/officeDocument/2006/relationships/hyperlink" Target="https://isac.uchicago.edu/research/publications/oip/oip-68-persepolis-i-structures-reliefs-inscriptions" TargetMode="External"/><Relationship Id="rId44" Type="http://schemas.openxmlformats.org/officeDocument/2006/relationships/hyperlink" Target="https://isac.uchicago.edu/research/projects/persepolis-fortification-archive" TargetMode="External"/><Relationship Id="rId45" Type="http://schemas.openxmlformats.org/officeDocument/2006/relationships/hyperlink" Target="https://voices.uchicago.edu/ochre/project/pfa/" TargetMode="External"/><Relationship Id="rId46" Type="http://schemas.openxmlformats.org/officeDocument/2006/relationships/hyperlink" Target="https://isac.uchicago.edu/research/publications/oip/oip-92-persepolis-fortification-tablets" TargetMode="External"/><Relationship Id="rId47" Type="http://schemas.openxmlformats.org/officeDocument/2006/relationships/hyperlink" Target="https://www.achemenet.com/en/tree/?%2Ftextual-sources%2Ftexts-by-regions%2Ffars%2Fthe-persepolis-fortification-archive=" TargetMode="External"/><Relationship Id="rId48" Type="http://schemas.openxmlformats.org/officeDocument/2006/relationships/hyperlink" Target="https://cdli.earth/artifacts/533154" TargetMode="External"/><Relationship Id="rId49" Type="http://schemas.openxmlformats.org/officeDocument/2006/relationships/hyperlink" Target="https://cdli.earth/docs/api" TargetMode="External"/><Relationship Id="rId50" Type="http://schemas.openxmlformats.org/officeDocument/2006/relationships/hyperlink" Target="https://cdli.earth/postings/201" TargetMode="External"/><Relationship Id="rId51" Type="http://schemas.openxmlformats.org/officeDocument/2006/relationships/hyperlink" Target="https://isac.uchicago.edu/research/publications/oip/seals-persepolis-fortification-tablets-volume-i-images-heroic-encounter" TargetMode="External"/><Relationship Id="rId52" Type="http://schemas.openxmlformats.org/officeDocument/2006/relationships/hyperlink" Target="https://dial.uclouvain.be/pr/boreal/object/boreal%3A84230" TargetMode="External"/><Relationship Id="rId53" Type="http://schemas.openxmlformats.org/officeDocument/2006/relationships/hyperlink" Target="https://isac.uchicago.edu/research/publications/oip/oip-65-persepolis-treasury-tablets" TargetMode="External"/><Relationship Id="rId54" Type="http://schemas.openxmlformats.org/officeDocument/2006/relationships/hyperlink" Target="https://isac.uchicago.edu/research/publications/oip/oip-69-persepolis-ii-contents-treasury-and-other-discoveries" TargetMode="External"/><Relationship Id="rId55" Type="http://schemas.openxmlformats.org/officeDocument/2006/relationships/hyperlink" Target="https://www.iranicaonline.org/articles/persepolis-admin-archive/persepolis-administrative-archives-ii-persepolis-treasury-archive/" TargetMode="External"/><Relationship Id="rId56" Type="http://schemas.openxmlformats.org/officeDocument/2006/relationships/hyperlink" Target="https://isac.uchicago.edu/research/electronic-publications-initiative-institute-study-ancient-cultures" TargetMode="External"/><Relationship Id="rId57" Type="http://schemas.openxmlformats.org/officeDocument/2006/relationships/hyperlink" Target="https://oracc.museum.upenn.edu/doc/help/visitingoracc/reusingoracc/index.html" TargetMode="External"/><Relationship Id="rId58" Type="http://schemas.openxmlformats.org/officeDocument/2006/relationships/hyperlink" Target="https://cdli.earth/terms-of-u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ToS Corpus &amp; Rights Registry — A08</dc:title>
  <dc:subject>Эламский клинописный слой и ахеменидское трёхъязычие</dc:subject>
  <dc:creator>Tree of Sophia (ToS)</dc:creator>
  <cp:keywords>ToS, A08, Elamite, Behistun, Persepolis, corpus, rights</cp:keywords>
  <dc:description>Исследовательский реестр доступа и прав. Не является юридическим заключением.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