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T2-57 • Исландско-древнескандинавская</w:t>
        <w:br/>
        <w:t>рукописная мудрость</w:t>
      </w:r>
    </w:p>
    <w:p>
      <w:pPr>
        <w:pStyle w:val="SmallNote"/>
      </w:pPr>
      <w:r>
        <w:t>Исследовательский пакет • 5 сентября 2026 года</w:t>
      </w:r>
    </w:p>
    <w:p>
      <w:pPr>
        <w:pStyle w:val="Heading1"/>
      </w:pPr>
      <w:r>
        <w:t>1. Паспорт</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shd w:fill="17364A"/>
          </w:tcPr>
          <w:p>
            <w:pPr>
              <w:widowControl/>
            </w:pPr>
            <w:r>
              <w:rPr>
                <w:rFonts w:ascii="DejaVu Sans" w:hAnsi="DejaVu Sans"/>
                <w:b/>
                <w:color w:val="FFFFFF"/>
                <w:sz w:val="18"/>
              </w:rPr>
              <w:t>Поле</w:t>
            </w:r>
          </w:p>
        </w:tc>
        <w:tc>
          <w:tcPr>
            <w:tcW w:type="dxa" w:w="7370"/>
            <w:shd w:fill="17364A"/>
          </w:tcPr>
          <w:p>
            <w:pPr>
              <w:widowControl/>
            </w:pPr>
            <w:r>
              <w:rPr>
                <w:rFonts w:ascii="DejaVu Sans" w:hAnsi="DejaVu Sans"/>
                <w:b/>
                <w:color w:val="FFFFFF"/>
                <w:sz w:val="18"/>
              </w:rPr>
              <w:t>Значение</w:t>
            </w:r>
          </w:p>
        </w:tc>
      </w:tr>
      <w:tr>
        <w:trPr>
          <w:cantSplit/>
        </w:trPr>
        <w:tc>
          <w:tcPr>
            <w:tcW w:type="dxa" w:w="2268"/>
            <w:vAlign w:val="top"/>
            <w:shd w:fill="F1F5F7"/>
          </w:tcPr>
          <w:p>
            <w:pPr>
              <w:widowControl/>
              <w:spacing w:after="80" w:before="80" w:line="240" w:lineRule="auto"/>
            </w:pPr>
            <w:r>
              <w:rPr>
                <w:rFonts w:ascii="DejaVu Sans" w:hAnsi="DejaVu Sans"/>
                <w:sz w:val="18"/>
              </w:rPr>
              <w:t>Строка и статус</w:t>
            </w:r>
          </w:p>
        </w:tc>
        <w:tc>
          <w:tcPr>
            <w:tcW w:type="dxa" w:w="7370"/>
            <w:vAlign w:val="top"/>
            <w:shd w:fill="F1F5F7"/>
          </w:tcPr>
          <w:p>
            <w:pPr>
              <w:widowControl/>
              <w:spacing w:after="80" w:before="80" w:line="240" w:lineRule="auto"/>
            </w:pPr>
            <w:r>
              <w:rPr>
                <w:rFonts w:ascii="DejaVu Sans" w:hAnsi="DejaVu Sans"/>
                <w:sz w:val="18"/>
              </w:rPr>
              <w:t>Таблица II, T2-57; B, уверенность 4/5.</w:t>
            </w:r>
          </w:p>
        </w:tc>
      </w:tr>
      <w:tr>
        <w:trPr>
          <w:cantSplit/>
        </w:trPr>
        <w:tc>
          <w:tcPr>
            <w:tcW w:type="dxa" w:w="2268"/>
            <w:vAlign w:val="top"/>
          </w:tcPr>
          <w:p>
            <w:pPr>
              <w:widowControl/>
              <w:spacing w:after="80" w:before="80" w:line="240" w:lineRule="auto"/>
            </w:pPr>
            <w:r>
              <w:rPr>
                <w:rFonts w:ascii="DejaVu Sans" w:hAnsi="DejaVu Sans"/>
                <w:sz w:val="18"/>
              </w:rPr>
              <w:t>Исторические границы</w:t>
            </w:r>
          </w:p>
        </w:tc>
        <w:tc>
          <w:tcPr>
            <w:tcW w:type="dxa" w:w="7370"/>
            <w:vAlign w:val="top"/>
          </w:tcPr>
          <w:p>
            <w:pPr>
              <w:widowControl/>
              <w:spacing w:after="80" w:before="80" w:line="240" w:lineRule="auto"/>
            </w:pPr>
            <w:r>
              <w:rPr>
                <w:rFonts w:ascii="DejaVu Sans" w:hAnsi="DejaVu Sans"/>
                <w:sz w:val="18"/>
              </w:rPr>
              <w:t>Формирование X–XIII вв.; письменная фиксация XII–XIV вв.; компиляция и стабилизация XIII–XV вв.</w:t>
            </w:r>
          </w:p>
        </w:tc>
      </w:tr>
      <w:tr>
        <w:trPr>
          <w:cantSplit/>
        </w:trPr>
        <w:tc>
          <w:tcPr>
            <w:tcW w:type="dxa" w:w="2268"/>
            <w:vAlign w:val="top"/>
            <w:shd w:fill="F1F5F7"/>
          </w:tcPr>
          <w:p>
            <w:pPr>
              <w:widowControl/>
              <w:spacing w:after="80" w:before="80" w:line="240" w:lineRule="auto"/>
            </w:pPr>
            <w:r>
              <w:rPr>
                <w:rFonts w:ascii="DejaVu Sans" w:hAnsi="DejaVu Sans"/>
                <w:sz w:val="18"/>
              </w:rPr>
              <w:t>Исходный документ</w:t>
            </w:r>
          </w:p>
        </w:tc>
        <w:tc>
          <w:tcPr>
            <w:tcW w:type="dxa" w:w="7370"/>
            <w:vAlign w:val="top"/>
            <w:shd w:fill="F1F5F7"/>
          </w:tcPr>
          <w:p>
            <w:pPr>
              <w:widowControl/>
              <w:spacing w:after="80" w:before="80" w:line="240" w:lineRule="auto"/>
            </w:pPr>
            <w:r>
              <w:rPr>
                <w:rFonts w:ascii="DejaVu Sans" w:hAnsi="DejaVu Sans"/>
                <w:sz w:val="18"/>
              </w:rPr>
              <w:t>ToS Deep Research_ T2-57 — Исландско-древнескандинавская рукописная мудрость(1).docx.</w:t>
            </w:r>
          </w:p>
        </w:tc>
      </w:tr>
      <w:tr>
        <w:trPr>
          <w:cantSplit/>
        </w:trPr>
        <w:tc>
          <w:tcPr>
            <w:tcW w:type="dxa" w:w="2268"/>
            <w:vAlign w:val="top"/>
          </w:tcPr>
          <w:p>
            <w:pPr>
              <w:widowControl/>
              <w:spacing w:after="80" w:before="80" w:line="240" w:lineRule="auto"/>
            </w:pPr>
            <w:r>
              <w:rPr>
                <w:rFonts w:ascii="DejaVu Sans" w:hAnsi="DejaVu Sans"/>
                <w:sz w:val="18"/>
              </w:rPr>
              <w:t>Дата проверки</w:t>
            </w:r>
          </w:p>
        </w:tc>
        <w:tc>
          <w:tcPr>
            <w:tcW w:type="dxa" w:w="7370"/>
            <w:vAlign w:val="top"/>
          </w:tcPr>
          <w:p>
            <w:pPr>
              <w:widowControl/>
              <w:spacing w:after="80" w:before="80" w:line="240" w:lineRule="auto"/>
            </w:pPr>
            <w:r>
              <w:rPr>
                <w:rFonts w:ascii="DejaVu Sans" w:hAnsi="DejaVu Sans"/>
                <w:sz w:val="18"/>
              </w:rPr>
              <w:t>2026-09-05. Это дата проверки доступов, не дата возникновения произведений.</w:t>
            </w:r>
          </w:p>
        </w:tc>
      </w:tr>
      <w:tr>
        <w:trPr>
          <w:cantSplit/>
        </w:trPr>
        <w:tc>
          <w:tcPr>
            <w:tcW w:type="dxa" w:w="2268"/>
            <w:vAlign w:val="top"/>
            <w:shd w:fill="F1F5F7"/>
          </w:tcPr>
          <w:p>
            <w:pPr>
              <w:widowControl/>
              <w:spacing w:after="80" w:before="80" w:line="240" w:lineRule="auto"/>
            </w:pPr>
            <w:r>
              <w:rPr>
                <w:rFonts w:ascii="DejaVu Sans" w:hAnsi="DejaVu Sans"/>
                <w:sz w:val="18"/>
              </w:rPr>
              <w:t>Объём пакета</w:t>
            </w:r>
          </w:p>
        </w:tc>
        <w:tc>
          <w:tcPr>
            <w:tcW w:type="dxa" w:w="7370"/>
            <w:vAlign w:val="top"/>
            <w:shd w:fill="F1F5F7"/>
          </w:tcPr>
          <w:p>
            <w:pPr>
              <w:widowControl/>
              <w:spacing w:after="80" w:before="80" w:line="240" w:lineRule="auto"/>
            </w:pPr>
            <w:r>
              <w:rPr>
                <w:rFonts w:ascii="DejaVu Sans" w:hAnsi="DejaVu Sans"/>
                <w:sz w:val="18"/>
              </w:rPr>
              <w:t>85 маршрутов в registry; 26 записей gaps. Не менее 50 поимённо идентифицированных первичных произведений; число всех текстов внутри больших корпусов не подсчитывалось.</w:t>
            </w:r>
          </w:p>
        </w:tc>
      </w:tr>
      <w:tr>
        <w:trPr>
          <w:cantSplit/>
        </w:trPr>
        <w:tc>
          <w:tcPr>
            <w:tcW w:type="dxa" w:w="2268"/>
            <w:vAlign w:val="top"/>
          </w:tcPr>
          <w:p>
            <w:pPr>
              <w:widowControl/>
              <w:spacing w:after="80" w:before="80" w:line="240" w:lineRule="auto"/>
            </w:pPr>
            <w:r>
              <w:rPr>
                <w:rFonts w:ascii="DejaVu Sans" w:hAnsi="DejaVu Sans"/>
                <w:sz w:val="18"/>
              </w:rPr>
              <w:t>Языки поиска и чтения</w:t>
            </w:r>
          </w:p>
        </w:tc>
        <w:tc>
          <w:tcPr>
            <w:tcW w:type="dxa" w:w="7370"/>
            <w:vAlign w:val="top"/>
          </w:tcPr>
          <w:p>
            <w:pPr>
              <w:widowControl/>
              <w:spacing w:after="80" w:before="80" w:line="240" w:lineRule="auto"/>
            </w:pPr>
            <w:r>
              <w:rPr>
                <w:rFonts w:ascii="DejaVu Sans" w:hAnsi="DejaVu Sans"/>
                <w:sz w:val="18"/>
              </w:rPr>
              <w:t>Основные: русский, английский, древнескандинавские/исландские названия, латынь, немецкий. Дополнительно читались нидерландские и шведские институциональные записи.</w:t>
            </w:r>
          </w:p>
        </w:tc>
      </w:tr>
    </w:tbl>
    <w:p>
      <w:pPr>
        <w:spacing w:after="0"/>
      </w:pPr>
    </w:p>
    <w:p>
      <w:r>
        <w:rPr>
          <w:b/>
        </w:rPr>
        <w:t>Ядро</w:t>
      </w:r>
      <w:r>
        <w:t xml:space="preserve"> взято из исходного DR: эддическая мудростная и космологическая поэзия, Snorra Edda и грамматические трактаты, саговая нормативность и память, латинско-христианская переводная книжность. Веб-исследование расширяет именно эти линии, а не превращает T2-57 в общую историю Скандинавии.</w:t>
      </w:r>
    </w:p>
    <w:p>
      <w:r>
        <w:t>Искались произведения и сборники, рукописные свидетели, старые и современные издания, переводы, факсимиле, машиночитаемые тексты и сервисы. Для доступа использованы издатели, университетские и национальные коллекции, специализированные проекты, Project Gutenberg, институциональные сканы Internet Archive, HathiTrust и Google Books/Play. Для идентификации приоритетны издательские карточки, каталоги и сами издания; для прав — отдельные лицензии и применимые условия.</w:t>
      </w:r>
    </w:p>
    <w:p>
      <w:r>
        <w:rPr>
          <w:b/>
        </w:rPr>
        <w:t>Как читать пакет.</w:t>
      </w:r>
      <w:r>
        <w:t xml:space="preserve"> </w:t>
      </w:r>
      <w:hyperlink r:id="rId11">
        <w:r>
          <w:rPr>
            <w:color w:val="23637B"/>
            <w:u w:val="single"/>
          </w:rPr>
          <w:t>[R001]</w:t>
        </w:r>
      </w:hyperlink>
      <w:r>
        <w:t xml:space="preserve"> означает T2-57-R001 в XLSX и ведёт к странице доступа; </w:t>
      </w:r>
      <w:hyperlink r:id="rId12">
        <w:r>
          <w:rPr>
            <w:color w:val="23637B"/>
            <w:u w:val="single"/>
          </w:rPr>
          <w:t>[S1]</w:t>
        </w:r>
      </w:hyperlink>
      <w:r>
        <w:t xml:space="preserve"> — к дополнительному официальному доказательству. Поле verification_status отличает открытый текст от подтверждённой карточки, объявления и неоткрывшегося читателя. Поле rights_confidence оценивает правовой вывод, а не качество текста: высокая уверенность может означать уверенно установленное ограничение.</w:t>
      </w:r>
    </w:p>
    <w:p>
      <w:pPr>
        <w:pStyle w:val="SmallNote"/>
      </w:pPr>
      <w:r>
        <w:t>Wikipedia не используется как итоговый источник. Не подтверждённые сильной страницей кандидаты, в том числе AM 748 I a 4to, Hólar Cato и OICEN, оставлены в gaps, а не превращены в установленные цифровые объекты.</w:t>
      </w:r>
    </w:p>
    <w:p>
      <w:r>
        <w:br w:type="page"/>
      </w:r>
    </w:p>
    <w:p>
      <w:pPr>
        <w:pStyle w:val="Heading1"/>
      </w:pPr>
      <w:r>
        <w:t>2. Охват корпуса</w:t>
      </w:r>
    </w:p>
    <w:p>
      <w:pPr>
        <w:pStyle w:val="Heading2"/>
      </w:pPr>
      <w:r>
        <w:t>Ядро исходного DR и его цифровые слои</w:t>
      </w:r>
    </w:p>
    <w:p>
      <w:r>
        <w:rPr>
          <w:b/>
        </w:rPr>
        <w:t>Эддическая поэзия.</w:t>
      </w:r>
      <w:r>
        <w:t xml:space="preserve"> Удержаны Hávamál, Vafþrúðnismál, Völuspá, Grímnismál, Alvíssmál и героический цикл, включая Sigrdrífumál. Они доступны внутри полного научного издания, а не раздуты в отдельные записи для каждой главы. Добавлены корпусные родственники Rígsþula, Hyndluljóð, Baldrs draumar, Svipdagsmál и альтернативный текст Völuspá из Hauksbók. 36 текстовых единиц у Pettit — редакционный состав книги, не 36 новых независимых находок. </w:t>
      </w:r>
      <w:hyperlink r:id="rId11">
        <w:r>
          <w:rPr>
            <w:color w:val="23637B"/>
            <w:u w:val="single"/>
          </w:rPr>
          <w:t>[R001]</w:t>
        </w:r>
      </w:hyperlink>
      <w:r>
        <w:t xml:space="preserve"> </w:t>
      </w:r>
      <w:hyperlink r:id="rId13">
        <w:r>
          <w:rPr>
            <w:color w:val="23637B"/>
            <w:u w:val="single"/>
          </w:rPr>
          <w:t>[R003]</w:t>
        </w:r>
      </w:hyperlink>
      <w:r>
        <w:t xml:space="preserve"> </w:t>
      </w:r>
      <w:hyperlink r:id="rId14">
        <w:r>
          <w:rPr>
            <w:color w:val="23637B"/>
            <w:u w:val="single"/>
          </w:rPr>
          <w:t>[R081]</w:t>
        </w:r>
      </w:hyperlink>
    </w:p>
    <w:p>
      <w:r>
        <w:rPr>
          <w:b/>
        </w:rPr>
        <w:t>Поэтика и грамматика.</w:t>
      </w:r>
      <w:r>
        <w:t xml:space="preserve"> Пролог и Gylfaginning, Skáldskaparmál и Háttatal разведены по конкретным изданиям. Отдельно удержаны рукописные ветви GKS 2367, Wormianus, Uppsala и поздний Trajectinus; Первый–Четвёртый грамматические трактаты не сведены к одному Первому. Современный SkP III добавляет поэтические примеры и технические тексты, в том числе Háttalykill и Málsháttakvæði. </w:t>
      </w:r>
      <w:hyperlink r:id="rId15">
        <w:r>
          <w:rPr>
            <w:color w:val="23637B"/>
            <w:u w:val="single"/>
          </w:rPr>
          <w:t>[R024]</w:t>
        </w:r>
      </w:hyperlink>
      <w:r>
        <w:t xml:space="preserve"> </w:t>
      </w:r>
      <w:hyperlink r:id="rId16">
        <w:r>
          <w:rPr>
            <w:color w:val="23637B"/>
            <w:u w:val="single"/>
          </w:rPr>
          <w:t>[R025]</w:t>
        </w:r>
      </w:hyperlink>
      <w:r>
        <w:t xml:space="preserve"> </w:t>
      </w:r>
      <w:hyperlink r:id="rId17">
        <w:r>
          <w:rPr>
            <w:color w:val="23637B"/>
            <w:u w:val="single"/>
          </w:rPr>
          <w:t>[R026]</w:t>
        </w:r>
      </w:hyperlink>
      <w:r>
        <w:t xml:space="preserve"> </w:t>
      </w:r>
      <w:hyperlink r:id="rId18">
        <w:r>
          <w:rPr>
            <w:color w:val="23637B"/>
            <w:u w:val="single"/>
          </w:rPr>
          <w:t>[R027]</w:t>
        </w:r>
      </w:hyperlink>
      <w:r>
        <w:t xml:space="preserve"> </w:t>
      </w:r>
      <w:hyperlink r:id="rId19">
        <w:r>
          <w:rPr>
            <w:color w:val="23637B"/>
            <w:u w:val="single"/>
          </w:rPr>
          <w:t>[R043]</w:t>
        </w:r>
      </w:hyperlink>
      <w:r>
        <w:t xml:space="preserve"> </w:t>
      </w:r>
      <w:hyperlink r:id="rId20">
        <w:r>
          <w:rPr>
            <w:color w:val="23637B"/>
            <w:u w:val="single"/>
          </w:rPr>
          <w:t>[R047]</w:t>
        </w:r>
      </w:hyperlink>
      <w:r>
        <w:t xml:space="preserve"> </w:t>
      </w:r>
      <w:hyperlink r:id="rId21">
        <w:r>
          <w:rPr>
            <w:color w:val="23637B"/>
            <w:u w:val="single"/>
          </w:rPr>
          <w:t>[R048]</w:t>
        </w:r>
      </w:hyperlink>
      <w:r>
        <w:t xml:space="preserve"> </w:t>
      </w:r>
      <w:hyperlink r:id="rId22">
        <w:r>
          <w:rPr>
            <w:color w:val="23637B"/>
            <w:u w:val="single"/>
          </w:rPr>
          <w:t>[R066]</w:t>
        </w:r>
      </w:hyperlink>
      <w:r>
        <w:t xml:space="preserve"> </w:t>
      </w:r>
      <w:hyperlink r:id="rId23">
        <w:r>
          <w:rPr>
            <w:color w:val="23637B"/>
            <w:u w:val="single"/>
          </w:rPr>
          <w:t>[R080]</w:t>
        </w:r>
      </w:hyperlink>
    </w:p>
    <w:p>
      <w:r>
        <w:rPr>
          <w:b/>
        </w:rPr>
        <w:t>Саги.</w:t>
      </w:r>
      <w:r>
        <w:t xml:space="preserve"> Из трёх seeds — Njála, Egils saga, Laxdæla — поиск расширен на все 11 саг Möðruvallabók. Для восьми остальных включены отдельные читательские тексты: Bandamanna, Droplaugarsona, Finnboga, Fóstbræðra, Hallfreðar, Kormáks, Ölkofra и Víga-Glúms. Пакет SagaDB и рукописное издание Menota учитываются отдельно от произведений. Добавлены легендарные и «саги об изгнанниках», когда они продолжали конкретную героическую или социально-нормативную линию. </w:t>
      </w:r>
      <w:hyperlink r:id="rId24">
        <w:r>
          <w:rPr>
            <w:color w:val="23637B"/>
            <w:u w:val="single"/>
          </w:rPr>
          <w:t>[R006]</w:t>
        </w:r>
      </w:hyperlink>
      <w:r>
        <w:t xml:space="preserve"> </w:t>
      </w:r>
      <w:hyperlink r:id="rId25">
        <w:r>
          <w:rPr>
            <w:color w:val="23637B"/>
            <w:u w:val="single"/>
          </w:rPr>
          <w:t>[R016]</w:t>
        </w:r>
      </w:hyperlink>
      <w:r>
        <w:t xml:space="preserve"> </w:t>
      </w:r>
      <w:hyperlink r:id="rId26">
        <w:r>
          <w:rPr>
            <w:color w:val="23637B"/>
            <w:u w:val="single"/>
          </w:rPr>
          <w:t>[R021]</w:t>
        </w:r>
      </w:hyperlink>
      <w:r>
        <w:t xml:space="preserve"> </w:t>
      </w:r>
      <w:hyperlink r:id="rId27">
        <w:r>
          <w:rPr>
            <w:color w:val="23637B"/>
            <w:u w:val="single"/>
          </w:rPr>
          <w:t>[R037]</w:t>
        </w:r>
      </w:hyperlink>
      <w:r>
        <w:t xml:space="preserve"> </w:t>
      </w:r>
      <w:hyperlink r:id="rId28">
        <w:r>
          <w:rPr>
            <w:color w:val="23637B"/>
            <w:u w:val="single"/>
          </w:rPr>
          <w:t>[R042]</w:t>
        </w:r>
      </w:hyperlink>
      <w:r>
        <w:t xml:space="preserve"> </w:t>
      </w:r>
      <w:hyperlink r:id="rId29">
        <w:r>
          <w:rPr>
            <w:color w:val="23637B"/>
            <w:u w:val="single"/>
          </w:rPr>
          <w:t>[R059]</w:t>
        </w:r>
      </w:hyperlink>
    </w:p>
    <w:p>
      <w:r>
        <w:rPr>
          <w:b/>
        </w:rPr>
        <w:t>Латинско-христианское ядро.</w:t>
      </w:r>
      <w:r>
        <w:t xml:space="preserve"> AM 677 исследован как сборник переводных текстов, а не как иллюстрация абстрактного «христианского влияния». Издательская карточка выявила дополнительно De duodecim abusivis saeculi. Для Проспера уточнён эпиграмматический источник; входящие оригиналы и их поздние издания сохранены отдельно от древнескандинавских переводов. </w:t>
      </w:r>
      <w:hyperlink r:id="rId30">
        <w:r>
          <w:rPr>
            <w:color w:val="23637B"/>
            <w:u w:val="single"/>
          </w:rPr>
          <w:t>[R044]</w:t>
        </w:r>
      </w:hyperlink>
      <w:r>
        <w:t xml:space="preserve"> </w:t>
      </w:r>
      <w:hyperlink r:id="rId31">
        <w:r>
          <w:rPr>
            <w:color w:val="23637B"/>
            <w:u w:val="single"/>
          </w:rPr>
          <w:t>[R045]</w:t>
        </w:r>
      </w:hyperlink>
      <w:r>
        <w:t xml:space="preserve"> </w:t>
      </w:r>
      <w:hyperlink r:id="rId32">
        <w:r>
          <w:rPr>
            <w:color w:val="23637B"/>
            <w:u w:val="single"/>
          </w:rPr>
          <w:t>[R075]</w:t>
        </w:r>
      </w:hyperlink>
      <w:r>
        <w:t xml:space="preserve"> </w:t>
      </w:r>
      <w:hyperlink r:id="rId33">
        <w:r>
          <w:rPr>
            <w:color w:val="23637B"/>
            <w:u w:val="single"/>
          </w:rPr>
          <w:t>[R077]</w:t>
        </w:r>
      </w:hyperlink>
      <w:r>
        <w:t xml:space="preserve"> </w:t>
      </w:r>
      <w:hyperlink r:id="rId31">
        <w:r>
          <w:rPr>
            <w:color w:val="23637B"/>
            <w:u w:val="single"/>
          </w:rPr>
          <w:t>[S7]</w:t>
        </w:r>
      </w:hyperlink>
    </w:p>
    <w:p>
      <w:pPr>
        <w:pStyle w:val="Heading2"/>
      </w:pPr>
      <w:r>
        <w:t>Что означают категории релевантности</w:t>
      </w:r>
    </w:p>
    <w:tbl>
      <w:tblPr>
        <w:tblW w:type="auto" w:w="0"/>
        <w:jc w:val="center"/>
        <w:tblLayout w:type="fixed"/>
        <w:tblLook w:firstColumn="1" w:firstRow="1" w:lastColumn="0" w:lastRow="0" w:noHBand="0" w:noVBand="1" w:val="04A0"/>
      </w:tblPr>
      <w:tblGrid>
        <w:gridCol w:w="3118"/>
        <w:gridCol w:w="6520"/>
      </w:tblGrid>
      <w:tr>
        <w:trPr>
          <w:tblHeader/>
        </w:trPr>
        <w:tc>
          <w:tcPr>
            <w:tcW w:type="dxa" w:w="3118"/>
            <w:shd w:fill="17364A"/>
          </w:tcPr>
          <w:p>
            <w:pPr>
              <w:widowControl/>
            </w:pPr>
            <w:r>
              <w:rPr>
                <w:rFonts w:ascii="DejaVu Sans" w:hAnsi="DejaVu Sans"/>
                <w:b/>
                <w:color w:val="FFFFFF"/>
                <w:sz w:val="18"/>
              </w:rPr>
              <w:t>Категория</w:t>
            </w:r>
          </w:p>
        </w:tc>
        <w:tc>
          <w:tcPr>
            <w:tcW w:type="dxa" w:w="6520"/>
            <w:shd w:fill="17364A"/>
          </w:tcPr>
          <w:p>
            <w:pPr>
              <w:widowControl/>
            </w:pPr>
            <w:r>
              <w:rPr>
                <w:rFonts w:ascii="DejaVu Sans" w:hAnsi="DejaVu Sans"/>
                <w:b/>
                <w:color w:val="FFFFFF"/>
                <w:sz w:val="18"/>
              </w:rPr>
              <w:t>Применение в пакете</w:t>
            </w:r>
          </w:p>
        </w:tc>
      </w:tr>
      <w:tr>
        <w:trPr>
          <w:cantSplit/>
        </w:trPr>
        <w:tc>
          <w:tcPr>
            <w:tcW w:type="dxa" w:w="3118"/>
            <w:vAlign w:val="top"/>
            <w:shd w:fill="F1F5F7"/>
          </w:tcPr>
          <w:p>
            <w:pPr>
              <w:widowControl/>
              <w:spacing w:after="80" w:before="80" w:line="240" w:lineRule="auto"/>
            </w:pPr>
            <w:r>
              <w:rPr>
                <w:rFonts w:ascii="DejaVu Sans" w:hAnsi="DejaVu Sans"/>
                <w:sz w:val="18"/>
              </w:rPr>
              <w:t>core</w:t>
            </w:r>
          </w:p>
        </w:tc>
        <w:tc>
          <w:tcPr>
            <w:tcW w:type="dxa" w:w="6520"/>
            <w:vAlign w:val="top"/>
            <w:shd w:fill="F1F5F7"/>
          </w:tcPr>
          <w:p>
            <w:pPr>
              <w:widowControl/>
              <w:spacing w:after="80" w:before="80" w:line="240" w:lineRule="auto"/>
            </w:pPr>
            <w:r>
              <w:rPr>
                <w:rFonts w:ascii="DejaVu Sans" w:hAnsi="DejaVu Sans"/>
                <w:sz w:val="18"/>
              </w:rPr>
              <w:t>Эдды, ключевые саги и рукописи, грамматика, AM 677; 32 маршрута.</w:t>
            </w:r>
          </w:p>
        </w:tc>
      </w:tr>
      <w:tr>
        <w:trPr>
          <w:cantSplit/>
        </w:trPr>
        <w:tc>
          <w:tcPr>
            <w:tcW w:type="dxa" w:w="3118"/>
            <w:vAlign w:val="top"/>
          </w:tcPr>
          <w:p>
            <w:pPr>
              <w:widowControl/>
              <w:spacing w:after="80" w:before="80" w:line="240" w:lineRule="auto"/>
            </w:pPr>
            <w:r>
              <w:rPr>
                <w:rFonts w:ascii="DejaVu Sans" w:hAnsi="DejaVu Sans"/>
                <w:sz w:val="18"/>
              </w:rPr>
              <w:t>same_corpus_or_tradition</w:t>
            </w:r>
          </w:p>
        </w:tc>
        <w:tc>
          <w:tcPr>
            <w:tcW w:type="dxa" w:w="6520"/>
            <w:vAlign w:val="top"/>
          </w:tcPr>
          <w:p>
            <w:pPr>
              <w:widowControl/>
              <w:spacing w:after="80" w:before="80" w:line="240" w:lineRule="auto"/>
            </w:pPr>
            <w:r>
              <w:rPr>
                <w:rFonts w:ascii="DejaVu Sans" w:hAnsi="DejaVu Sans"/>
                <w:sz w:val="18"/>
              </w:rPr>
              <w:t>Остальные саги Möðruvallabók, Hugsvinnsmál, Sólarljóð, родственная поэзия, Konungs skuggsjá; 20 маршрутов.</w:t>
            </w:r>
          </w:p>
        </w:tc>
      </w:tr>
      <w:tr>
        <w:trPr>
          <w:cantSplit/>
        </w:trPr>
        <w:tc>
          <w:tcPr>
            <w:tcW w:type="dxa" w:w="3118"/>
            <w:vAlign w:val="top"/>
            <w:shd w:fill="F1F5F7"/>
          </w:tcPr>
          <w:p>
            <w:pPr>
              <w:widowControl/>
              <w:spacing w:after="80" w:before="80" w:line="240" w:lineRule="auto"/>
            </w:pPr>
            <w:r>
              <w:rPr>
                <w:rFonts w:ascii="DejaVu Sans" w:hAnsi="DejaVu Sans"/>
                <w:sz w:val="18"/>
              </w:rPr>
              <w:t>antecedent</w:t>
            </w:r>
          </w:p>
        </w:tc>
        <w:tc>
          <w:tcPr>
            <w:tcW w:type="dxa" w:w="6520"/>
            <w:vAlign w:val="top"/>
            <w:shd w:fill="F1F5F7"/>
          </w:tcPr>
          <w:p>
            <w:pPr>
              <w:widowControl/>
              <w:spacing w:after="80" w:before="80" w:line="240" w:lineRule="auto"/>
            </w:pPr>
            <w:r>
              <w:rPr>
                <w:rFonts w:ascii="DejaVu Sans" w:hAnsi="DejaVu Sans"/>
                <w:sz w:val="18"/>
              </w:rPr>
              <w:t>Disticha Catonis, Проспер, Григорий, De XII abusivis; 7 маршрутов.</w:t>
            </w:r>
          </w:p>
        </w:tc>
      </w:tr>
      <w:tr>
        <w:trPr>
          <w:cantSplit/>
        </w:trPr>
        <w:tc>
          <w:tcPr>
            <w:tcW w:type="dxa" w:w="3118"/>
            <w:vAlign w:val="top"/>
          </w:tcPr>
          <w:p>
            <w:pPr>
              <w:widowControl/>
              <w:spacing w:after="80" w:before="80" w:line="240" w:lineRule="auto"/>
            </w:pPr>
            <w:r>
              <w:rPr>
                <w:rFonts w:ascii="DejaVu Sans" w:hAnsi="DejaVu Sans"/>
                <w:sz w:val="18"/>
              </w:rPr>
              <w:t>continuation / commentary_or_reception</w:t>
            </w:r>
          </w:p>
        </w:tc>
        <w:tc>
          <w:tcPr>
            <w:tcW w:type="dxa" w:w="6520"/>
            <w:vAlign w:val="top"/>
          </w:tcPr>
          <w:p>
            <w:pPr>
              <w:widowControl/>
              <w:spacing w:after="80" w:before="80" w:line="240" w:lineRule="auto"/>
            </w:pPr>
            <w:r>
              <w:rPr>
                <w:rFonts w:ascii="DejaVu Sans" w:hAnsi="DejaVu Sans"/>
                <w:sz w:val="18"/>
              </w:rPr>
              <w:t>Rímur и Hrafnagaldur Óðins; соответственно 2 и 1 маршрута.</w:t>
            </w:r>
          </w:p>
        </w:tc>
      </w:tr>
      <w:tr>
        <w:trPr>
          <w:cantSplit/>
        </w:trPr>
        <w:tc>
          <w:tcPr>
            <w:tcW w:type="dxa" w:w="3118"/>
            <w:vAlign w:val="top"/>
            <w:shd w:fill="F1F5F7"/>
          </w:tcPr>
          <w:p>
            <w:pPr>
              <w:widowControl/>
              <w:spacing w:after="80" w:before="80" w:line="240" w:lineRule="auto"/>
            </w:pPr>
            <w:r>
              <w:rPr>
                <w:rFonts w:ascii="DejaVu Sans" w:hAnsi="DejaVu Sans"/>
                <w:sz w:val="18"/>
              </w:rPr>
              <w:t>transmission_or_preservation</w:t>
            </w:r>
          </w:p>
        </w:tc>
        <w:tc>
          <w:tcPr>
            <w:tcW w:type="dxa" w:w="6520"/>
            <w:vAlign w:val="top"/>
            <w:shd w:fill="F1F5F7"/>
          </w:tcPr>
          <w:p>
            <w:pPr>
              <w:widowControl/>
              <w:spacing w:after="80" w:before="80" w:line="240" w:lineRule="auto"/>
            </w:pPr>
            <w:r>
              <w:rPr>
                <w:rFonts w:ascii="DejaVu Sans" w:hAnsi="DejaVu Sans"/>
                <w:sz w:val="18"/>
              </w:rPr>
              <w:t>Переводы, поздние редакции, лексикография, Heimskringla; 15 маршрутов.</w:t>
            </w:r>
          </w:p>
        </w:tc>
      </w:tr>
      <w:tr>
        <w:trPr>
          <w:cantSplit/>
        </w:trPr>
        <w:tc>
          <w:tcPr>
            <w:tcW w:type="dxa" w:w="3118"/>
            <w:vAlign w:val="top"/>
          </w:tcPr>
          <w:p>
            <w:pPr>
              <w:widowControl/>
              <w:spacing w:after="80" w:before="80" w:line="240" w:lineRule="auto"/>
            </w:pPr>
            <w:r>
              <w:rPr>
                <w:rFonts w:ascii="DejaVu Sans" w:hAnsi="DejaVu Sans"/>
                <w:sz w:val="18"/>
              </w:rPr>
              <w:t>supporting / boundary / infrastructure</w:t>
            </w:r>
          </w:p>
        </w:tc>
        <w:tc>
          <w:tcPr>
            <w:tcW w:type="dxa" w:w="6520"/>
            <w:vAlign w:val="top"/>
          </w:tcPr>
          <w:p>
            <w:pPr>
              <w:widowControl/>
              <w:spacing w:after="80" w:before="80" w:line="240" w:lineRule="auto"/>
            </w:pPr>
            <w:r>
              <w:rPr>
                <w:rFonts w:ascii="DejaVu Sans" w:hAnsi="DejaVu Sans"/>
                <w:sz w:val="18"/>
              </w:rPr>
              <w:t>Право и память — 4; руническая поэма — 1; XML, IIIF и UD — 3.</w:t>
            </w:r>
          </w:p>
        </w:tc>
      </w:tr>
    </w:tbl>
    <w:p>
      <w:pPr>
        <w:spacing w:after="0"/>
      </w:pPr>
    </w:p>
    <w:p>
      <w:pPr>
        <w:pStyle w:val="SmallNote"/>
      </w:pPr>
      <w:r>
        <w:t xml:space="preserve">Это счёт </w:t>
      </w:r>
      <w:r>
        <w:rPr>
          <w:b/>
        </w:rPr>
        <w:t>маршрутов</w:t>
      </w:r>
      <w:r>
        <w:t>, а не произведений. Например, DG 11 представлен читательским факсимиле и техническим IIIF-входом, а одна книга может содержать несколько самостоятельных поэм. Категория secondary_navigation не использована для отдельной строки: вспомогательные источники включены в примечания и доказательную навигацию.</w:t>
      </w:r>
    </w:p>
    <w:p>
      <w:r>
        <w:br w:type="page"/>
      </w:r>
    </w:p>
    <w:p>
      <w:pPr>
        <w:pStyle w:val="Heading2"/>
      </w:pPr>
      <w:r>
        <w:t>Открытый хронологический контур</w:t>
      </w:r>
    </w:p>
    <w:p>
      <w:r>
        <w:t>Хронология оригинала, рукописи, редакции и нынешней цифровой копии не совпадает. Внепериодные объекты не изменяют границы T2-57: они объясняют, откуда пришёл материал и через какие формы он сохранился.</w:t>
      </w:r>
    </w:p>
    <w:p>
      <w:pPr>
        <w:pStyle w:val="Heading2"/>
      </w:pPr>
      <w:r>
        <w:t>Назад: установленные входящие тексты</w:t>
      </w:r>
    </w:p>
    <w:p>
      <w:r>
        <w:rPr>
          <w:b/>
        </w:rPr>
        <w:t>Disticha Catonis → Hugsvinnsmál.</w:t>
      </w:r>
      <w:r>
        <w:t xml:space="preserve"> Связь конкретна: латинские двустишия переработаны в древнескандинавскую мудростную поэму. Найдены старое параллельное издание 1831 и издание Gering 1907. Они дают проверяемый переход между двумя текстами, а не просто сравнение похожих максим. </w:t>
      </w:r>
      <w:hyperlink r:id="rId34">
        <w:r>
          <w:rPr>
            <w:color w:val="23637B"/>
            <w:u w:val="single"/>
          </w:rPr>
          <w:t>[R049]</w:t>
        </w:r>
      </w:hyperlink>
      <w:r>
        <w:t xml:space="preserve"> </w:t>
      </w:r>
      <w:hyperlink r:id="rId35">
        <w:r>
          <w:rPr>
            <w:color w:val="23637B"/>
            <w:u w:val="single"/>
          </w:rPr>
          <w:t>[R062]</w:t>
        </w:r>
      </w:hyperlink>
      <w:r>
        <w:t xml:space="preserve"> </w:t>
      </w:r>
      <w:hyperlink r:id="rId36">
        <w:r>
          <w:rPr>
            <w:color w:val="23637B"/>
            <w:u w:val="single"/>
          </w:rPr>
          <w:t>[R063]</w:t>
        </w:r>
      </w:hyperlink>
    </w:p>
    <w:p>
      <w:r>
        <w:rPr>
          <w:b/>
        </w:rPr>
        <w:t>Liber epigrammatum Проспера → Spakmæli Prospers.</w:t>
      </w:r>
      <w:r>
        <w:t xml:space="preserve"> Для позднеантичного источника найдены современное CSEL 100, 2016, и бесплатная карточка старопечатного Epigrammaton libellus 1555. Первый маршрут сильнее научно, второй потенциально полезен для свободной текстовой основы, но его фактический скан ещё не просмотрен. Весь корпус Августина по этой связи в реестр не добавлялся. </w:t>
      </w:r>
      <w:hyperlink r:id="rId33">
        <w:r>
          <w:rPr>
            <w:color w:val="23637B"/>
            <w:u w:val="single"/>
          </w:rPr>
          <w:t>[R077]</w:t>
        </w:r>
      </w:hyperlink>
      <w:r>
        <w:t xml:space="preserve"> </w:t>
      </w:r>
      <w:hyperlink r:id="rId37">
        <w:r>
          <w:rPr>
            <w:color w:val="23637B"/>
            <w:u w:val="single"/>
          </w:rPr>
          <w:t>[R078]</w:t>
        </w:r>
      </w:hyperlink>
      <w:r>
        <w:t xml:space="preserve"> </w:t>
      </w:r>
      <w:hyperlink r:id="rId38">
        <w:r>
          <w:rPr>
            <w:color w:val="23637B"/>
            <w:u w:val="single"/>
          </w:rPr>
          <w:t>[S10]</w:t>
        </w:r>
      </w:hyperlink>
    </w:p>
    <w:p>
      <w:r>
        <w:rPr>
          <w:b/>
        </w:rPr>
        <w:t>Григорий и De XII abusivis → AM 677.</w:t>
      </w:r>
      <w:r>
        <w:t xml:space="preserve"> Сохранён старый английский перевод Dialogues; отдельное латинское издание гомилий остаётся пробелом. Для De XII abusivis найден институциональный скан издания Hellmann 1909 и карточка будущего CCSL 3J. Издатель указывает декабрь 2026: на дату проверки это ещё не опубликованный доступный том. </w:t>
      </w:r>
      <w:hyperlink r:id="rId39">
        <w:r>
          <w:rPr>
            <w:color w:val="23637B"/>
            <w:u w:val="single"/>
          </w:rPr>
          <w:t>[R064]</w:t>
        </w:r>
      </w:hyperlink>
      <w:r>
        <w:t xml:space="preserve"> </w:t>
      </w:r>
      <w:hyperlink r:id="rId32">
        <w:r>
          <w:rPr>
            <w:color w:val="23637B"/>
            <w:u w:val="single"/>
          </w:rPr>
          <w:t>[R075]</w:t>
        </w:r>
      </w:hyperlink>
      <w:r>
        <w:t xml:space="preserve"> </w:t>
      </w:r>
      <w:hyperlink r:id="rId40">
        <w:r>
          <w:rPr>
            <w:color w:val="23637B"/>
            <w:u w:val="single"/>
          </w:rPr>
          <w:t>[R079]</w:t>
        </w:r>
      </w:hyperlink>
    </w:p>
    <w:p>
      <w:r>
        <w:rPr>
          <w:b/>
        </w:rPr>
        <w:t>Латинская grammatica → III трактат.</w:t>
      </w:r>
      <w:r>
        <w:t xml:space="preserve"> Donatus и Priscian, а также Ars Brugensis и Doctrinale выделены как конкретные дальнейшие направления по специальной статье. Их нельзя считать уже полученными первичными текстами: отдельные издания и объём прямого использования помещены в gaps. Раннюю устную поэзию также не выдают за существующий дописьменный файл. </w:t>
      </w:r>
      <w:hyperlink r:id="rId41">
        <w:r>
          <w:rPr>
            <w:color w:val="23637B"/>
            <w:u w:val="single"/>
          </w:rPr>
          <w:t>[S11]</w:t>
        </w:r>
      </w:hyperlink>
    </w:p>
    <w:p>
      <w:pPr>
        <w:pStyle w:val="Heading2"/>
      </w:pPr>
      <w:r>
        <w:t>Вперёд: продолжения, переработки и сохранение</w:t>
      </w:r>
    </w:p>
    <w:p>
      <w:r>
        <w:rPr>
          <w:b/>
        </w:rPr>
        <w:t>Rímur</w:t>
      </w:r>
      <w:r>
        <w:t xml:space="preserve"> включены через Þrymlur и сборник Lokrur, Þrymlur, Griplur, Völsungsrímur. Здесь связь с эддическими рассказами и героико-саговым материалом оформлена как поэтическая переработка. Современное критическое издание Þrymlur дополняет старую публикацию, а не заменяет её правовой статус. </w:t>
      </w:r>
      <w:hyperlink r:id="rId42">
        <w:r>
          <w:rPr>
            <w:color w:val="23637B"/>
            <w:u w:val="single"/>
          </w:rPr>
          <w:t>[R032]</w:t>
        </w:r>
      </w:hyperlink>
      <w:r>
        <w:t xml:space="preserve"> </w:t>
      </w:r>
      <w:hyperlink r:id="rId43">
        <w:r>
          <w:rPr>
            <w:color w:val="23637B"/>
            <w:u w:val="single"/>
          </w:rPr>
          <w:t>[R051]</w:t>
        </w:r>
      </w:hyperlink>
    </w:p>
    <w:p>
      <w:r>
        <w:rPr>
          <w:b/>
        </w:rPr>
        <w:t>Laufás Edda, антикварная лексикография и Trajectinus</w:t>
      </w:r>
      <w:r>
        <w:t xml:space="preserve"> представляют раннемодерную передачу: новую организацию поэтического знания, сохранение словаря и поздний список важной ветви Snorra Edda. У Laufás Edda получен лишь фрагмент; Resen 1665 остаётся отдельным неподтверждённым цифровым входом в gaps. </w:t>
      </w:r>
      <w:hyperlink r:id="rId44">
        <w:r>
          <w:rPr>
            <w:color w:val="23637B"/>
            <w:u w:val="single"/>
          </w:rPr>
          <w:t>[R034]</w:t>
        </w:r>
      </w:hyperlink>
      <w:r>
        <w:t xml:space="preserve"> </w:t>
      </w:r>
      <w:hyperlink r:id="rId45">
        <w:r>
          <w:rPr>
            <w:color w:val="23637B"/>
            <w:u w:val="single"/>
          </w:rPr>
          <w:t>[R046]</w:t>
        </w:r>
      </w:hyperlink>
      <w:r>
        <w:t xml:space="preserve"> </w:t>
      </w:r>
      <w:hyperlink r:id="rId46">
        <w:r>
          <w:rPr>
            <w:color w:val="23637B"/>
            <w:u w:val="single"/>
          </w:rPr>
          <w:t>[R053]</w:t>
        </w:r>
      </w:hyperlink>
    </w:p>
    <w:p>
      <w:r>
        <w:rPr>
          <w:b/>
        </w:rPr>
        <w:t>Hrafnagaldur Óðins</w:t>
      </w:r>
      <w:r>
        <w:t xml:space="preserve"> помещён в рецепцию: исследовательская редакция Lassen рассматривает его отдельно от средневекового эддического ядра. Английские и русские переводы XIX–XXI вв. также входят в передачу, но защищённость конкретного перевода оценивается независимо от древности сюжета. </w:t>
      </w:r>
      <w:hyperlink r:id="rId47">
        <w:r>
          <w:rPr>
            <w:color w:val="23637B"/>
            <w:u w:val="single"/>
          </w:rPr>
          <w:t>[R033]</w:t>
        </w:r>
      </w:hyperlink>
      <w:r>
        <w:t xml:space="preserve"> </w:t>
      </w:r>
      <w:hyperlink r:id="rId48">
        <w:r>
          <w:rPr>
            <w:color w:val="23637B"/>
            <w:u w:val="single"/>
          </w:rPr>
          <w:t>[R057]</w:t>
        </w:r>
      </w:hyperlink>
      <w:r>
        <w:t xml:space="preserve"> </w:t>
      </w:r>
      <w:hyperlink r:id="rId49">
        <w:r>
          <w:rPr>
            <w:color w:val="23637B"/>
            <w:u w:val="single"/>
          </w:rPr>
          <w:t>[R070]</w:t>
        </w:r>
      </w:hyperlink>
      <w:r>
        <w:t xml:space="preserve"> </w:t>
      </w:r>
      <w:hyperlink r:id="rId50">
        <w:r>
          <w:rPr>
            <w:color w:val="23637B"/>
            <w:u w:val="single"/>
          </w:rPr>
          <w:t>[R071]</w:t>
        </w:r>
      </w:hyperlink>
    </w:p>
    <w:p>
      <w:r>
        <w:t xml:space="preserve">Heimskringla сохранена во всех трёх томах современного английского перевода. Том II дополнительно даёт выбранные места Separate Saga of St Óláfr, позволяющие проследить переработку. Landnámabók включена только в Hauksbók-редакции: как документированная линия компиляционной и генеалогической памяти, а не повод перечислить всю исландскую историографию. </w:t>
      </w:r>
      <w:hyperlink r:id="rId51">
        <w:r>
          <w:rPr>
            <w:color w:val="23637B"/>
            <w:u w:val="single"/>
          </w:rPr>
          <w:t>[R035]</w:t>
        </w:r>
      </w:hyperlink>
      <w:r>
        <w:t xml:space="preserve"> </w:t>
      </w:r>
      <w:hyperlink r:id="rId52">
        <w:r>
          <w:rPr>
            <w:color w:val="23637B"/>
            <w:u w:val="single"/>
          </w:rPr>
          <w:t>[R083]</w:t>
        </w:r>
      </w:hyperlink>
      <w:r>
        <w:t xml:space="preserve"> </w:t>
      </w:r>
      <w:hyperlink r:id="rId53">
        <w:r>
          <w:rPr>
            <w:color w:val="23637B"/>
            <w:u w:val="single"/>
          </w:rPr>
          <w:t>[R084]</w:t>
        </w:r>
      </w:hyperlink>
      <w:r>
        <w:t xml:space="preserve"> </w:t>
      </w:r>
      <w:hyperlink r:id="rId54">
        <w:r>
          <w:rPr>
            <w:color w:val="23637B"/>
            <w:u w:val="single"/>
          </w:rPr>
          <w:t>[R085]</w:t>
        </w:r>
      </w:hyperlink>
    </w:p>
    <w:p>
      <w:r>
        <w:br w:type="page"/>
      </w:r>
    </w:p>
    <w:p>
      <w:pPr>
        <w:pStyle w:val="Heading1"/>
      </w:pPr>
      <w:r>
        <w:t>3. Лучшие пути доступа</w:t>
      </w:r>
    </w:p>
    <w:p>
      <w:pPr>
        <w:pStyle w:val="SmallNote"/>
      </w:pPr>
      <w:r>
        <w:t>«Лучший» ниже означает наиболее полезный из проверенных маршрутов для указанной задачи: чтения, сопоставления, скачивания или повторного использования. Это не рейтинг переводов вообще. Внешние ссылки ведут к источникам; полнота и ограничения конкретной версии раскрыты в XLSX.</w:t>
      </w:r>
    </w:p>
    <w:p>
      <w:pPr>
        <w:pStyle w:val="Heading2"/>
      </w:pPr>
      <w:r>
        <w:t>3.1. Старшая Эдда и мудростные поэмы</w:t>
      </w:r>
    </w:p>
    <w:p>
      <w:r>
        <w:rPr>
          <w:b/>
        </w:rPr>
        <w:t>Основной современный вход — Edward Pettit, The Poetic Edda: A Dual-Language Edition, 2023.</w:t>
      </w:r>
      <w:r>
        <w:t xml:space="preserve"> Есть древнескандинавский текст, английский перевод и аппарат; издатель перечисляет HTML, PDF, EPUB и XML и явно указывает CC BY-NC 4.0. В реестре сохранён также отдельный маршрут официальной дистрибуции через Thoth/Zenodo. Обе записи описывают одну версию книги. </w:t>
      </w:r>
      <w:hyperlink r:id="rId11">
        <w:r>
          <w:rPr>
            <w:color w:val="23637B"/>
            <w:u w:val="single"/>
          </w:rPr>
          <w:t>[R001]</w:t>
        </w:r>
      </w:hyperlink>
      <w:r>
        <w:t xml:space="preserve"> </w:t>
      </w:r>
      <w:hyperlink r:id="rId55">
        <w:r>
          <w:rPr>
            <w:color w:val="23637B"/>
            <w:u w:val="single"/>
          </w:rPr>
          <w:t>[R002]</w:t>
        </w:r>
      </w:hyperlink>
      <w:r>
        <w:t xml:space="preserve"> </w:t>
      </w:r>
      <w:hyperlink r:id="rId11">
        <w:r>
          <w:rPr>
            <w:color w:val="23637B"/>
            <w:u w:val="single"/>
          </w:rPr>
          <w:t>[S2]</w:t>
        </w:r>
      </w:hyperlink>
    </w:p>
    <w:p>
      <w:r>
        <w:t xml:space="preserve">Для </w:t>
      </w:r>
      <w:r>
        <w:rPr>
          <w:b/>
        </w:rPr>
        <w:t>исторического английского перевода</w:t>
      </w:r>
      <w:r>
        <w:t xml:space="preserve"> полезен Bellows 1923: Project Gutenberg удобнее для чтения и текстовой загрузки; университетский экземпляр в Internet Archive — для проверки печатного контекста. Это два носителя одного перевода. Американский public-domain статус не обозначен как всемирное разрешение. </w:t>
      </w:r>
      <w:hyperlink r:id="rId13">
        <w:r>
          <w:rPr>
            <w:color w:val="23637B"/>
            <w:u w:val="single"/>
          </w:rPr>
          <w:t>[R003]</w:t>
        </w:r>
      </w:hyperlink>
      <w:r>
        <w:t xml:space="preserve"> </w:t>
      </w:r>
      <w:hyperlink r:id="rId56">
        <w:r>
          <w:rPr>
            <w:color w:val="23637B"/>
            <w:u w:val="single"/>
          </w:rPr>
          <w:t>[R004]</w:t>
        </w:r>
      </w:hyperlink>
    </w:p>
    <w:p>
      <w:r>
        <w:t xml:space="preserve">Для </w:t>
      </w:r>
      <w:r>
        <w:rPr>
          <w:b/>
        </w:rPr>
        <w:t>рукописной основы</w:t>
      </w:r>
      <w:r>
        <w:t xml:space="preserve"> сохранён EAE Codex Regius GKS 2365 4to. Официальный анонс описывает факсимиле, дипломатическую транскрипцию и языковую разметку; сам reader вернул 403. Поэтому это ценный подтверждённый вход с ограничением проверки, а не объявленный работающим bulk-download. Для альтернативного Völuspá добавлен каталог AM 544 — не полный цифровой текст Hauksbók. </w:t>
      </w:r>
      <w:hyperlink r:id="rId57">
        <w:r>
          <w:rPr>
            <w:color w:val="23637B"/>
            <w:u w:val="single"/>
          </w:rPr>
          <w:t>[R005]</w:t>
        </w:r>
      </w:hyperlink>
      <w:r>
        <w:t xml:space="preserve"> </w:t>
      </w:r>
      <w:hyperlink r:id="rId14">
        <w:r>
          <w:rPr>
            <w:color w:val="23637B"/>
            <w:u w:val="single"/>
          </w:rPr>
          <w:t>[R081]</w:t>
        </w:r>
      </w:hyperlink>
      <w:r>
        <w:t xml:space="preserve"> </w:t>
      </w:r>
      <w:hyperlink r:id="rId58">
        <w:r>
          <w:rPr>
            <w:color w:val="23637B"/>
            <w:u w:val="single"/>
          </w:rPr>
          <w:t>[S6]</w:t>
        </w:r>
      </w:hyperlink>
    </w:p>
    <w:p>
      <w:r>
        <w:rPr>
          <w:b/>
        </w:rPr>
        <w:t>Hávamál</w:t>
      </w:r>
      <w:r>
        <w:t xml:space="preserve"> дополнительно имеет специальное издание Evans/Faulkes и официальный русский PDF МИФ со строфами 1–164. Последний особенно удобен для русскоязычного знакомства: это полный перевод одной поэмы, но не полная Старшая Эдда и не свободная лицензия. Издание Larrington 2014 сохранено как современный английский вариант с Google Books preview; OUP-страница потребовала проверку браузера. </w:t>
      </w:r>
      <w:hyperlink r:id="rId59">
        <w:r>
          <w:rPr>
            <w:color w:val="23637B"/>
            <w:u w:val="single"/>
          </w:rPr>
          <w:t>[R023]</w:t>
        </w:r>
      </w:hyperlink>
      <w:r>
        <w:t xml:space="preserve"> </w:t>
      </w:r>
      <w:hyperlink r:id="rId49">
        <w:r>
          <w:rPr>
            <w:color w:val="23637B"/>
            <w:u w:val="single"/>
          </w:rPr>
          <w:t>[R070]</w:t>
        </w:r>
      </w:hyperlink>
      <w:r>
        <w:t xml:space="preserve"> </w:t>
      </w:r>
      <w:hyperlink r:id="rId60">
        <w:r>
          <w:rPr>
            <w:color w:val="23637B"/>
            <w:u w:val="single"/>
          </w:rPr>
          <w:t>[R073]</w:t>
        </w:r>
      </w:hyperlink>
    </w:p>
    <w:p>
      <w:r>
        <w:t>Для собственного перевода ToS наиболее ясно лицензирован исходный текст Pettit, с выполнением NC и атрибуции. EAE нельзя автоматически считать столь же свободным: лицензия текущего объекта не открыта. Наличие у издателя формата XML также не подтверждает, что конкретный скачанный XML уже проверен на полноту и исключения.</w:t>
      </w:r>
    </w:p>
    <w:p>
      <w:pPr>
        <w:pStyle w:val="Heading2"/>
      </w:pPr>
      <w:r>
        <w:t>3.2. Младшая Эдда / Snorra Edda</w:t>
      </w:r>
    </w:p>
    <w:p>
      <w:r>
        <w:rPr>
          <w:b/>
        </w:rPr>
        <w:t>Научная основа — издания Anthony Faulkes:</w:t>
      </w:r>
      <w:r>
        <w:t xml:space="preserve"> Prologue and Gylfaginning (2005), Skáldskaparmál (1998), Háttatal (2007). Они разведены по частям; два файла Skáldskaparmál не превращены в два произведения. Uppsala-редакция 2012 нужна для сопоставления иной рукописной организации. Карточки открылись; доставка PDF в этой сессии не подтверждена. </w:t>
      </w:r>
      <w:hyperlink r:id="rId15">
        <w:r>
          <w:rPr>
            <w:color w:val="23637B"/>
            <w:u w:val="single"/>
          </w:rPr>
          <w:t>[R024]</w:t>
        </w:r>
      </w:hyperlink>
      <w:r>
        <w:t xml:space="preserve"> </w:t>
      </w:r>
      <w:hyperlink r:id="rId16">
        <w:r>
          <w:rPr>
            <w:color w:val="23637B"/>
            <w:u w:val="single"/>
          </w:rPr>
          <w:t>[R025]</w:t>
        </w:r>
      </w:hyperlink>
      <w:r>
        <w:t xml:space="preserve"> </w:t>
      </w:r>
      <w:hyperlink r:id="rId17">
        <w:r>
          <w:rPr>
            <w:color w:val="23637B"/>
            <w:u w:val="single"/>
          </w:rPr>
          <w:t>[R026]</w:t>
        </w:r>
      </w:hyperlink>
      <w:r>
        <w:t xml:space="preserve"> </w:t>
      </w:r>
      <w:hyperlink r:id="rId18">
        <w:r>
          <w:rPr>
            <w:color w:val="23637B"/>
            <w:u w:val="single"/>
          </w:rPr>
          <w:t>[R027]</w:t>
        </w:r>
      </w:hyperlink>
    </w:p>
    <w:p>
      <w:r>
        <w:rPr>
          <w:b/>
        </w:rPr>
        <w:t>Самый свободный рукописный маршрут — DG 11.</w:t>
      </w:r>
      <w:r>
        <w:t xml:space="preserve"> Alvin даёт просмотр, Manuscripta — каталог и IIIF. Изображения помечены Public Domain, описание — CC0; основания различены. Это один вариантный свидетель, а не реконструкция всех ветвей Edda. Технический путь удобен для собственной транскрипции и перевода именно этой рукописи. </w:t>
      </w:r>
      <w:hyperlink r:id="rId61">
        <w:r>
          <w:rPr>
            <w:color w:val="23637B"/>
            <w:u w:val="single"/>
          </w:rPr>
          <w:t>[R040]</w:t>
        </w:r>
      </w:hyperlink>
      <w:r>
        <w:t xml:space="preserve"> </w:t>
      </w:r>
      <w:hyperlink r:id="rId62">
        <w:r>
          <w:rPr>
            <w:color w:val="23637B"/>
            <w:u w:val="single"/>
          </w:rPr>
          <w:t>[R041]</w:t>
        </w:r>
      </w:hyperlink>
      <w:r>
        <w:t xml:space="preserve"> </w:t>
      </w:r>
      <w:hyperlink r:id="rId62">
        <w:r>
          <w:rPr>
            <w:color w:val="23637B"/>
            <w:u w:val="single"/>
          </w:rPr>
          <w:t>[S3]</w:t>
        </w:r>
      </w:hyperlink>
    </w:p>
    <w:p>
      <w:r>
        <w:t xml:space="preserve">Для старого английского чтения сохранены Anderson и составное издание Thorpe/Blackwell; их нельзя использовать как гарантированно полный эквивалент современной Snorra Edda. Русский перевод Смирницкой в официальной републикации URSS также не включает Háttatal. Каталоги GKS 2367 и Trajectinus помогают сверять версии, но не заменяют недостающие полные факсимиле. </w:t>
      </w:r>
      <w:hyperlink r:id="rId63">
        <w:r>
          <w:rPr>
            <w:color w:val="23637B"/>
            <w:u w:val="single"/>
          </w:rPr>
          <w:t>[R060]</w:t>
        </w:r>
      </w:hyperlink>
      <w:r>
        <w:t xml:space="preserve"> </w:t>
      </w:r>
      <w:hyperlink r:id="rId64">
        <w:r>
          <w:rPr>
            <w:color w:val="23637B"/>
            <w:u w:val="single"/>
          </w:rPr>
          <w:t>[R061]</w:t>
        </w:r>
      </w:hyperlink>
      <w:r>
        <w:t xml:space="preserve"> </w:t>
      </w:r>
      <w:hyperlink r:id="rId50">
        <w:r>
          <w:rPr>
            <w:color w:val="23637B"/>
            <w:u w:val="single"/>
          </w:rPr>
          <w:t>[R071]</w:t>
        </w:r>
      </w:hyperlink>
      <w:r>
        <w:t xml:space="preserve"> </w:t>
      </w:r>
      <w:hyperlink r:id="rId23">
        <w:r>
          <w:rPr>
            <w:color w:val="23637B"/>
            <w:u w:val="single"/>
          </w:rPr>
          <w:t>[R080]</w:t>
        </w:r>
      </w:hyperlink>
      <w:r>
        <w:t xml:space="preserve"> </w:t>
      </w:r>
      <w:hyperlink r:id="rId45">
        <w:r>
          <w:rPr>
            <w:color w:val="23637B"/>
            <w:u w:val="single"/>
          </w:rPr>
          <w:t>[R046]</w:t>
        </w:r>
      </w:hyperlink>
    </w:p>
    <w:p>
      <w:r>
        <w:br w:type="page"/>
      </w:r>
    </w:p>
    <w:p>
      <w:pPr>
        <w:pStyle w:val="Heading2"/>
      </w:pPr>
      <w:r>
        <w:t>3.3. Саги: читательский текст, рукопись, научная редакция</w:t>
      </w:r>
    </w:p>
    <w:p>
      <w:r>
        <w:rPr>
          <w:b/>
        </w:rPr>
        <w:t>Для бесплатного чтения — SagaDB.</w:t>
      </w:r>
      <w:r>
        <w:t xml:space="preserve"> По Njála, Egils saga и Laxdæla есть отдельные тексты; для всех 11 саг Möðruvallabók сохранены конкретные item-level входы. Исландская версия с современной орфографией не называется факсимиле: орфографическая нормализация — самостоятельный слой. Для Egils добавлена версия с древней орфографией. </w:t>
      </w:r>
      <w:hyperlink r:id="rId24">
        <w:r>
          <w:rPr>
            <w:color w:val="23637B"/>
            <w:u w:val="single"/>
          </w:rPr>
          <w:t>[R006]</w:t>
        </w:r>
      </w:hyperlink>
      <w:r>
        <w:t xml:space="preserve"> </w:t>
      </w:r>
      <w:hyperlink r:id="rId65">
        <w:r>
          <w:rPr>
            <w:color w:val="23637B"/>
            <w:u w:val="single"/>
          </w:rPr>
          <w:t>[R007]</w:t>
        </w:r>
      </w:hyperlink>
      <w:r>
        <w:t xml:space="preserve"> </w:t>
      </w:r>
      <w:hyperlink r:id="rId66">
        <w:r>
          <w:rPr>
            <w:color w:val="23637B"/>
            <w:u w:val="single"/>
          </w:rPr>
          <w:t>[R008]</w:t>
        </w:r>
      </w:hyperlink>
      <w:r>
        <w:t xml:space="preserve"> </w:t>
      </w:r>
      <w:hyperlink r:id="rId67">
        <w:r>
          <w:rPr>
            <w:color w:val="23637B"/>
            <w:u w:val="single"/>
          </w:rPr>
          <w:t>[R020]</w:t>
        </w:r>
      </w:hyperlink>
    </w:p>
    <w:p>
      <w:r>
        <w:rPr>
          <w:b/>
        </w:rPr>
        <w:t>Для скачивания и машинного поиска — пакет SagaDB и его XML-репозиторий.</w:t>
      </w:r>
      <w:r>
        <w:t xml:space="preserve"> Они охватывают больше текстов, чем три исходных seeds. Заявление проекта о public domain сохранено, но происхождение конкретных переводов и редакций требует проверки перед публичным зеркалом. BSD-3-Clause для программного кода не переносится на текстовый массив. </w:t>
      </w:r>
      <w:hyperlink r:id="rId26">
        <w:r>
          <w:rPr>
            <w:color w:val="23637B"/>
            <w:u w:val="single"/>
          </w:rPr>
          <w:t>[R021]</w:t>
        </w:r>
      </w:hyperlink>
      <w:r>
        <w:t xml:space="preserve"> </w:t>
      </w:r>
      <w:hyperlink r:id="rId68">
        <w:r>
          <w:rPr>
            <w:color w:val="23637B"/>
            <w:u w:val="single"/>
          </w:rPr>
          <w:t>[R022]</w:t>
        </w:r>
      </w:hyperlink>
      <w:r>
        <w:t xml:space="preserve"> </w:t>
      </w:r>
      <w:hyperlink r:id="rId69">
        <w:r>
          <w:rPr>
            <w:color w:val="23637B"/>
            <w:u w:val="single"/>
          </w:rPr>
          <w:t>[S14]</w:t>
        </w:r>
      </w:hyperlink>
    </w:p>
    <w:p>
      <w:r>
        <w:rPr>
          <w:b/>
        </w:rPr>
        <w:t>Для старых английских переводов</w:t>
      </w:r>
      <w:r>
        <w:t xml:space="preserve"> полезны Dasent (Njála), Green (Egils) и Press (Laxdæla). У Press обнаружено расхождение дат: SagaDB сообщает 1880, тогда как библиографическая подсказка указывает 1899. Оно не устранено догадкой и вынесено в gaps. </w:t>
      </w:r>
      <w:hyperlink r:id="rId70">
        <w:r>
          <w:rPr>
            <w:color w:val="23637B"/>
            <w:u w:val="single"/>
          </w:rPr>
          <w:t>[R017]</w:t>
        </w:r>
      </w:hyperlink>
      <w:r>
        <w:t xml:space="preserve"> </w:t>
      </w:r>
      <w:hyperlink r:id="rId71">
        <w:r>
          <w:rPr>
            <w:color w:val="23637B"/>
            <w:u w:val="single"/>
          </w:rPr>
          <w:t>[R018]</w:t>
        </w:r>
      </w:hyperlink>
      <w:r>
        <w:t xml:space="preserve"> </w:t>
      </w:r>
      <w:hyperlink r:id="rId72">
        <w:r>
          <w:rPr>
            <w:color w:val="23637B"/>
            <w:u w:val="single"/>
          </w:rPr>
          <w:t>[R019]</w:t>
        </w:r>
      </w:hyperlink>
    </w:p>
    <w:p>
      <w:r>
        <w:rPr>
          <w:b/>
        </w:rPr>
        <w:t>Для рукописного сопоставления — Menota AM 132 fol.</w:t>
      </w:r>
      <w:r>
        <w:t xml:space="preserve"> Завершение электронной публикации в январе 2025 подтверждено проектом; указаны три уровня текста и почти 320 000 слов. Текущий reader показал лишь оболочку JavaScript. Лицензия фактической выдачи и возможность скачать весь комплекс пока не установлены; здесь нельзя переносить разрешения с чужого примера TEI-header. </w:t>
      </w:r>
      <w:hyperlink r:id="rId28">
        <w:r>
          <w:rPr>
            <w:color w:val="23637B"/>
            <w:u w:val="single"/>
          </w:rPr>
          <w:t>[R042]</w:t>
        </w:r>
      </w:hyperlink>
      <w:r>
        <w:t xml:space="preserve"> </w:t>
      </w:r>
      <w:hyperlink r:id="rId28">
        <w:r>
          <w:rPr>
            <w:color w:val="23637B"/>
            <w:u w:val="single"/>
          </w:rPr>
          <w:t>[S5]</w:t>
        </w:r>
      </w:hyperlink>
    </w:p>
    <w:p>
      <w:r>
        <w:rPr>
          <w:b/>
        </w:rPr>
        <w:t>Для научного контроля</w:t>
      </w:r>
      <w:r>
        <w:t xml:space="preserve"> получены издательские маршруты к Egils saga Bjarni Einarsson и Bandamanna saga Magerøy; SkP V даёт критическую работу со стихами саг, но не весь саговый прозаический корпус. Современные критические тома Njála и Laxdæla остаются отдельным направлением поиска. </w:t>
      </w:r>
      <w:hyperlink r:id="rId73">
        <w:r>
          <w:rPr>
            <w:color w:val="23637B"/>
            <w:u w:val="single"/>
          </w:rPr>
          <w:t>[R029]</w:t>
        </w:r>
      </w:hyperlink>
      <w:r>
        <w:t xml:space="preserve"> </w:t>
      </w:r>
      <w:hyperlink r:id="rId74">
        <w:r>
          <w:rPr>
            <w:color w:val="23637B"/>
            <w:u w:val="single"/>
          </w:rPr>
          <w:t>[R082]</w:t>
        </w:r>
      </w:hyperlink>
      <w:r>
        <w:t xml:space="preserve"> </w:t>
      </w:r>
      <w:hyperlink r:id="rId75">
        <w:r>
          <w:rPr>
            <w:color w:val="23637B"/>
            <w:u w:val="single"/>
          </w:rPr>
          <w:t>[R067]</w:t>
        </w:r>
      </w:hyperlink>
    </w:p>
    <w:p>
      <w:pPr>
        <w:pStyle w:val="Heading2"/>
      </w:pPr>
      <w:r>
        <w:t>3.4. Грамматические трактаты и поэтическая техника</w:t>
      </w:r>
    </w:p>
    <w:p>
      <w:r>
        <w:rPr>
          <w:b/>
        </w:rPr>
        <w:t>Лучший найденный свободно скачиваемый старый комплект</w:t>
      </w:r>
      <w:r>
        <w:t xml:space="preserve"> — части Edda 1852 с I–IV трактатами на Septentrionalia, включая древнескандинавский текст и неолатинский перевод. Комплект сохранён одной записью с четырьмя ссылками. Он даёт широкий доступ, но не делает поздние научные исправления свободными. III трактат имеет утраты в самой традиции; «PDF целиком» не означает «авторский текст без потерь». </w:t>
      </w:r>
      <w:hyperlink r:id="rId20">
        <w:r>
          <w:rPr>
            <w:color w:val="23637B"/>
            <w:u w:val="single"/>
          </w:rPr>
          <w:t>[R047]</w:t>
        </w:r>
      </w:hyperlink>
    </w:p>
    <w:p>
      <w:r>
        <w:t xml:space="preserve">III трактат дополнительно представлен изданием Finnur Jónsson 1927; IV — современной работой Clunies Ross и Wellendorf 2014. Первый трактат имеет сильный научный ориентир Hreinn Benediktsson 1972, но в проверенном Google Books доступна только карточка/ограниченный просмотр. Ссылка из DR на Haugen с датой электронной публикации 2026 оставлена на библиографическую проверку. </w:t>
      </w:r>
      <w:hyperlink r:id="rId21">
        <w:r>
          <w:rPr>
            <w:color w:val="23637B"/>
            <w:u w:val="single"/>
          </w:rPr>
          <w:t>[R048]</w:t>
        </w:r>
      </w:hyperlink>
      <w:r>
        <w:t xml:space="preserve"> </w:t>
      </w:r>
      <w:hyperlink r:id="rId76">
        <w:r>
          <w:rPr>
            <w:color w:val="23637B"/>
            <w:u w:val="single"/>
          </w:rPr>
          <w:t>[R028]</w:t>
        </w:r>
      </w:hyperlink>
      <w:r>
        <w:t xml:space="preserve"> </w:t>
      </w:r>
      <w:hyperlink r:id="rId77">
        <w:r>
          <w:rPr>
            <w:color w:val="23637B"/>
            <w:u w:val="single"/>
          </w:rPr>
          <w:t>[R074]</w:t>
        </w:r>
      </w:hyperlink>
      <w:r>
        <w:t xml:space="preserve"> </w:t>
      </w:r>
      <w:hyperlink r:id="rId41">
        <w:r>
          <w:rPr>
            <w:color w:val="23637B"/>
            <w:u w:val="single"/>
          </w:rPr>
          <w:t>[S11]</w:t>
        </w:r>
      </w:hyperlink>
    </w:p>
    <w:p>
      <w:r>
        <w:t xml:space="preserve">Для языка поэтики полезны старый Skjaldedigtning и современный SkP III. Первый различает рукописный и нормализованный слои; второй даёт новые критические чтения стихов, используемых в трактатах. Ни один не следует обозначать как универсальную замену всей Snorra Edda. </w:t>
      </w:r>
      <w:hyperlink r:id="rId78">
        <w:r>
          <w:rPr>
            <w:color w:val="23637B"/>
            <w:u w:val="single"/>
          </w:rPr>
          <w:t>[R054]</w:t>
        </w:r>
      </w:hyperlink>
      <w:r>
        <w:t xml:space="preserve"> </w:t>
      </w:r>
      <w:hyperlink r:id="rId22">
        <w:r>
          <w:rPr>
            <w:color w:val="23637B"/>
            <w:u w:val="single"/>
          </w:rPr>
          <w:t>[R066]</w:t>
        </w:r>
      </w:hyperlink>
    </w:p>
    <w:p>
      <w:r>
        <w:br w:type="page"/>
      </w:r>
    </w:p>
    <w:p>
      <w:pPr>
        <w:pStyle w:val="Heading2"/>
      </w:pPr>
      <w:r>
        <w:t>3.5. Героический цикл и тексты сохранения</w:t>
      </w:r>
    </w:p>
    <w:p>
      <w:r>
        <w:rPr>
          <w:b/>
        </w:rPr>
        <w:t>Völsunga saga:</w:t>
      </w:r>
      <w:r>
        <w:t xml:space="preserve"> для оригинала найден старый Wilken 1877, для английского чтения — Morris/Magnússon в Project Gutenberg. Рукопись NKS 1824 b 4to описана в Stories for All Time: первая страница Völsunga дефектна, далее идут Ragnars saga и неполный Krákumál. Каталожная карточка не выдана за полный цифровой кодекс. </w:t>
      </w:r>
      <w:hyperlink r:id="rId79">
        <w:r>
          <w:rPr>
            <w:color w:val="23637B"/>
            <w:u w:val="single"/>
          </w:rPr>
          <w:t>[R052]</w:t>
        </w:r>
      </w:hyperlink>
      <w:r>
        <w:t xml:space="preserve"> </w:t>
      </w:r>
      <w:hyperlink r:id="rId48">
        <w:r>
          <w:rPr>
            <w:color w:val="23637B"/>
            <w:u w:val="single"/>
          </w:rPr>
          <w:t>[R057]</w:t>
        </w:r>
      </w:hyperlink>
      <w:r>
        <w:t xml:space="preserve"> </w:t>
      </w:r>
      <w:hyperlink r:id="rId80">
        <w:r>
          <w:rPr>
            <w:color w:val="23637B"/>
            <w:u w:val="single"/>
          </w:rPr>
          <w:t>[R076]</w:t>
        </w:r>
      </w:hyperlink>
    </w:p>
    <w:p>
      <w:r>
        <w:rPr>
          <w:b/>
        </w:rPr>
        <w:t>Hervarar saga</w:t>
      </w:r>
      <w:r>
        <w:t xml:space="preserve"> сохранена через научную редакцию VSNR и старый английский сборник Kershaw 1921. В последнем также есть Norna-Gests þáttr, Sörla þáttr, Hrómundar saga и связанные баллады. Это конкретная линия передачи героического материала; вся европейская балладная традиция не включалась. SkP VIII — платный научный маршрут к стихам fornaldarsögur, не полный перевод прозы этих саг. </w:t>
      </w:r>
      <w:hyperlink r:id="rId81">
        <w:r>
          <w:rPr>
            <w:color w:val="23637B"/>
            <w:u w:val="single"/>
          </w:rPr>
          <w:t>[R030]</w:t>
        </w:r>
      </w:hyperlink>
      <w:r>
        <w:t xml:space="preserve"> </w:t>
      </w:r>
      <w:hyperlink r:id="rId29">
        <w:r>
          <w:rPr>
            <w:color w:val="23637B"/>
            <w:u w:val="single"/>
          </w:rPr>
          <w:t>[R059]</w:t>
        </w:r>
      </w:hyperlink>
      <w:r>
        <w:t xml:space="preserve"> </w:t>
      </w:r>
      <w:hyperlink r:id="rId82">
        <w:r>
          <w:rPr>
            <w:color w:val="23637B"/>
            <w:u w:val="single"/>
          </w:rPr>
          <w:t>[R068]</w:t>
        </w:r>
      </w:hyperlink>
    </w:p>
    <w:p>
      <w:r>
        <w:t xml:space="preserve">Продолжения в rímur лучше сопоставлять по старому сборнику 1896 и современной Þrymlur 2020. Для раннемодерной рецепции важны Hrafnagaldur и словари Magnús Ólafsson. У полного Laufás Edda и печати Resen ещё нет завершённого цифрового покрытия. </w:t>
      </w:r>
      <w:hyperlink r:id="rId43">
        <w:r>
          <w:rPr>
            <w:color w:val="23637B"/>
            <w:u w:val="single"/>
          </w:rPr>
          <w:t>[R051]</w:t>
        </w:r>
      </w:hyperlink>
      <w:r>
        <w:t xml:space="preserve"> </w:t>
      </w:r>
      <w:hyperlink r:id="rId42">
        <w:r>
          <w:rPr>
            <w:color w:val="23637B"/>
            <w:u w:val="single"/>
          </w:rPr>
          <w:t>[R032]</w:t>
        </w:r>
      </w:hyperlink>
      <w:r>
        <w:t xml:space="preserve"> </w:t>
      </w:r>
      <w:hyperlink r:id="rId47">
        <w:r>
          <w:rPr>
            <w:color w:val="23637B"/>
            <w:u w:val="single"/>
          </w:rPr>
          <w:t>[R033]</w:t>
        </w:r>
      </w:hyperlink>
      <w:r>
        <w:t xml:space="preserve"> </w:t>
      </w:r>
      <w:hyperlink r:id="rId44">
        <w:r>
          <w:rPr>
            <w:color w:val="23637B"/>
            <w:u w:val="single"/>
          </w:rPr>
          <w:t>[R034]</w:t>
        </w:r>
      </w:hyperlink>
      <w:r>
        <w:t xml:space="preserve"> </w:t>
      </w:r>
      <w:hyperlink r:id="rId46">
        <w:r>
          <w:rPr>
            <w:color w:val="23637B"/>
            <w:u w:val="single"/>
          </w:rPr>
          <w:t>[R053]</w:t>
        </w:r>
      </w:hyperlink>
    </w:p>
    <w:p>
      <w:pPr>
        <w:pStyle w:val="Heading2"/>
      </w:pPr>
      <w:r>
        <w:t>3.6. Мудростная книжность и латинские оригиналы</w:t>
      </w:r>
    </w:p>
    <w:p>
      <w:r>
        <w:rPr>
          <w:b/>
        </w:rPr>
        <w:t>Hugsvinnsmál и Sólarljóð</w:t>
      </w:r>
      <w:r>
        <w:t xml:space="preserve"> получили самостоятельные старые издания для чтения и скачивания. Современный научный слой представлен томом SkP VII, вместе с Lilja и другими христианскими поэмами. Для Hugsvinnsmál особенно ценна параллель Disticha Catonis 1831: она позволяет исследовать перевод и адаптацию, не подменяя латинский источник современным английским пересказом. </w:t>
      </w:r>
      <w:hyperlink r:id="rId34">
        <w:r>
          <w:rPr>
            <w:color w:val="23637B"/>
            <w:u w:val="single"/>
          </w:rPr>
          <w:t>[R049]</w:t>
        </w:r>
      </w:hyperlink>
      <w:r>
        <w:t xml:space="preserve"> </w:t>
      </w:r>
      <w:hyperlink r:id="rId83">
        <w:r>
          <w:rPr>
            <w:color w:val="23637B"/>
            <w:u w:val="single"/>
          </w:rPr>
          <w:t>[R050]</w:t>
        </w:r>
      </w:hyperlink>
      <w:r>
        <w:t xml:space="preserve"> </w:t>
      </w:r>
      <w:hyperlink r:id="rId35">
        <w:r>
          <w:rPr>
            <w:color w:val="23637B"/>
            <w:u w:val="single"/>
          </w:rPr>
          <w:t>[R062]</w:t>
        </w:r>
      </w:hyperlink>
      <w:r>
        <w:t xml:space="preserve"> </w:t>
      </w:r>
      <w:hyperlink r:id="rId84">
        <w:r>
          <w:rPr>
            <w:color w:val="23637B"/>
            <w:u w:val="single"/>
          </w:rPr>
          <w:t>[R069]</w:t>
        </w:r>
      </w:hyperlink>
    </w:p>
    <w:p>
      <w:r>
        <w:rPr>
          <w:b/>
        </w:rPr>
        <w:t>AM 677</w:t>
      </w:r>
      <w:r>
        <w:t xml:space="preserve"> имеет современную полную издательскую публикацию и электронный Menota-вход. Дату издания сохранено осторожно: официальный институт указывает 2019, библиографическая запись другого каталога давала 2018. Для установления состава приоритетна карточка самого издателя. </w:t>
      </w:r>
      <w:hyperlink r:id="rId31">
        <w:r>
          <w:rPr>
            <w:color w:val="23637B"/>
            <w:u w:val="single"/>
          </w:rPr>
          <w:t>[R045]</w:t>
        </w:r>
      </w:hyperlink>
      <w:r>
        <w:t xml:space="preserve"> </w:t>
      </w:r>
      <w:hyperlink r:id="rId30">
        <w:r>
          <w:rPr>
            <w:color w:val="23637B"/>
            <w:u w:val="single"/>
          </w:rPr>
          <w:t>[R044]</w:t>
        </w:r>
      </w:hyperlink>
      <w:r>
        <w:t xml:space="preserve"> </w:t>
      </w:r>
      <w:hyperlink r:id="rId31">
        <w:r>
          <w:rPr>
            <w:color w:val="23637B"/>
            <w:u w:val="single"/>
          </w:rPr>
          <w:t>[S7]</w:t>
        </w:r>
      </w:hyperlink>
    </w:p>
    <w:p>
      <w:r>
        <w:rPr>
          <w:b/>
        </w:rPr>
        <w:t>Проспер:</w:t>
      </w:r>
      <w:r>
        <w:t xml:space="preserve"> CSEL 100 — лучший найденный современный критический путь, через покупку/образец; старопечатный 1555 — бесплатный маршрут, ожидающий проверки reader. </w:t>
      </w:r>
      <w:r>
        <w:rPr>
          <w:b/>
        </w:rPr>
        <w:t>Григорий:</w:t>
      </w:r>
      <w:r>
        <w:t xml:space="preserve"> старый английский Dialogues доступен из Cornell через Internet Archive. </w:t>
      </w:r>
      <w:r>
        <w:rPr>
          <w:b/>
        </w:rPr>
        <w:t>De XII abusivis:</w:t>
      </w:r>
      <w:r>
        <w:t xml:space="preserve"> старое латинское издание можно получить в институциональном составном скане; будущий том Brepols не обозначен как уже доступный. </w:t>
      </w:r>
      <w:hyperlink r:id="rId33">
        <w:r>
          <w:rPr>
            <w:color w:val="23637B"/>
            <w:u w:val="single"/>
          </w:rPr>
          <w:t>[R077]</w:t>
        </w:r>
      </w:hyperlink>
      <w:r>
        <w:t xml:space="preserve"> </w:t>
      </w:r>
      <w:hyperlink r:id="rId37">
        <w:r>
          <w:rPr>
            <w:color w:val="23637B"/>
            <w:u w:val="single"/>
          </w:rPr>
          <w:t>[R078]</w:t>
        </w:r>
      </w:hyperlink>
      <w:r>
        <w:t xml:space="preserve"> </w:t>
      </w:r>
      <w:hyperlink r:id="rId39">
        <w:r>
          <w:rPr>
            <w:color w:val="23637B"/>
            <w:u w:val="single"/>
          </w:rPr>
          <w:t>[R064]</w:t>
        </w:r>
      </w:hyperlink>
      <w:r>
        <w:t xml:space="preserve"> </w:t>
      </w:r>
      <w:hyperlink r:id="rId40">
        <w:r>
          <w:rPr>
            <w:color w:val="23637B"/>
            <w:u w:val="single"/>
          </w:rPr>
          <w:t>[R079]</w:t>
        </w:r>
      </w:hyperlink>
      <w:r>
        <w:t xml:space="preserve"> </w:t>
      </w:r>
      <w:hyperlink r:id="rId32">
        <w:r>
          <w:rPr>
            <w:color w:val="23637B"/>
            <w:u w:val="single"/>
          </w:rPr>
          <w:t>[R075]</w:t>
        </w:r>
      </w:hyperlink>
    </w:p>
    <w:p>
      <w:r>
        <w:rPr>
          <w:b/>
        </w:rPr>
        <w:t>Konungs skuggsjá</w:t>
      </w:r>
      <w:r>
        <w:t xml:space="preserve"> добавлено как самостоятельный древнескандинавский диалог наставления: найден старый оригинальный текст и перевод Larson. Grágás и Tryggðamál удержаны как инструменты проверки нормативного словаря и формул саг, а не как полное исследование средневекового скандинавского права. </w:t>
      </w:r>
      <w:hyperlink r:id="rId85">
        <w:r>
          <w:rPr>
            <w:color w:val="23637B"/>
            <w:u w:val="single"/>
          </w:rPr>
          <w:t>[R055]</w:t>
        </w:r>
      </w:hyperlink>
      <w:r>
        <w:t xml:space="preserve"> </w:t>
      </w:r>
      <w:hyperlink r:id="rId86">
        <w:r>
          <w:rPr>
            <w:color w:val="23637B"/>
            <w:u w:val="single"/>
          </w:rPr>
          <w:t>[R058]</w:t>
        </w:r>
      </w:hyperlink>
      <w:r>
        <w:t xml:space="preserve"> </w:t>
      </w:r>
      <w:hyperlink r:id="rId87">
        <w:r>
          <w:rPr>
            <w:color w:val="23637B"/>
            <w:u w:val="single"/>
          </w:rPr>
          <w:t>[R056]</w:t>
        </w:r>
      </w:hyperlink>
      <w:r>
        <w:t xml:space="preserve"> </w:t>
      </w:r>
      <w:hyperlink r:id="rId88">
        <w:r>
          <w:rPr>
            <w:color w:val="23637B"/>
            <w:u w:val="single"/>
          </w:rPr>
          <w:t>[R039]</w:t>
        </w:r>
      </w:hyperlink>
    </w:p>
    <w:p>
      <w:pPr>
        <w:pStyle w:val="Heading2"/>
      </w:pPr>
      <w:r>
        <w:t>3.7. Машиночитаемый вход с наиболее ясными условиями</w:t>
      </w:r>
    </w:p>
    <w:p>
      <w:r>
        <w:t xml:space="preserve">Для первого локального эксперимента пригоден </w:t>
      </w:r>
      <w:r>
        <w:rPr>
          <w:b/>
        </w:rPr>
        <w:t>UD Icelandic-IcePaHC</w:t>
      </w:r>
      <w:r>
        <w:t xml:space="preserve">: LICENSE прямо указывает CC BY-SA 4.0, данные даны в CoNLL-U. В набор входят исторические отрывки, в том числе из Первого грамматического трактата, Homiliubók, Grágás и саг. Это не полный корпус перечисленных книг. Метки дат в именах текстов не приняты как новые точные датировки произведений. Другие полезные форматы — XML SagaDB, издательский XML Pettit и IIIF DG 11 — имеют собственные, отличные условия. </w:t>
      </w:r>
      <w:hyperlink r:id="rId89">
        <w:r>
          <w:rPr>
            <w:color w:val="23637B"/>
            <w:u w:val="single"/>
          </w:rPr>
          <w:t>[R065]</w:t>
        </w:r>
      </w:hyperlink>
      <w:r>
        <w:t xml:space="preserve"> </w:t>
      </w:r>
      <w:hyperlink r:id="rId90">
        <w:r>
          <w:rPr>
            <w:color w:val="23637B"/>
            <w:u w:val="single"/>
          </w:rPr>
          <w:t>[S4]</w:t>
        </w:r>
      </w:hyperlink>
    </w:p>
    <w:p>
      <w:r>
        <w:br w:type="page"/>
      </w:r>
    </w:p>
    <w:p>
      <w:pPr>
        <w:pStyle w:val="Heading1"/>
      </w:pPr>
      <w:r>
        <w:t>4. Карта прав и практического использования</w:t>
      </w:r>
    </w:p>
    <w:p>
      <w:pPr>
        <w:pStyle w:val="Heading2"/>
      </w:pPr>
      <w:r>
        <w:t>Открытые слои: три практически разных основания</w:t>
      </w:r>
    </w:p>
    <w:p>
      <w:r>
        <w:rPr>
          <w:b/>
        </w:rPr>
        <w:t>Pettit 2023 — CC BY-NC 4.0.</w:t>
      </w:r>
      <w:r>
        <w:t xml:space="preserve"> Для покрытых лицензией текста, перевода и авторского аппарата ToS может готовить некоммерческие копии и производные материалы с атрибуцией, ссылкой на лицензию и обозначением изменений. Это основание для собственных переводов с опубликованного древнескандинавского текста. Оно не распространяется автоматически на исключённые сторонние изображения. Общее CC BY в подвале сайта OBP не отменяет отдельное NC-условие этой книги. </w:t>
      </w:r>
      <w:hyperlink r:id="rId11">
        <w:r>
          <w:rPr>
            <w:color w:val="23637B"/>
            <w:u w:val="single"/>
          </w:rPr>
          <w:t>[R001]</w:t>
        </w:r>
      </w:hyperlink>
      <w:r>
        <w:t xml:space="preserve"> </w:t>
      </w:r>
      <w:hyperlink r:id="rId55">
        <w:r>
          <w:rPr>
            <w:color w:val="23637B"/>
            <w:u w:val="single"/>
          </w:rPr>
          <w:t>[R002]</w:t>
        </w:r>
      </w:hyperlink>
      <w:r>
        <w:t xml:space="preserve"> </w:t>
      </w:r>
      <w:hyperlink r:id="rId11">
        <w:r>
          <w:rPr>
            <w:color w:val="23637B"/>
            <w:u w:val="single"/>
          </w:rPr>
          <w:t>[S2]</w:t>
        </w:r>
      </w:hyperlink>
    </w:p>
    <w:p>
      <w:r>
        <w:rPr>
          <w:b/>
        </w:rPr>
        <w:t>DG 11 — Public Domain Mark для изображений и CC0 для описания.</w:t>
      </w:r>
      <w:r>
        <w:t xml:space="preserve"> Изображения можно рассматривать как наиболее свободную факсимильную основу из найденных; на ней возможны самостоятельные транскрипция, OCR и перевод. Public Domain Mark — маркировка статуса, не договорная лицензия. Положительные теги ограничены этим свидетелем, а CC0 описания не является основанием для прав на чужие фотографии в других коллекциях. </w:t>
      </w:r>
      <w:hyperlink r:id="rId61">
        <w:r>
          <w:rPr>
            <w:color w:val="23637B"/>
            <w:u w:val="single"/>
          </w:rPr>
          <w:t>[R040]</w:t>
        </w:r>
      </w:hyperlink>
      <w:r>
        <w:t xml:space="preserve"> </w:t>
      </w:r>
      <w:hyperlink r:id="rId62">
        <w:r>
          <w:rPr>
            <w:color w:val="23637B"/>
            <w:u w:val="single"/>
          </w:rPr>
          <w:t>[R041]</w:t>
        </w:r>
      </w:hyperlink>
      <w:r>
        <w:t xml:space="preserve"> </w:t>
      </w:r>
      <w:hyperlink r:id="rId62">
        <w:r>
          <w:rPr>
            <w:color w:val="23637B"/>
            <w:u w:val="single"/>
          </w:rPr>
          <w:t>[S3]</w:t>
        </w:r>
      </w:hyperlink>
    </w:p>
    <w:p>
      <w:r>
        <w:rPr>
          <w:b/>
        </w:rPr>
        <w:t>UD Icelandic-IcePaHC — CC BY-SA 4.0.</w:t>
      </w:r>
      <w:r>
        <w:t xml:space="preserve"> Допустимо повторное использование включённых данных с соблюдением атрибуции и применимого ShareAlike для производных материалов. Рекомендация касается только включённых фрагментов и разметки. Она не разрешает автоматически получить и переиздать целые книги, из которых взяты отрывки, или перенести лицензию UD на исходный IcePaHC. </w:t>
      </w:r>
      <w:hyperlink r:id="rId89">
        <w:r>
          <w:rPr>
            <w:color w:val="23637B"/>
            <w:u w:val="single"/>
          </w:rPr>
          <w:t>[R065]</w:t>
        </w:r>
      </w:hyperlink>
      <w:r>
        <w:t xml:space="preserve"> </w:t>
      </w:r>
      <w:hyperlink r:id="rId90">
        <w:r>
          <w:rPr>
            <w:color w:val="23637B"/>
            <w:u w:val="single"/>
          </w:rPr>
          <w:t>[S4]</w:t>
        </w:r>
      </w:hyperlink>
    </w:p>
    <w:p>
      <w:pPr>
        <w:pStyle w:val="Heading2"/>
      </w:pPr>
      <w:r>
        <w:t>Раздельные действия, а не одно общее «можно»</w:t>
      </w:r>
    </w:p>
    <w:tbl>
      <w:tblPr>
        <w:tblW w:type="auto" w:w="0"/>
        <w:jc w:val="center"/>
        <w:tblLayout w:type="fixed"/>
        <w:tblLook w:firstColumn="1" w:firstRow="1" w:lastColumn="0" w:lastRow="0" w:noHBand="0" w:noVBand="1" w:val="04A0"/>
      </w:tblPr>
      <w:tblGrid>
        <w:gridCol w:w="1814"/>
        <w:gridCol w:w="3912"/>
        <w:gridCol w:w="3912"/>
      </w:tblGrid>
      <w:tr>
        <w:trPr>
          <w:tblHeader/>
        </w:trPr>
        <w:tc>
          <w:tcPr>
            <w:tcW w:type="dxa" w:w="1814"/>
            <w:shd w:fill="17364A"/>
          </w:tcPr>
          <w:p>
            <w:pPr>
              <w:widowControl/>
            </w:pPr>
            <w:r>
              <w:rPr>
                <w:rFonts w:ascii="DejaVu Sans" w:hAnsi="DejaVu Sans"/>
                <w:b/>
                <w:color w:val="FFFFFF"/>
                <w:sz w:val="18"/>
              </w:rPr>
              <w:t>Действие ToS</w:t>
            </w:r>
          </w:p>
        </w:tc>
        <w:tc>
          <w:tcPr>
            <w:tcW w:type="dxa" w:w="3912"/>
            <w:shd w:fill="17364A"/>
          </w:tcPr>
          <w:p>
            <w:pPr>
              <w:widowControl/>
            </w:pPr>
            <w:r>
              <w:rPr>
                <w:rFonts w:ascii="DejaVu Sans" w:hAnsi="DejaVu Sans"/>
                <w:b/>
                <w:color w:val="FFFFFF"/>
                <w:sz w:val="18"/>
              </w:rPr>
              <w:t>Где есть положительное основание</w:t>
            </w:r>
          </w:p>
        </w:tc>
        <w:tc>
          <w:tcPr>
            <w:tcW w:type="dxa" w:w="3912"/>
            <w:shd w:fill="17364A"/>
          </w:tcPr>
          <w:p>
            <w:pPr>
              <w:widowControl/>
            </w:pPr>
            <w:r>
              <w:rPr>
                <w:rFonts w:ascii="DejaVu Sans" w:hAnsi="DejaVu Sans"/>
                <w:b/>
                <w:color w:val="FFFFFF"/>
                <w:sz w:val="18"/>
              </w:rPr>
              <w:t>Граница</w:t>
            </w:r>
          </w:p>
        </w:tc>
      </w:tr>
      <w:tr>
        <w:trPr>
          <w:cantSplit/>
        </w:trPr>
        <w:tc>
          <w:tcPr>
            <w:tcW w:type="dxa" w:w="1814"/>
            <w:vAlign w:val="top"/>
            <w:shd w:fill="F1F5F7"/>
          </w:tcPr>
          <w:p>
            <w:pPr>
              <w:widowControl/>
              <w:spacing w:after="80" w:before="80" w:line="240" w:lineRule="auto"/>
            </w:pPr>
            <w:r>
              <w:rPr>
                <w:rFonts w:ascii="DejaVu Sans" w:hAnsi="DejaVu Sans"/>
                <w:sz w:val="18"/>
              </w:rPr>
              <w:t>Зеркало / раздача</w:t>
            </w:r>
          </w:p>
        </w:tc>
        <w:tc>
          <w:tcPr>
            <w:tcW w:type="dxa" w:w="3912"/>
            <w:vAlign w:val="top"/>
            <w:shd w:fill="F1F5F7"/>
          </w:tcPr>
          <w:p>
            <w:pPr>
              <w:widowControl/>
              <w:spacing w:after="80" w:before="80" w:line="240" w:lineRule="auto"/>
            </w:pPr>
            <w:r>
              <w:rPr>
                <w:rFonts w:ascii="DejaVu Sans" w:hAnsi="DejaVu Sans"/>
                <w:sz w:val="18"/>
              </w:rPr>
              <w:t>Pettit — NC+BY; DG 11 — PDM/CC0; UD — BY-SA.</w:t>
            </w:r>
          </w:p>
        </w:tc>
        <w:tc>
          <w:tcPr>
            <w:tcW w:type="dxa" w:w="3912"/>
            <w:vAlign w:val="top"/>
            <w:shd w:fill="F1F5F7"/>
          </w:tcPr>
          <w:p>
            <w:pPr>
              <w:widowControl/>
              <w:spacing w:after="80" w:before="80" w:line="240" w:lineRule="auto"/>
            </w:pPr>
            <w:r>
              <w:rPr>
                <w:rFonts w:ascii="DejaVu Sans" w:hAnsi="DejaVu Sans"/>
                <w:sz w:val="18"/>
              </w:rPr>
              <w:t>Не расширять действие на другие версии, рукописи, изображения и полный исходный корпус.</w:t>
            </w:r>
          </w:p>
        </w:tc>
      </w:tr>
      <w:tr>
        <w:trPr>
          <w:cantSplit/>
        </w:trPr>
        <w:tc>
          <w:tcPr>
            <w:tcW w:type="dxa" w:w="1814"/>
            <w:vAlign w:val="top"/>
          </w:tcPr>
          <w:p>
            <w:pPr>
              <w:widowControl/>
              <w:spacing w:after="80" w:before="80" w:line="240" w:lineRule="auto"/>
            </w:pPr>
            <w:r>
              <w:rPr>
                <w:rFonts w:ascii="DejaVu Sans" w:hAnsi="DejaVu Sans"/>
                <w:sz w:val="18"/>
              </w:rPr>
              <w:t>OCR</w:t>
            </w:r>
          </w:p>
        </w:tc>
        <w:tc>
          <w:tcPr>
            <w:tcW w:type="dxa" w:w="3912"/>
            <w:vAlign w:val="top"/>
          </w:tcPr>
          <w:p>
            <w:pPr>
              <w:widowControl/>
              <w:spacing w:after="80" w:before="80" w:line="240" w:lineRule="auto"/>
            </w:pPr>
            <w:r>
              <w:rPr>
                <w:rFonts w:ascii="DejaVu Sans" w:hAnsi="DejaVu Sans"/>
                <w:sz w:val="18"/>
              </w:rPr>
              <w:t>Pettit и изображения DG 11 в указанном объёме.</w:t>
            </w:r>
          </w:p>
        </w:tc>
        <w:tc>
          <w:tcPr>
            <w:tcW w:type="dxa" w:w="3912"/>
            <w:vAlign w:val="top"/>
          </w:tcPr>
          <w:p>
            <w:pPr>
              <w:widowControl/>
              <w:spacing w:after="80" w:before="80" w:line="240" w:lineRule="auto"/>
            </w:pPr>
            <w:r>
              <w:rPr>
                <w:rFonts w:ascii="DejaVu Sans" w:hAnsi="DejaVu Sans"/>
                <w:sz w:val="18"/>
              </w:rPr>
              <w:t>Это не разрешение распознавать и публиковать любой PDF той же книги или темы.</w:t>
            </w:r>
          </w:p>
        </w:tc>
      </w:tr>
      <w:tr>
        <w:trPr>
          <w:cantSplit/>
        </w:trPr>
        <w:tc>
          <w:tcPr>
            <w:tcW w:type="dxa" w:w="1814"/>
            <w:vAlign w:val="top"/>
            <w:shd w:fill="F1F5F7"/>
          </w:tcPr>
          <w:p>
            <w:pPr>
              <w:widowControl/>
              <w:spacing w:after="80" w:before="80" w:line="240" w:lineRule="auto"/>
            </w:pPr>
            <w:r>
              <w:rPr>
                <w:rFonts w:ascii="DejaVu Sans" w:hAnsi="DejaVu Sans"/>
                <w:sz w:val="18"/>
              </w:rPr>
              <w:t>Публичный полнотекстовый индекс</w:t>
            </w:r>
          </w:p>
        </w:tc>
        <w:tc>
          <w:tcPr>
            <w:tcW w:type="dxa" w:w="3912"/>
            <w:vAlign w:val="top"/>
            <w:shd w:fill="F1F5F7"/>
          </w:tcPr>
          <w:p>
            <w:pPr>
              <w:widowControl/>
              <w:spacing w:after="80" w:before="80" w:line="240" w:lineRule="auto"/>
            </w:pPr>
            <w:r>
              <w:rPr>
                <w:rFonts w:ascii="DejaVu Sans" w:hAnsi="DejaVu Sans"/>
                <w:sz w:val="18"/>
              </w:rPr>
              <w:t>Лицензированные слои Pettit и UD; текст, полученный из свободного DG 11.</w:t>
            </w:r>
          </w:p>
        </w:tc>
        <w:tc>
          <w:tcPr>
            <w:tcW w:type="dxa" w:w="3912"/>
            <w:vAlign w:val="top"/>
            <w:shd w:fill="F1F5F7"/>
          </w:tcPr>
          <w:p>
            <w:pPr>
              <w:widowControl/>
              <w:spacing w:after="80" w:before="80" w:line="240" w:lineRule="auto"/>
            </w:pPr>
            <w:r>
              <w:rPr>
                <w:rFonts w:ascii="DejaVu Sans" w:hAnsi="DejaVu Sans"/>
                <w:sz w:val="18"/>
              </w:rPr>
              <w:t>Выводимые пользователю фрагменты и производные данные должны оставаться в соответствующих условиях.</w:t>
            </w:r>
          </w:p>
        </w:tc>
      </w:tr>
      <w:tr>
        <w:trPr>
          <w:cantSplit/>
        </w:trPr>
        <w:tc>
          <w:tcPr>
            <w:tcW w:type="dxa" w:w="1814"/>
            <w:vAlign w:val="top"/>
          </w:tcPr>
          <w:p>
            <w:pPr>
              <w:widowControl/>
              <w:spacing w:after="80" w:before="80" w:line="240" w:lineRule="auto"/>
            </w:pPr>
            <w:r>
              <w:rPr>
                <w:rFonts w:ascii="DejaVu Sans" w:hAnsi="DejaVu Sans"/>
                <w:sz w:val="18"/>
              </w:rPr>
              <w:t>Embeddings</w:t>
            </w:r>
          </w:p>
        </w:tc>
        <w:tc>
          <w:tcPr>
            <w:tcW w:type="dxa" w:w="3912"/>
            <w:vAlign w:val="top"/>
          </w:tcPr>
          <w:p>
            <w:pPr>
              <w:widowControl/>
              <w:spacing w:after="80" w:before="80" w:line="240" w:lineRule="auto"/>
            </w:pPr>
            <w:r>
              <w:rPr>
                <w:rFonts w:ascii="DejaVu Sans" w:hAnsi="DejaVu Sans"/>
                <w:sz w:val="18"/>
              </w:rPr>
              <w:t>Те же явно разрешённые слои, с указанными условиями.</w:t>
            </w:r>
          </w:p>
        </w:tc>
        <w:tc>
          <w:tcPr>
            <w:tcW w:type="dxa" w:w="3912"/>
            <w:vAlign w:val="top"/>
          </w:tcPr>
          <w:p>
            <w:pPr>
              <w:widowControl/>
              <w:spacing w:after="80" w:before="80" w:line="240" w:lineRule="auto"/>
            </w:pPr>
            <w:r>
              <w:rPr>
                <w:rFonts w:ascii="DejaVu Sans" w:hAnsi="DejaVu Sans"/>
                <w:sz w:val="18"/>
              </w:rPr>
              <w:t>Публикация векторов не превращает исходный текст в свободный и не снимает NC/SA там, где они применимы.</w:t>
            </w:r>
          </w:p>
        </w:tc>
      </w:tr>
      <w:tr>
        <w:trPr>
          <w:cantSplit/>
        </w:trPr>
        <w:tc>
          <w:tcPr>
            <w:tcW w:type="dxa" w:w="1814"/>
            <w:vAlign w:val="top"/>
            <w:shd w:fill="F1F5F7"/>
          </w:tcPr>
          <w:p>
            <w:pPr>
              <w:widowControl/>
              <w:spacing w:after="80" w:before="80" w:line="240" w:lineRule="auto"/>
            </w:pPr>
            <w:r>
              <w:rPr>
                <w:rFonts w:ascii="DejaVu Sans" w:hAnsi="DejaVu Sans"/>
                <w:sz w:val="18"/>
              </w:rPr>
              <w:t>Собственный перевод</w:t>
            </w:r>
          </w:p>
        </w:tc>
        <w:tc>
          <w:tcPr>
            <w:tcW w:type="dxa" w:w="3912"/>
            <w:vAlign w:val="top"/>
            <w:shd w:fill="F1F5F7"/>
          </w:tcPr>
          <w:p>
            <w:pPr>
              <w:widowControl/>
              <w:spacing w:after="80" w:before="80" w:line="240" w:lineRule="auto"/>
            </w:pPr>
            <w:r>
              <w:rPr>
                <w:rFonts w:ascii="DejaVu Sans" w:hAnsi="DejaVu Sans"/>
                <w:sz w:val="18"/>
              </w:rPr>
              <w:t>Лицензированный древнескандинавский Pettit; DG 11; исторические отрывки UD.</w:t>
            </w:r>
          </w:p>
        </w:tc>
        <w:tc>
          <w:tcPr>
            <w:tcW w:type="dxa" w:w="3912"/>
            <w:vAlign w:val="top"/>
            <w:shd w:fill="F1F5F7"/>
          </w:tcPr>
          <w:p>
            <w:pPr>
              <w:widowControl/>
              <w:spacing w:after="80" w:before="80" w:line="240" w:lineRule="auto"/>
            </w:pPr>
            <w:r>
              <w:rPr>
                <w:rFonts w:ascii="DejaVu Sans" w:hAnsi="DejaVu Sans"/>
                <w:sz w:val="18"/>
              </w:rPr>
              <w:t>Только покрытый источник. Не по защищённому русскому или английскому переводу-посреднику.</w:t>
            </w:r>
          </w:p>
        </w:tc>
      </w:tr>
    </w:tbl>
    <w:p>
      <w:pPr>
        <w:spacing w:after="0"/>
      </w:pPr>
    </w:p>
    <w:p>
      <w:r>
        <w:t xml:space="preserve">В реестре </w:t>
      </w:r>
      <w:r>
        <w:rPr>
          <w:b/>
        </w:rPr>
        <w:t>пять маршрутов с сильными положительными тегами</w:t>
      </w:r>
      <w:r>
        <w:t xml:space="preserve"> повторного использования, но они относятся к трём различимым основам: одной книге, одному рукописному свидетелю и одному dataset. Это не пять независимо лицензированных древних корпусов. Для применения к публичному сайту важно проверять конкретный режим использования, а не только некоммерческое самоописание проекта.</w:t>
      </w:r>
    </w:p>
    <w:p>
      <w:r>
        <w:br w:type="page"/>
      </w:r>
    </w:p>
    <w:p>
      <w:pPr>
        <w:pStyle w:val="Heading2"/>
      </w:pPr>
      <w:r>
        <w:t>Свободное чтение без доказанного права зеркала</w:t>
      </w:r>
    </w:p>
    <w:p>
      <w:r>
        <w:rPr>
          <w:b/>
        </w:rPr>
        <w:t>Старые издания на Septentrionalia.</w:t>
      </w:r>
      <w:r>
        <w:t xml:space="preserve"> Проект отказывается от дополнительных притязаний на свою оцифровку и связывает пользование с общественным достоянием оригинала в соответствующей стране. Это полезное заявление, но не единый юридический статус всех томов, редакторов и репринтов. Старые оригинальноязычные тексты отмечены как кандидаты чистой переводческой основы; автоматических MIRROR/OCR/EMBEDDINGS-тегов им не выдано. </w:t>
      </w:r>
      <w:hyperlink r:id="rId20">
        <w:r>
          <w:rPr>
            <w:color w:val="23637B"/>
            <w:u w:val="single"/>
          </w:rPr>
          <w:t>[R047]</w:t>
        </w:r>
      </w:hyperlink>
      <w:r>
        <w:t xml:space="preserve"> </w:t>
      </w:r>
      <w:hyperlink r:id="rId34">
        <w:r>
          <w:rPr>
            <w:color w:val="23637B"/>
            <w:u w:val="single"/>
          </w:rPr>
          <w:t>[R049]</w:t>
        </w:r>
      </w:hyperlink>
      <w:r>
        <w:t xml:space="preserve"> </w:t>
      </w:r>
      <w:hyperlink r:id="rId78">
        <w:r>
          <w:rPr>
            <w:color w:val="23637B"/>
            <w:u w:val="single"/>
          </w:rPr>
          <w:t>[R054]</w:t>
        </w:r>
      </w:hyperlink>
      <w:r>
        <w:t xml:space="preserve"> </w:t>
      </w:r>
      <w:hyperlink r:id="rId91">
        <w:r>
          <w:rPr>
            <w:color w:val="23637B"/>
            <w:u w:val="single"/>
          </w:rPr>
          <w:t>[S8]</w:t>
        </w:r>
      </w:hyperlink>
    </w:p>
    <w:p>
      <w:r>
        <w:rPr>
          <w:b/>
        </w:rPr>
        <w:t>Project Gutenberg и институциональные сканы Internet Archive.</w:t>
      </w:r>
      <w:r>
        <w:t xml:space="preserve"> Сохранены бесплатные чтение и загрузка, происхождение экземпляра и заявления о public domain, когда они есть. Вывод PG относится к США. Файл с библиотечным происхождением предпочтительнее анонимной загрузки, но сам Internet Archive не является гарантом прав на любой размещённый текст. </w:t>
      </w:r>
      <w:hyperlink r:id="rId13">
        <w:r>
          <w:rPr>
            <w:color w:val="23637B"/>
            <w:u w:val="single"/>
          </w:rPr>
          <w:t>[R003]</w:t>
        </w:r>
      </w:hyperlink>
      <w:r>
        <w:t xml:space="preserve"> </w:t>
      </w:r>
      <w:hyperlink r:id="rId56">
        <w:r>
          <w:rPr>
            <w:color w:val="23637B"/>
            <w:u w:val="single"/>
          </w:rPr>
          <w:t>[R004]</w:t>
        </w:r>
      </w:hyperlink>
      <w:r>
        <w:t xml:space="preserve"> </w:t>
      </w:r>
      <w:hyperlink r:id="rId48">
        <w:r>
          <w:rPr>
            <w:color w:val="23637B"/>
            <w:u w:val="single"/>
          </w:rPr>
          <w:t>[R057]</w:t>
        </w:r>
      </w:hyperlink>
      <w:r>
        <w:t xml:space="preserve"> </w:t>
      </w:r>
      <w:hyperlink r:id="rId86">
        <w:r>
          <w:rPr>
            <w:color w:val="23637B"/>
            <w:u w:val="single"/>
          </w:rPr>
          <w:t>[R058]</w:t>
        </w:r>
      </w:hyperlink>
      <w:r>
        <w:t xml:space="preserve"> </w:t>
      </w:r>
      <w:hyperlink r:id="rId39">
        <w:r>
          <w:rPr>
            <w:color w:val="23637B"/>
            <w:u w:val="single"/>
          </w:rPr>
          <w:t>[R064]</w:t>
        </w:r>
      </w:hyperlink>
      <w:r>
        <w:t xml:space="preserve"> </w:t>
      </w:r>
      <w:hyperlink r:id="rId92">
        <w:r>
          <w:rPr>
            <w:color w:val="23637B"/>
            <w:u w:val="single"/>
          </w:rPr>
          <w:t>[S13]</w:t>
        </w:r>
      </w:hyperlink>
    </w:p>
    <w:p>
      <w:r>
        <w:rPr>
          <w:b/>
        </w:rPr>
        <w:t>SagaDB.</w:t>
      </w:r>
      <w:r>
        <w:t xml:space="preserve"> Заявление о public domain полезно для обнаружения свободного слоя. Перед публичным зеркалированием всё же нужно установить, от какого печатного текста получена конкретная версия и не примешан ли защищённый перевод или аппарат. Именно поэтому чтение и загрузка разрешены как маршруты, а более широкое использование помечено RIGHTS_REVIEW_REQUIRED. </w:t>
      </w:r>
      <w:hyperlink r:id="rId26">
        <w:r>
          <w:rPr>
            <w:color w:val="23637B"/>
            <w:u w:val="single"/>
          </w:rPr>
          <w:t>[R021]</w:t>
        </w:r>
      </w:hyperlink>
      <w:r>
        <w:t xml:space="preserve"> </w:t>
      </w:r>
      <w:hyperlink r:id="rId68">
        <w:r>
          <w:rPr>
            <w:color w:val="23637B"/>
            <w:u w:val="single"/>
          </w:rPr>
          <w:t>[R022]</w:t>
        </w:r>
      </w:hyperlink>
      <w:r>
        <w:t xml:space="preserve"> </w:t>
      </w:r>
      <w:hyperlink r:id="rId69">
        <w:r>
          <w:rPr>
            <w:color w:val="23637B"/>
            <w:u w:val="single"/>
          </w:rPr>
          <w:t>[S14]</w:t>
        </w:r>
      </w:hyperlink>
    </w:p>
    <w:p>
      <w:r>
        <w:rPr>
          <w:b/>
        </w:rPr>
        <w:t>МИФ: русский Hávamál.</w:t>
      </w:r>
      <w:r>
        <w:t xml:space="preserve"> Издатель сам раздаёт PDF выбранной поэмы; возможна локальная исследовательская копия скачанного файла. Ни древность Hávamál, ни бесплатная раздача 21-страничного PDF не дают права разместить весь перевод на ToS или построить из него публичную полнотекстовую выдачу без дополнительного основания. </w:t>
      </w:r>
      <w:hyperlink r:id="rId49">
        <w:r>
          <w:rPr>
            <w:color w:val="23637B"/>
            <w:u w:val="single"/>
          </w:rPr>
          <w:t>[R070]</w:t>
        </w:r>
      </w:hyperlink>
    </w:p>
    <w:p>
      <w:pPr>
        <w:pStyle w:val="Heading2"/>
      </w:pPr>
      <w:r>
        <w:t>Ограниченные научные версии</w:t>
      </w:r>
    </w:p>
    <w:p>
      <w:r>
        <w:rPr>
          <w:b/>
        </w:rPr>
        <w:t>Viking Society</w:t>
      </w:r>
      <w:r>
        <w:t xml:space="preserve"> прямо допускает справочное использование, оценку книги и частное изучение цифровых версий; иное использование скачанных материалов требует разрешения. Поэтому современные Faulkes, Evans, Lassen и другие издания сохранены как научно важные пути, но не как бесплатный контент для зеркала. Сбой PDF-хоста не превращён в вывод, что издатель отказался от цифровой программы. </w:t>
      </w:r>
      <w:hyperlink r:id="rId12">
        <w:r>
          <w:rPr>
            <w:color w:val="23637B"/>
            <w:u w:val="single"/>
          </w:rPr>
          <w:t>[S1]</w:t>
        </w:r>
      </w:hyperlink>
    </w:p>
    <w:p>
      <w:r>
        <w:rPr>
          <w:b/>
        </w:rPr>
        <w:t>Brepols / SkP, De Gruyter, OUP и URSS</w:t>
      </w:r>
      <w:r>
        <w:t xml:space="preserve"> дают законные покупку, sample, snippet или каталог. Современная редакторская реконструкция, перевод и аппарат остаются отдельными защищёнными слоями. Для массового анализа или публикации защищённых данных нужно применимое разрешение/основание; доступ к купленной книге не равен лицензии на публичный корпус. </w:t>
      </w:r>
      <w:hyperlink r:id="rId22">
        <w:r>
          <w:rPr>
            <w:color w:val="23637B"/>
            <w:u w:val="single"/>
          </w:rPr>
          <w:t>[R066]</w:t>
        </w:r>
      </w:hyperlink>
      <w:r>
        <w:t xml:space="preserve"> </w:t>
      </w:r>
      <w:hyperlink r:id="rId75">
        <w:r>
          <w:rPr>
            <w:color w:val="23637B"/>
            <w:u w:val="single"/>
          </w:rPr>
          <w:t>[R067]</w:t>
        </w:r>
      </w:hyperlink>
      <w:r>
        <w:t xml:space="preserve"> </w:t>
      </w:r>
      <w:hyperlink r:id="rId84">
        <w:r>
          <w:rPr>
            <w:color w:val="23637B"/>
            <w:u w:val="single"/>
          </w:rPr>
          <w:t>[R069]</w:t>
        </w:r>
      </w:hyperlink>
      <w:r>
        <w:t xml:space="preserve"> </w:t>
      </w:r>
      <w:hyperlink r:id="rId60">
        <w:r>
          <w:rPr>
            <w:color w:val="23637B"/>
            <w:u w:val="single"/>
          </w:rPr>
          <w:t>[R073]</w:t>
        </w:r>
      </w:hyperlink>
      <w:r>
        <w:t xml:space="preserve"> </w:t>
      </w:r>
      <w:hyperlink r:id="rId33">
        <w:r>
          <w:rPr>
            <w:color w:val="23637B"/>
            <w:u w:val="single"/>
          </w:rPr>
          <w:t>[R077]</w:t>
        </w:r>
      </w:hyperlink>
      <w:r>
        <w:t xml:space="preserve"> </w:t>
      </w:r>
      <w:hyperlink r:id="rId93">
        <w:r>
          <w:rPr>
            <w:color w:val="23637B"/>
            <w:u w:val="single"/>
          </w:rPr>
          <w:t>[S9]</w:t>
        </w:r>
      </w:hyperlink>
    </w:p>
    <w:p>
      <w:r>
        <w:rPr>
          <w:b/>
        </w:rPr>
        <w:t>Выдача и регистрация.</w:t>
      </w:r>
      <w:r>
        <w:t xml:space="preserve"> Удалось сохранить бесплатный регистрационный маршрут к старопечатному Просперу в Google Play. Рабочая библиотечная выдача или Controlled Digital Lending для конкретного современного издания в этой сессии не подтверждены. Общий заголовок платформы со словом Borrow не использован как доказательство такой выдачи. Доступность для определённой страны, библиотеки или аккаунта остаётся отдельной проверкой. </w:t>
      </w:r>
      <w:hyperlink r:id="rId37">
        <w:r>
          <w:rPr>
            <w:color w:val="23637B"/>
            <w:u w:val="single"/>
          </w:rPr>
          <w:t>[R078]</w:t>
        </w:r>
      </w:hyperlink>
    </w:p>
    <w:p>
      <w:r>
        <w:rPr>
          <w:b/>
        </w:rPr>
        <w:t>NoDerivatives.</w:t>
      </w:r>
      <w:r>
        <w:t xml:space="preserve"> Надёжно подтверждённых ND-вариантов среди выбранных объектов нет; тег UNCHANGED_ONLY поэтому не проставлен. Неизвестные права не заменены предположением «можно распространять хотя бы без изменений».</w:t>
      </w:r>
    </w:p>
    <w:p>
      <w:r>
        <w:t>Для операционной работы приоритет таков: сначала внешняя карточка и источник; затем разрешённая локальная копия; только после проверки версии, coverage и rights_scope — публичные зеркало, полнотекстовый индекс или производный перевод. Отсутствие положительного тега означает отсутствие доказанного разрешения в этом исследовании, а не окончательное утверждение о незаконности любого использования.</w:t>
      </w:r>
    </w:p>
    <w:p>
      <w:r>
        <w:br w:type="page"/>
      </w:r>
    </w:p>
    <w:p>
      <w:pPr>
        <w:pStyle w:val="Heading1"/>
      </w:pPr>
      <w:r>
        <w:t>5. Характерные правовые и текстологические тонкости</w:t>
      </w:r>
    </w:p>
    <w:p>
      <w:pPr>
        <w:pStyle w:val="Heading2"/>
      </w:pPr>
      <w:r>
        <w:t>Оригинал, редакция, файл, платформа</w:t>
      </w:r>
    </w:p>
    <w:p>
      <w:r>
        <w:t xml:space="preserve">Одна и та же поэма может быть общественным достоянием как историческое произведение, охраняться в современном переводе, свободно лицензироваться в определённой электронной редакции и распространяться с отдельными условиями сайта. В XLSX эти четыре слоя разведены. Самый наглядный контраст — древний Hávamál, современный лицензированный Pettit и защищённый русский перевод в разрешённом издательском PDF. </w:t>
      </w:r>
      <w:hyperlink r:id="rId11">
        <w:r>
          <w:rPr>
            <w:color w:val="23637B"/>
            <w:u w:val="single"/>
          </w:rPr>
          <w:t>[R001]</w:t>
        </w:r>
      </w:hyperlink>
      <w:r>
        <w:t xml:space="preserve"> </w:t>
      </w:r>
      <w:hyperlink r:id="rId49">
        <w:r>
          <w:rPr>
            <w:color w:val="23637B"/>
            <w:u w:val="single"/>
          </w:rPr>
          <w:t>[R070]</w:t>
        </w:r>
      </w:hyperlink>
    </w:p>
    <w:p>
      <w:pPr>
        <w:pStyle w:val="Heading2"/>
      </w:pPr>
      <w:r>
        <w:t>Вариантность рукописей — это ограничение объёма разрешения</w:t>
      </w:r>
    </w:p>
    <w:p>
      <w:r>
        <w:t xml:space="preserve">DG 11 — не идентичный заместитель GKS 2367, Wormianus или Trajectinus. Возможность перевести свободное факсимиле DG 11 не означает, что уже получена чистая основа для всех вариантов Snorra Edda. Равным образом все сохранившиеся страницы GKS 2365 не восстанавливают утраченные листы; в NKS 1824 b 4to есть собственные дефекты и обрыв Krákumál. </w:t>
      </w:r>
      <w:hyperlink r:id="rId61">
        <w:r>
          <w:rPr>
            <w:color w:val="23637B"/>
            <w:u w:val="single"/>
          </w:rPr>
          <w:t>[R040]</w:t>
        </w:r>
      </w:hyperlink>
      <w:r>
        <w:t xml:space="preserve"> </w:t>
      </w:r>
      <w:hyperlink r:id="rId19">
        <w:r>
          <w:rPr>
            <w:color w:val="23637B"/>
            <w:u w:val="single"/>
          </w:rPr>
          <w:t>[R043]</w:t>
        </w:r>
      </w:hyperlink>
      <w:r>
        <w:t xml:space="preserve"> </w:t>
      </w:r>
      <w:hyperlink r:id="rId45">
        <w:r>
          <w:rPr>
            <w:color w:val="23637B"/>
            <w:u w:val="single"/>
          </w:rPr>
          <w:t>[R046]</w:t>
        </w:r>
      </w:hyperlink>
      <w:r>
        <w:t xml:space="preserve"> </w:t>
      </w:r>
      <w:hyperlink r:id="rId57">
        <w:r>
          <w:rPr>
            <w:color w:val="23637B"/>
            <w:u w:val="single"/>
          </w:rPr>
          <w:t>[R005]</w:t>
        </w:r>
      </w:hyperlink>
      <w:r>
        <w:t xml:space="preserve"> </w:t>
      </w:r>
      <w:hyperlink r:id="rId80">
        <w:r>
          <w:rPr>
            <w:color w:val="23637B"/>
            <w:u w:val="single"/>
          </w:rPr>
          <w:t>[R076]</w:t>
        </w:r>
      </w:hyperlink>
    </w:p>
    <w:p>
      <w:r>
        <w:t xml:space="preserve">III грамматический трактат особенно требует различать полноту файла и полноту произведения. Старое издание или современная статья могут собрать разные свидетели, но текст всё равно имеет утраты. Поэтому coverage не повышен до полного авторского текста только потому, что PDF скачивается целиком. </w:t>
      </w:r>
      <w:hyperlink r:id="rId20">
        <w:r>
          <w:rPr>
            <w:color w:val="23637B"/>
            <w:u w:val="single"/>
          </w:rPr>
          <w:t>[R047]</w:t>
        </w:r>
      </w:hyperlink>
      <w:r>
        <w:t xml:space="preserve"> </w:t>
      </w:r>
      <w:hyperlink r:id="rId21">
        <w:r>
          <w:rPr>
            <w:color w:val="23637B"/>
            <w:u w:val="single"/>
          </w:rPr>
          <w:t>[R048]</w:t>
        </w:r>
      </w:hyperlink>
      <w:r>
        <w:t xml:space="preserve"> </w:t>
      </w:r>
      <w:hyperlink r:id="rId41">
        <w:r>
          <w:rPr>
            <w:color w:val="23637B"/>
            <w:u w:val="single"/>
          </w:rPr>
          <w:t>[S11]</w:t>
        </w:r>
      </w:hyperlink>
    </w:p>
    <w:p>
      <w:pPr>
        <w:pStyle w:val="Heading2"/>
      </w:pPr>
      <w:r>
        <w:t>Смешанные права не передаются по соседству</w:t>
      </w:r>
    </w:p>
    <w:p>
      <w:r>
        <w:t xml:space="preserve">В Manuscripta отдельно указаны описание CC0 и изображения Public Domain; в SagaDB отдельно стоят текстовое заявление и лицензия кода; у UD имеется собственный LICENSE. Пример TEI-header в учебном руководстве Menota, даже с явным CC-обозначением, не лицензирует произвольный текущий reader. Права на фотографии нельзя вывести из лицензии XML-описания рукописи. </w:t>
      </w:r>
      <w:hyperlink r:id="rId62">
        <w:r>
          <w:rPr>
            <w:color w:val="23637B"/>
            <w:u w:val="single"/>
          </w:rPr>
          <w:t>[R041]</w:t>
        </w:r>
      </w:hyperlink>
      <w:r>
        <w:t xml:space="preserve"> </w:t>
      </w:r>
      <w:hyperlink r:id="rId68">
        <w:r>
          <w:rPr>
            <w:color w:val="23637B"/>
            <w:u w:val="single"/>
          </w:rPr>
          <w:t>[R022]</w:t>
        </w:r>
      </w:hyperlink>
      <w:r>
        <w:t xml:space="preserve"> </w:t>
      </w:r>
      <w:hyperlink r:id="rId89">
        <w:r>
          <w:rPr>
            <w:color w:val="23637B"/>
            <w:u w:val="single"/>
          </w:rPr>
          <w:t>[R065]</w:t>
        </w:r>
      </w:hyperlink>
      <w:r>
        <w:t xml:space="preserve"> </w:t>
      </w:r>
      <w:hyperlink r:id="rId19">
        <w:r>
          <w:rPr>
            <w:color w:val="23637B"/>
            <w:u w:val="single"/>
          </w:rPr>
          <w:t>[R043]</w:t>
        </w:r>
      </w:hyperlink>
    </w:p>
    <w:p>
      <w:pPr>
        <w:pStyle w:val="Heading2"/>
      </w:pPr>
      <w:r>
        <w:t>Старое издание и поздний репринт</w:t>
      </w:r>
    </w:p>
    <w:p>
      <w:r>
        <w:t xml:space="preserve">В полном HTML перевода Konungs skuggsjá у PG присутствуют сведения Twayne и библиотечный номер 72-1542 при исходном copyright 1917. Запись поэтому уточнена: это текст старого перевода из более позднего репринтного оформления, а не доказанный скан первого издания 1917. Отдельные новые вступления и примечания не получают старую дату автоматически. </w:t>
      </w:r>
      <w:hyperlink r:id="rId86">
        <w:r>
          <w:rPr>
            <w:color w:val="23637B"/>
            <w:u w:val="single"/>
          </w:rPr>
          <w:t>[R058]</w:t>
        </w:r>
      </w:hyperlink>
    </w:p>
    <w:p>
      <w:r>
        <w:t xml:space="preserve">Та же осторожность нужна для русской републикации Свириденко и старых критических изданий, размещённых на современных сайтах. Год исходной печати, жизнь переводчика, территория предполагаемого размещения и новый аппарат — разные данные. Универсальной всемирной формулы «старше ста лет — свободно» в пакет не заложено. </w:t>
      </w:r>
      <w:hyperlink r:id="rId50">
        <w:r>
          <w:rPr>
            <w:color w:val="23637B"/>
            <w:u w:val="single"/>
          </w:rPr>
          <w:t>[R072]</w:t>
        </w:r>
      </w:hyperlink>
      <w:r>
        <w:t xml:space="preserve"> </w:t>
      </w:r>
      <w:hyperlink r:id="rId91">
        <w:r>
          <w:rPr>
            <w:color w:val="23637B"/>
            <w:u w:val="single"/>
          </w:rPr>
          <w:t>[S8]</w:t>
        </w:r>
      </w:hyperlink>
      <w:r>
        <w:t xml:space="preserve"> </w:t>
      </w:r>
      <w:hyperlink r:id="rId92">
        <w:r>
          <w:rPr>
            <w:color w:val="23637B"/>
            <w:u w:val="single"/>
          </w:rPr>
          <w:t>[S13]</w:t>
        </w:r>
      </w:hyperlink>
    </w:p>
    <w:p>
      <w:pPr>
        <w:pStyle w:val="Heading2"/>
      </w:pPr>
      <w:r>
        <w:t>Карточка, анонс и готовый файл</w:t>
      </w:r>
    </w:p>
    <w:p>
      <w:r>
        <w:t xml:space="preserve">EAE и Menota официально описаны и остаются важнейшими входами, хотя их читатели здесь не отработали. Современный De XII abusivis от Brepols был указан к выпуску в декабре 2026; его карточка означает будущий издательский маршрут, не свободный текст на дату проверки. Подобные различия сохранены в verification_status, notes и coverage, а не скрыты одинаковым словом «доступно». </w:t>
      </w:r>
      <w:hyperlink r:id="rId57">
        <w:r>
          <w:rPr>
            <w:color w:val="23637B"/>
            <w:u w:val="single"/>
          </w:rPr>
          <w:t>[R005]</w:t>
        </w:r>
      </w:hyperlink>
      <w:r>
        <w:t xml:space="preserve"> </w:t>
      </w:r>
      <w:hyperlink r:id="rId28">
        <w:r>
          <w:rPr>
            <w:color w:val="23637B"/>
            <w:u w:val="single"/>
          </w:rPr>
          <w:t>[R042]</w:t>
        </w:r>
      </w:hyperlink>
      <w:r>
        <w:t xml:space="preserve"> </w:t>
      </w:r>
      <w:hyperlink r:id="rId32">
        <w:r>
          <w:rPr>
            <w:color w:val="23637B"/>
            <w:u w:val="single"/>
          </w:rPr>
          <w:t>[R075]</w:t>
        </w:r>
      </w:hyperlink>
    </w:p>
    <w:p>
      <w:pPr>
        <w:pStyle w:val="SmallNote"/>
      </w:pPr>
      <w:r>
        <w:t>Юрисдикция публичного зеркала ToS в задании не установлена. Поэтому для старых текстов, где учреждение не дало ясного применимого разрешения, предпочтён осторожный режим: законная ссылка и исследовательский доступ сохраняются, международное распространение не объявляется автоматически разрешённым.</w:t>
      </w:r>
    </w:p>
    <w:p>
      <w:r>
        <w:br w:type="page"/>
      </w:r>
    </w:p>
    <w:p>
      <w:pPr>
        <w:pStyle w:val="Heading1"/>
      </w:pPr>
      <w:r>
        <w:t>6. Пробелы и дальнейший поиск</w:t>
      </w:r>
    </w:p>
    <w:p>
      <w:r>
        <w:t xml:space="preserve">Лист </w:t>
      </w:r>
      <w:r>
        <w:rPr>
          <w:b/>
        </w:rPr>
        <w:t>gaps содержит 26 записей</w:t>
      </w:r>
      <w:r>
        <w:t>. Это не 26 «несуществующих» или полностью недоступных произведений: часть записей относится к лицензии, экспорту, отдельному свидетелю, современному переводу или библиографическому расхождению при уже найденном другом доступе.</w:t>
      </w:r>
    </w:p>
    <w:p>
      <w:pPr>
        <w:pStyle w:val="Heading2"/>
      </w:pPr>
      <w:r>
        <w:t>Где покрытие ещё не замкнуто</w:t>
      </w:r>
    </w:p>
    <w:p>
      <w:r>
        <w:rPr>
          <w:b/>
        </w:rPr>
        <w:t>Рукописи и электронные издания.</w:t>
      </w:r>
      <w:r>
        <w:t xml:space="preserve"> Не получены проверенные экспорт и права EAE GKS 2365, текущих Menota AM 132/242/677 и stanza-level Skaldic. ONP возвратил 403. Для Trajectinus осталась университетская карточка без полного факсимиле; для AM 748 I a 4to нужен самостоятельный каталог. У Hauksbók сохранён XML-описатель AM 544, не весь составной кодекс.</w:t>
      </w:r>
    </w:p>
    <w:p>
      <w:r>
        <w:rPr>
          <w:b/>
        </w:rPr>
        <w:t>Полные версии и старопечатные источники.</w:t>
      </w:r>
      <w:r>
        <w:t xml:space="preserve"> Для Laufás Edda найден лишь фрагмент. Resen 1665 имеет конкретный кандидат MDZ bsb10007610, но viewer и IIIF manifest не открылись. У Проспера 1555 подтверждена бесплатная карточка, а не полнота скана. Несколько больших PDF Septentrionalia не просмотрены постранично.</w:t>
      </w:r>
    </w:p>
    <w:p>
      <w:r>
        <w:rPr>
          <w:b/>
        </w:rPr>
        <w:t>Научные издания и переводы.</w:t>
      </w:r>
      <w:r>
        <w:t xml:space="preserve"> Не завершены item-level маршруты Dronke I–III, Kommentar zu den Liedern der Edda и критических томов Njála/Laxdæla; официальный Hackett по современному Völsunga дал 403. Русские полные саговые переводы и исторический скан Свириденко не получили проверенного цифрового входа. Эти лакуны не отменяют сохранённые старые английские тексты, оригиналы и издательские карточки.</w:t>
      </w:r>
    </w:p>
    <w:p>
      <w:r>
        <w:rPr>
          <w:b/>
        </w:rPr>
        <w:t>Входящие латинские линии.</w:t>
      </w:r>
      <w:r>
        <w:t xml:space="preserve"> Нужно довести доступ к конкретным Homiliae in Evangelia, Donatus, Priscian, Ars Brugensis и Doctrinale. Диссертация Breen в TARA осталась за 403. Hólar Cato выявлен только как кандидат продолжения, а не как проверенная версия текста.</w:t>
      </w:r>
    </w:p>
    <w:p>
      <w:r>
        <w:rPr>
          <w:b/>
        </w:rPr>
        <w:t>Неустановленные кандидаты.</w:t>
      </w:r>
      <w:r>
        <w:t xml:space="preserve"> AM 748 I a 4to, Hólar Cato и OICEN имеют статус unverified_candidate. Их названия сохранены для прицельной проверки; слабая навигация, поисковый фрагмент или предполагаемая релевантность не использованы вместо официальной карточки. Аналогично наличие кода или модели распознавания не принято за разрешение на обучающие изображения.</w:t>
      </w:r>
    </w:p>
    <w:p>
      <w:pPr>
        <w:pStyle w:val="Heading2"/>
      </w:pPr>
      <w:r>
        <w:t>Восемь приоритетных направлений</w:t>
      </w:r>
    </w:p>
    <w:tbl>
      <w:tblPr>
        <w:tblW w:type="auto" w:w="0"/>
        <w:jc w:val="center"/>
        <w:tblLayout w:type="fixed"/>
        <w:tblLook w:firstColumn="1" w:firstRow="1" w:lastColumn="0" w:lastRow="0" w:noHBand="0" w:noVBand="1" w:val="04A0"/>
      </w:tblPr>
      <w:tblGrid>
        <w:gridCol w:w="1984"/>
        <w:gridCol w:w="7654"/>
      </w:tblGrid>
      <w:tr>
        <w:trPr>
          <w:tblHeader/>
        </w:trPr>
        <w:tc>
          <w:tcPr>
            <w:tcW w:type="dxa" w:w="1984"/>
            <w:shd w:fill="17364A"/>
          </w:tcPr>
          <w:p>
            <w:pPr>
              <w:widowControl/>
            </w:pPr>
            <w:r>
              <w:rPr>
                <w:rFonts w:ascii="DejaVu Sans" w:hAnsi="DejaVu Sans"/>
                <w:b/>
                <w:color w:val="FFFFFF"/>
                <w:sz w:val="18"/>
              </w:rPr>
              <w:t>Приоритет</w:t>
            </w:r>
          </w:p>
        </w:tc>
        <w:tc>
          <w:tcPr>
            <w:tcW w:type="dxa" w:w="7654"/>
            <w:shd w:fill="17364A"/>
          </w:tcPr>
          <w:p>
            <w:pPr>
              <w:widowControl/>
            </w:pPr>
            <w:r>
              <w:rPr>
                <w:rFonts w:ascii="DejaVu Sans" w:hAnsi="DejaVu Sans"/>
                <w:b/>
                <w:color w:val="FFFFFF"/>
                <w:sz w:val="18"/>
              </w:rPr>
              <w:t>Следующее действие и проверяемый результат</w:t>
            </w:r>
          </w:p>
        </w:tc>
      </w:tr>
      <w:tr>
        <w:trPr>
          <w:cantSplit/>
        </w:trPr>
        <w:tc>
          <w:tcPr>
            <w:tcW w:type="dxa" w:w="1984"/>
            <w:vAlign w:val="top"/>
            <w:shd w:fill="F1F5F7"/>
          </w:tcPr>
          <w:p>
            <w:pPr>
              <w:widowControl/>
              <w:spacing w:after="80" w:before="80" w:line="240" w:lineRule="auto"/>
            </w:pPr>
            <w:r>
              <w:rPr>
                <w:rFonts w:ascii="DejaVu Sans" w:hAnsi="DejaVu Sans"/>
                <w:sz w:val="18"/>
              </w:rPr>
              <w:t>1. Эддическая цифровая основа</w:t>
            </w:r>
          </w:p>
        </w:tc>
        <w:tc>
          <w:tcPr>
            <w:tcW w:type="dxa" w:w="7654"/>
            <w:vAlign w:val="top"/>
            <w:shd w:fill="F1F5F7"/>
          </w:tcPr>
          <w:p>
            <w:pPr>
              <w:widowControl/>
              <w:spacing w:after="80" w:before="80" w:line="240" w:lineRule="auto"/>
            </w:pPr>
            <w:r>
              <w:rPr>
                <w:rFonts w:ascii="DejaVu Sans" w:hAnsi="DejaVu Sans"/>
                <w:sz w:val="18"/>
              </w:rPr>
              <w:t>EAE GKS 2365 и AM 748: получить точные reader/XML/rights, сверить лакуны. Отдельно проверить, какие лицензии принадлежат транскрипции, какие изображениям.</w:t>
            </w:r>
          </w:p>
        </w:tc>
      </w:tr>
      <w:tr>
        <w:trPr>
          <w:cantSplit/>
        </w:trPr>
        <w:tc>
          <w:tcPr>
            <w:tcW w:type="dxa" w:w="1984"/>
            <w:vAlign w:val="top"/>
          </w:tcPr>
          <w:p>
            <w:pPr>
              <w:widowControl/>
              <w:spacing w:after="80" w:before="80" w:line="240" w:lineRule="auto"/>
            </w:pPr>
            <w:r>
              <w:rPr>
                <w:rFonts w:ascii="DejaVu Sans" w:hAnsi="DejaVu Sans"/>
                <w:sz w:val="18"/>
              </w:rPr>
              <w:t>2. Menota и Skaldic</w:t>
            </w:r>
          </w:p>
        </w:tc>
        <w:tc>
          <w:tcPr>
            <w:tcW w:type="dxa" w:w="7654"/>
            <w:vAlign w:val="top"/>
          </w:tcPr>
          <w:p>
            <w:pPr>
              <w:widowControl/>
              <w:spacing w:after="80" w:before="80" w:line="240" w:lineRule="auto"/>
            </w:pPr>
            <w:r>
              <w:rPr>
                <w:rFonts w:ascii="DejaVu Sans" w:hAnsi="DejaVu Sans"/>
                <w:sz w:val="18"/>
              </w:rPr>
              <w:t>Получить фактические availability и экспорт AM 132/242/677; для Skaldic начать с Hávamál, Málsháttakvæði, Háttalykill, Hugsvinnsmál, Sólarljóð. Не переносить лицензию примера.</w:t>
            </w:r>
          </w:p>
        </w:tc>
      </w:tr>
      <w:tr>
        <w:trPr>
          <w:cantSplit/>
        </w:trPr>
        <w:tc>
          <w:tcPr>
            <w:tcW w:type="dxa" w:w="1984"/>
            <w:vAlign w:val="top"/>
            <w:shd w:fill="F1F5F7"/>
          </w:tcPr>
          <w:p>
            <w:pPr>
              <w:widowControl/>
              <w:spacing w:after="80" w:before="80" w:line="240" w:lineRule="auto"/>
            </w:pPr>
            <w:r>
              <w:rPr>
                <w:rFonts w:ascii="DejaVu Sans" w:hAnsi="DejaVu Sans"/>
                <w:sz w:val="18"/>
              </w:rPr>
              <w:t>3. Поздняя передача Эдды</w:t>
            </w:r>
          </w:p>
        </w:tc>
        <w:tc>
          <w:tcPr>
            <w:tcW w:type="dxa" w:w="7654"/>
            <w:vAlign w:val="top"/>
            <w:shd w:fill="F1F5F7"/>
          </w:tcPr>
          <w:p>
            <w:pPr>
              <w:widowControl/>
              <w:spacing w:after="80" w:before="80" w:line="240" w:lineRule="auto"/>
            </w:pPr>
            <w:r>
              <w:rPr>
                <w:rFonts w:ascii="DejaVu Sans" w:hAnsi="DejaVu Sans"/>
                <w:sz w:val="18"/>
              </w:rPr>
              <w:t>Trajectinus Ms. 1374, полный Laufás 1609 и Resen 1665: установить экземпляр, состав, файлы и права, сохраняя различие поздней копии и раннего произведения.</w:t>
            </w:r>
          </w:p>
        </w:tc>
      </w:tr>
      <w:tr>
        <w:trPr>
          <w:cantSplit/>
        </w:trPr>
        <w:tc>
          <w:tcPr>
            <w:tcW w:type="dxa" w:w="1984"/>
            <w:vAlign w:val="top"/>
          </w:tcPr>
          <w:p>
            <w:pPr>
              <w:widowControl/>
              <w:spacing w:after="80" w:before="80" w:line="240" w:lineRule="auto"/>
            </w:pPr>
            <w:r>
              <w:rPr>
                <w:rFonts w:ascii="DejaVu Sans" w:hAnsi="DejaVu Sans"/>
                <w:sz w:val="18"/>
              </w:rPr>
              <w:t>4. Латинское ядро AM 677</w:t>
            </w:r>
          </w:p>
        </w:tc>
        <w:tc>
          <w:tcPr>
            <w:tcW w:type="dxa" w:w="7654"/>
            <w:vAlign w:val="top"/>
          </w:tcPr>
          <w:p>
            <w:pPr>
              <w:widowControl/>
              <w:spacing w:after="80" w:before="80" w:line="240" w:lineRule="auto"/>
            </w:pPr>
            <w:r>
              <w:rPr>
                <w:rFonts w:ascii="DejaVu Sans" w:hAnsi="DejaVu Sans"/>
                <w:sz w:val="18"/>
              </w:rPr>
              <w:t>Соотнести тексты кодекса с полными латинскими оригиналами; проверить Проспера 1555 и TARA Breen. Отдельно перепроверить выход CCSL 3J после заявленной даты.</w:t>
            </w:r>
          </w:p>
        </w:tc>
      </w:tr>
    </w:tbl>
    <w:p>
      <w:pPr>
        <w:spacing w:after="0"/>
      </w:pPr>
    </w:p>
    <w:p>
      <w:r>
        <w:br w:type="page"/>
      </w:r>
    </w:p>
    <w:p>
      <w:pPr>
        <w:pStyle w:val="Heading2"/>
      </w:pPr>
      <w:r>
        <w:t>Приоритетные направления — продолжение</w:t>
      </w:r>
    </w:p>
    <w:tbl>
      <w:tblPr>
        <w:tblW w:type="auto" w:w="0"/>
        <w:jc w:val="center"/>
        <w:tblLayout w:type="fixed"/>
        <w:tblLook w:firstColumn="1" w:firstRow="1" w:lastColumn="0" w:lastRow="0" w:noHBand="0" w:noVBand="1" w:val="04A0"/>
      </w:tblPr>
      <w:tblGrid>
        <w:gridCol w:w="1984"/>
        <w:gridCol w:w="7654"/>
      </w:tblGrid>
      <w:tr>
        <w:trPr>
          <w:tblHeader/>
        </w:trPr>
        <w:tc>
          <w:tcPr>
            <w:tcW w:type="dxa" w:w="1984"/>
            <w:shd w:fill="17364A"/>
          </w:tcPr>
          <w:p>
            <w:pPr>
              <w:widowControl/>
            </w:pPr>
            <w:r>
              <w:rPr>
                <w:rFonts w:ascii="DejaVu Sans" w:hAnsi="DejaVu Sans"/>
                <w:b/>
                <w:color w:val="FFFFFF"/>
                <w:sz w:val="18"/>
              </w:rPr>
              <w:t>Приоритет</w:t>
            </w:r>
          </w:p>
        </w:tc>
        <w:tc>
          <w:tcPr>
            <w:tcW w:type="dxa" w:w="7654"/>
            <w:shd w:fill="17364A"/>
          </w:tcPr>
          <w:p>
            <w:pPr>
              <w:widowControl/>
            </w:pPr>
            <w:r>
              <w:rPr>
                <w:rFonts w:ascii="DejaVu Sans" w:hAnsi="DejaVu Sans"/>
                <w:b/>
                <w:color w:val="FFFFFF"/>
                <w:sz w:val="18"/>
              </w:rPr>
              <w:t>Следующее действие и проверяемый результат</w:t>
            </w:r>
          </w:p>
        </w:tc>
      </w:tr>
      <w:tr>
        <w:trPr>
          <w:cantSplit/>
        </w:trPr>
        <w:tc>
          <w:tcPr>
            <w:tcW w:type="dxa" w:w="1984"/>
            <w:vAlign w:val="top"/>
            <w:shd w:fill="F1F5F7"/>
          </w:tcPr>
          <w:p>
            <w:pPr>
              <w:widowControl/>
              <w:spacing w:after="80" w:before="80" w:line="240" w:lineRule="auto"/>
            </w:pPr>
            <w:r>
              <w:rPr>
                <w:rFonts w:ascii="DejaVu Sans" w:hAnsi="DejaVu Sans"/>
                <w:sz w:val="18"/>
              </w:rPr>
              <w:t>5. Грамматическая линия</w:t>
            </w:r>
          </w:p>
        </w:tc>
        <w:tc>
          <w:tcPr>
            <w:tcW w:type="dxa" w:w="7654"/>
            <w:vAlign w:val="top"/>
            <w:shd w:fill="F1F5F7"/>
          </w:tcPr>
          <w:p>
            <w:pPr>
              <w:widowControl/>
              <w:spacing w:after="80" w:before="80" w:line="240" w:lineRule="auto"/>
            </w:pPr>
            <w:r>
              <w:rPr>
                <w:rFonts w:ascii="DejaVu Sans" w:hAnsi="DejaVu Sans"/>
                <w:sz w:val="18"/>
              </w:rPr>
              <w:t>Уточнить Haugen: книга, статья или рецензия; найти точные издания Donatus/Priscian и доказать объём заимствований Ars Brugensis/Doctrinale. Проверить Hólar Cato.</w:t>
            </w:r>
          </w:p>
        </w:tc>
      </w:tr>
      <w:tr>
        <w:trPr>
          <w:cantSplit/>
        </w:trPr>
        <w:tc>
          <w:tcPr>
            <w:tcW w:type="dxa" w:w="1984"/>
            <w:vAlign w:val="top"/>
          </w:tcPr>
          <w:p>
            <w:pPr>
              <w:widowControl/>
              <w:spacing w:after="80" w:before="80" w:line="240" w:lineRule="auto"/>
            </w:pPr>
            <w:r>
              <w:rPr>
                <w:rFonts w:ascii="DejaVu Sans" w:hAnsi="DejaVu Sans"/>
                <w:sz w:val="18"/>
              </w:rPr>
              <w:t>6. Современный научный контроль</w:t>
            </w:r>
          </w:p>
        </w:tc>
        <w:tc>
          <w:tcPr>
            <w:tcW w:type="dxa" w:w="7654"/>
            <w:vAlign w:val="top"/>
          </w:tcPr>
          <w:p>
            <w:pPr>
              <w:widowControl/>
              <w:spacing w:after="80" w:before="80" w:line="240" w:lineRule="auto"/>
            </w:pPr>
            <w:r>
              <w:rPr>
                <w:rFonts w:ascii="DejaVu Sans" w:hAnsi="DejaVu Sans"/>
                <w:sz w:val="18"/>
              </w:rPr>
              <w:t>Восстановить официальные карточки Dronke и томов Kommentar; получить Íslenzk fornrit по Njála/Laxdæla и современные Völsunga. Сохранить платные и библиотечные маршруты.</w:t>
            </w:r>
          </w:p>
        </w:tc>
      </w:tr>
      <w:tr>
        <w:trPr>
          <w:cantSplit/>
        </w:trPr>
        <w:tc>
          <w:tcPr>
            <w:tcW w:type="dxa" w:w="1984"/>
            <w:vAlign w:val="top"/>
            <w:shd w:fill="F1F5F7"/>
          </w:tcPr>
          <w:p>
            <w:pPr>
              <w:widowControl/>
              <w:spacing w:after="80" w:before="80" w:line="240" w:lineRule="auto"/>
            </w:pPr>
            <w:r>
              <w:rPr>
                <w:rFonts w:ascii="DejaVu Sans" w:hAnsi="DejaVu Sans"/>
                <w:sz w:val="18"/>
              </w:rPr>
              <w:t>7. Русское чтение</w:t>
            </w:r>
          </w:p>
        </w:tc>
        <w:tc>
          <w:tcPr>
            <w:tcW w:type="dxa" w:w="7654"/>
            <w:vAlign w:val="top"/>
            <w:shd w:fill="F1F5F7"/>
          </w:tcPr>
          <w:p>
            <w:pPr>
              <w:widowControl/>
              <w:spacing w:after="80" w:before="80" w:line="240" w:lineRule="auto"/>
            </w:pPr>
            <w:r>
              <w:rPr>
                <w:rFonts w:ascii="DejaVu Sans" w:hAnsi="DejaVu Sans"/>
                <w:sz w:val="18"/>
              </w:rPr>
              <w:t>НЭБ/РГБ/РНБ и издатели: Свириденко 1917, русские Njála/Egils/Laxdæla. Установить полноту, переводчиков, удалённую выдачу и права, не заменять результаты случайными PDF.</w:t>
            </w:r>
          </w:p>
        </w:tc>
      </w:tr>
      <w:tr>
        <w:trPr>
          <w:cantSplit/>
        </w:trPr>
        <w:tc>
          <w:tcPr>
            <w:tcW w:type="dxa" w:w="1984"/>
            <w:vAlign w:val="top"/>
          </w:tcPr>
          <w:p>
            <w:pPr>
              <w:widowControl/>
              <w:spacing w:after="80" w:before="80" w:line="240" w:lineRule="auto"/>
            </w:pPr>
            <w:r>
              <w:rPr>
                <w:rFonts w:ascii="DejaVu Sans" w:hAnsi="DejaVu Sans"/>
                <w:sz w:val="18"/>
              </w:rPr>
              <w:t>8. Лицензии данных и качество версий</w:t>
            </w:r>
          </w:p>
        </w:tc>
        <w:tc>
          <w:tcPr>
            <w:tcW w:type="dxa" w:w="7654"/>
            <w:vAlign w:val="top"/>
          </w:tcPr>
          <w:p>
            <w:pPr>
              <w:widowControl/>
              <w:spacing w:after="80" w:before="80" w:line="240" w:lineRule="auto"/>
            </w:pPr>
            <w:r>
              <w:rPr>
                <w:rFonts w:ascii="DejaVu Sans" w:hAnsi="DejaVu Sans"/>
                <w:sz w:val="18"/>
              </w:rPr>
              <w:t>Развести исходный IcePaHC, UD и OICEN по лицензиям; сверить Press 1880/1899, старые репринты и крупные PDF. Только затем расширять автоматическое использование.</w:t>
            </w:r>
          </w:p>
        </w:tc>
      </w:tr>
    </w:tbl>
    <w:p>
      <w:pPr>
        <w:spacing w:after="0"/>
      </w:pPr>
    </w:p>
    <w:p>
      <w:r>
        <w:t>Этот порядок сначала устраняет ограничения центральных произведений и тех же корпусных семейств, затем укрепляет ранние источники и позднюю передачу. Он не предлагает заново обследовать всю североевропейскую религию или все жанры саг.</w:t>
      </w:r>
    </w:p>
    <w:p>
      <w:pPr>
        <w:pStyle w:val="Heading2"/>
      </w:pPr>
      <w:r>
        <w:t>Почему поиск не объявлен исчерпывающим</w:t>
      </w:r>
    </w:p>
    <w:p>
      <w:r>
        <w:t>Корпусная область существенно шире исходного DR и включает большие антологии, разные редакции и сотни внутренних текстовых единиц. Проверка завершилась не утверждением «больше ничего нет», а сохранением законченного ядра и конкретных оставшихся кандидатов. Новые маршруты ещё возможны, особенно на защищённых читателях, в национальных каталогах и в правах цифровых экспортов.</w:t>
      </w:r>
    </w:p>
    <w:p>
      <w:r>
        <w:t>Ограничения этого запуска конкретны: ответы 403/502, JavaScript-оболочки, пределы чтения крупных PDF и неоткрытые item-level лицензии. Они отражены в строках и gaps. Удалённая выдача, покупка, регистрация и обращения к правообладателям не выполнялись. Отсутствие проверенного reader не называется отсутствием произведения.</w:t>
      </w:r>
    </w:p>
    <w:p>
      <w:pPr>
        <w:pStyle w:val="Heading1"/>
      </w:pPr>
      <w:r>
        <w:t>7. Итоговая оценка</w:t>
      </w:r>
    </w:p>
    <w:p>
      <w:r>
        <w:rPr>
          <w:b/>
        </w:rPr>
        <w:t>Историческое ядро покрыто хорошо на уровне обнаружения и законного входа.</w:t>
      </w:r>
      <w:r>
        <w:t xml:space="preserve"> Эдды, ключевые мудростные поэмы, все 11 саг Möðruvallabók, грамматический комплекс, Völsunga и AM 677 получили проверенные издательские, текстовые, факсимильные либо каталожные маршруты. У части электронных изданий подтверждён сам объект, но не рабочая доставка файла.</w:t>
      </w:r>
    </w:p>
    <w:p>
      <w:r>
        <w:rPr>
          <w:b/>
        </w:rPr>
        <w:t>Оригиналы доступны неравномерно, но пригодный рабочий слой есть:</w:t>
      </w:r>
      <w:r>
        <w:t xml:space="preserve"> открыто лицензированная эддическая редакция, старые оригинальноязычные издания, читательские саговые тексты и свободное факсимиле DG 11. Английские переводы покрыты заметно лучше русских; для русского входа особенно ценен полный официальный Hávamál, но он остаётся защищённым.</w:t>
      </w:r>
    </w:p>
    <w:p>
      <w:r>
        <w:rPr>
          <w:b/>
        </w:rPr>
        <w:t>Наиболее свободный слой</w:t>
      </w:r>
      <w:r>
        <w:t xml:space="preserve"> сосредоточен в DG 11, лицензированных данных UD и некоммерчески открытой книге Pettit. </w:t>
      </w:r>
      <w:r>
        <w:rPr>
          <w:b/>
        </w:rPr>
        <w:t>Главные ограничения</w:t>
      </w:r>
      <w:r>
        <w:t xml:space="preserve"> — современные переводы и аппарат, неустановленные права Menota/EAE, различия рукописных ветвей и непроверенная международная применимость старых public-domain заявлений.</w:t>
      </w:r>
    </w:p>
    <w:p>
      <w:r>
        <w:rPr>
          <w:b/>
        </w:rPr>
        <w:t>Пакет пригоден для передачи Codex</w:t>
      </w:r>
      <w:r>
        <w:t xml:space="preserve"> как исследовательский реестр: 85 маршрутов, 26 конкретных задач проверки, четыре раздельных слоя прав, поля полноты и статуса проверки. Это основание для последующей нормализации и отбора, но не безусловное разрешение зеркалировать всё перечисленное. Рабочая единица — конкретная версия и конкретный способ доступа, а не абстрактное название «Эдда».</w:t>
      </w:r>
    </w:p>
    <w:p>
      <w:r>
        <w:br w:type="page"/>
      </w:r>
    </w:p>
    <w:p>
      <w:pPr>
        <w:pStyle w:val="Heading1"/>
      </w:pPr>
      <w:r>
        <w:t>Контрольные источники</w:t>
      </w:r>
    </w:p>
    <w:p>
      <w:pPr>
        <w:pStyle w:val="SmallNote"/>
      </w:pPr>
      <w:r>
        <w:t>Основные item-level ссылки встроены в обозначения [R…] по тексту и полностью сохранены в XLSX. Ниже — дополнительные страницы, определяющие ключевые выводы о составе, версиях и правах. Все проверены в рамках даты паспорта; изменяемые reader и лицензии требуют повторной проверки перед публичным выпуском.</w:t>
      </w:r>
    </w:p>
    <w:p>
      <w:pPr>
        <w:pStyle w:val="Reference"/>
      </w:pPr>
      <w:r>
        <w:rPr>
          <w:b/>
        </w:rPr>
        <w:t>[S1] Политика цифровых изданий VSNR</w:t>
        <w:br/>
      </w:r>
      <w:hyperlink r:id="rId12">
        <w:r>
          <w:rPr>
            <w:color w:val="23637B"/>
            <w:u w:val="single"/>
            <w:sz w:val="17"/>
          </w:rPr>
          <w:t>https://vsnr.org/publications/</w:t>
        </w:r>
      </w:hyperlink>
    </w:p>
    <w:p>
      <w:pPr>
        <w:pStyle w:val="Reference"/>
      </w:pPr>
      <w:r>
        <w:rPr>
          <w:b/>
        </w:rPr>
        <w:t>[S2] Pettit: официальные метаданные и лицензия</w:t>
        <w:br/>
      </w:r>
      <w:hyperlink r:id="rId11">
        <w:r>
          <w:rPr>
            <w:color w:val="23637B"/>
            <w:u w:val="single"/>
            <w:sz w:val="17"/>
          </w:rPr>
          <w:t>https://www.openbookpublishers.com/books/10.11647/obp.0308</w:t>
        </w:r>
      </w:hyperlink>
    </w:p>
    <w:p>
      <w:pPr>
        <w:pStyle w:val="Reference"/>
      </w:pPr>
      <w:r>
        <w:rPr>
          <w:b/>
        </w:rPr>
        <w:t>[S3] DG 11: отдельные права описания и изображений</w:t>
        <w:br/>
      </w:r>
      <w:hyperlink r:id="rId62">
        <w:r>
          <w:rPr>
            <w:color w:val="23637B"/>
            <w:u w:val="single"/>
            <w:sz w:val="17"/>
          </w:rPr>
          <w:t>https://www.manuscripta.se/ms/101032</w:t>
        </w:r>
      </w:hyperlink>
    </w:p>
    <w:p>
      <w:pPr>
        <w:pStyle w:val="Reference"/>
      </w:pPr>
      <w:r>
        <w:rPr>
          <w:b/>
        </w:rPr>
        <w:t>[S4] UD Icelandic-IcePaHC: LICENSE.txt</w:t>
        <w:br/>
      </w:r>
      <w:hyperlink r:id="rId90">
        <w:r>
          <w:rPr>
            <w:color w:val="23637B"/>
            <w:u w:val="single"/>
            <w:sz w:val="17"/>
          </w:rPr>
          <w:t>https://github.com/UniversalDependencies/UD_Icelandic-IcePaHC/blob/master/LICENSE.txt</w:t>
        </w:r>
      </w:hyperlink>
    </w:p>
    <w:p>
      <w:pPr>
        <w:pStyle w:val="Reference"/>
      </w:pPr>
      <w:r>
        <w:rPr>
          <w:b/>
        </w:rPr>
        <w:t>[S5] Menota: завершение Möðruvallabók, 10 января 2025</w:t>
        <w:br/>
      </w:r>
      <w:hyperlink r:id="rId28">
        <w:r>
          <w:rPr>
            <w:color w:val="23637B"/>
            <w:u w:val="single"/>
            <w:sz w:val="17"/>
          </w:rPr>
          <w:t>https://www.menota.org/ML_2025-01-10.xml</w:t>
        </w:r>
      </w:hyperlink>
    </w:p>
    <w:p>
      <w:pPr>
        <w:pStyle w:val="Reference"/>
      </w:pPr>
      <w:r>
        <w:rPr>
          <w:b/>
        </w:rPr>
        <w:t>[S6] Árnastofnun: новая электронная Codex Regius</w:t>
        <w:br/>
      </w:r>
      <w:hyperlink r:id="rId58">
        <w:r>
          <w:rPr>
            <w:color w:val="23637B"/>
            <w:u w:val="single"/>
            <w:sz w:val="17"/>
          </w:rPr>
          <w:t>https://arnastofnun.is/en/news/new-electronic-edition-codex-regius-poetic-edda</w:t>
        </w:r>
      </w:hyperlink>
    </w:p>
    <w:p>
      <w:pPr>
        <w:pStyle w:val="Reference"/>
      </w:pPr>
      <w:r>
        <w:rPr>
          <w:b/>
        </w:rPr>
        <w:t>[S7] AM 677 4to: официальная карточка издания</w:t>
        <w:br/>
      </w:r>
      <w:hyperlink r:id="rId31">
        <w:r>
          <w:rPr>
            <w:color w:val="23637B"/>
            <w:u w:val="single"/>
            <w:sz w:val="17"/>
          </w:rPr>
          <w:t>https://arnastofnun.is/is/utgefid-efni/am-677-4to</w:t>
        </w:r>
      </w:hyperlink>
    </w:p>
    <w:p>
      <w:pPr>
        <w:pStyle w:val="Reference"/>
      </w:pPr>
      <w:r>
        <w:rPr>
          <w:b/>
        </w:rPr>
        <w:t>[S8] Septentrionalia: условия оцифровщика</w:t>
        <w:br/>
      </w:r>
      <w:hyperlink r:id="rId91">
        <w:r>
          <w:rPr>
            <w:color w:val="23637B"/>
            <w:u w:val="single"/>
            <w:sz w:val="17"/>
          </w:rPr>
          <w:t>https://www.septentrionalia.net/about.html</w:t>
        </w:r>
      </w:hyperlink>
    </w:p>
    <w:p>
      <w:pPr>
        <w:pStyle w:val="Reference"/>
      </w:pPr>
      <w:r>
        <w:rPr>
          <w:b/>
        </w:rPr>
        <w:t>[S9] Brepols: rights, permissions и data mining</w:t>
        <w:br/>
      </w:r>
      <w:hyperlink r:id="rId93">
        <w:r>
          <w:rPr>
            <w:color w:val="23637B"/>
            <w:u w:val="single"/>
            <w:sz w:val="17"/>
          </w:rPr>
          <w:t>https://www.brepols.net/rights-and-permissions</w:t>
        </w:r>
      </w:hyperlink>
    </w:p>
    <w:p>
      <w:pPr>
        <w:pStyle w:val="Reference"/>
      </w:pPr>
      <w:r>
        <w:rPr>
          <w:b/>
        </w:rPr>
        <w:t>[S10] CSEL: Horsting 2016, Prosper, Liber epigrammatum</w:t>
        <w:br/>
      </w:r>
      <w:hyperlink r:id="rId38">
        <w:r>
          <w:rPr>
            <w:color w:val="23637B"/>
            <w:u w:val="single"/>
            <w:sz w:val="17"/>
          </w:rPr>
          <w:t>https://csel.at/en/news/neue-csel-baende/</w:t>
        </w:r>
      </w:hyperlink>
    </w:p>
    <w:p>
      <w:pPr>
        <w:pStyle w:val="Reference"/>
      </w:pPr>
      <w:r>
        <w:rPr>
          <w:b/>
        </w:rPr>
        <w:t>[S11] III грамматический трактат и латинские источники</w:t>
        <w:br/>
      </w:r>
      <w:hyperlink r:id="rId41">
        <w:r>
          <w:rPr>
            <w:color w:val="23637B"/>
            <w:u w:val="single"/>
            <w:sz w:val="17"/>
          </w:rPr>
          <w:t>https://link.springer.com/article/10.1007/s12138-025-00716-1</w:t>
        </w:r>
      </w:hyperlink>
    </w:p>
    <w:p>
      <w:pPr>
        <w:pStyle w:val="Reference"/>
      </w:pPr>
      <w:r>
        <w:rPr>
          <w:b/>
        </w:rPr>
        <w:t>[S12] GKS 2367: две дополнительные поэмы</w:t>
        <w:br/>
      </w:r>
      <w:hyperlink r:id="rId94">
        <w:r>
          <w:rPr>
            <w:color w:val="23637B"/>
            <w:u w:val="single"/>
            <w:sz w:val="17"/>
          </w:rPr>
          <w:t>https://www.arnastofnun.is/is/greinar/tvaer-drapur-i-konungsbok-snorra-eddu-gks-2367-4to</w:t>
        </w:r>
      </w:hyperlink>
    </w:p>
    <w:p>
      <w:pPr>
        <w:pStyle w:val="Reference"/>
      </w:pPr>
      <w:r>
        <w:rPr>
          <w:b/>
        </w:rPr>
        <w:t>[S13] Референсные правила Project Gutenberg</w:t>
        <w:br/>
      </w:r>
      <w:hyperlink r:id="rId92">
        <w:r>
          <w:rPr>
            <w:color w:val="23637B"/>
            <w:u w:val="single"/>
            <w:sz w:val="17"/>
          </w:rPr>
          <w:t>https://www.gutenberg.org/policy/license.html</w:t>
        </w:r>
      </w:hyperlink>
    </w:p>
    <w:p>
      <w:pPr>
        <w:pStyle w:val="Reference"/>
      </w:pPr>
      <w:r>
        <w:rPr>
          <w:b/>
        </w:rPr>
        <w:t>[S14] SagaDB: источник и условия</w:t>
        <w:br/>
      </w:r>
      <w:hyperlink r:id="rId69">
        <w:r>
          <w:rPr>
            <w:color w:val="23637B"/>
            <w:u w:val="single"/>
            <w:sz w:val="17"/>
          </w:rPr>
          <w:t>https://www.sagadb.org/about</w:t>
        </w:r>
      </w:hyperlink>
    </w:p>
    <w:p>
      <w:pPr>
        <w:pStyle w:val="Reference"/>
      </w:pPr>
      <w:r>
        <w:rPr>
          <w:b/>
        </w:rPr>
        <w:t>[S15] De XII abusivis: указатель изданий и переводов</w:t>
        <w:br/>
      </w:r>
      <w:hyperlink r:id="rId95">
        <w:r>
          <w:rPr>
            <w:color w:val="23637B"/>
            <w:u w:val="single"/>
            <w:sz w:val="17"/>
          </w:rPr>
          <w:t>https://earlymedievalmonasticism.org/texts/Ps_Cyprian_De_duodecim_abusivis_saeculi.html</w:t>
        </w:r>
      </w:hyperlink>
    </w:p>
    <w:p>
      <w:pPr>
        <w:pStyle w:val="SmallNote"/>
      </w:pPr>
      <w:r>
        <w:t>Исходная карта: приложенный ToS Deep Research по T2-57, в особенности разделы 1, 3, 6, 12–16. Паспорт и исходные seeds взяты из него; добавленные произведения, пути доступа, конфликты метаданных и правовые оценки получены внешней проверкой и отмечены в registry/gaps.</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6"/>
      </w:rPr>
      <w:t xml:space="preserve">ToS • проверено 05.09.2026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Bdr>
        <w:bottom w:val="single" w:sz="5" w:color="C8D7DD" w:space="5"/>
      </w:pBdr>
    </w:pPr>
    <w:r>
      <w:t>ДРЕВО СОФИИ  /  CORPUS &amp; RIGHTS                                            T2-57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DejaVu Serif" w:hAnsi="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DejaVu Sans" w:hAnsi="DejaVu Sans"/>
      <w:b/>
      <w:bCs/>
      <w:color w:val="17364A"/>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DejaVu Sans" w:hAnsi="DejaVu Sans"/>
      <w:b/>
      <w:bCs/>
      <w:color w:val="17364A"/>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DejaVu Sans" w:hAnsi="DejaVu Sans"/>
      <w:b/>
      <w:bCs/>
      <w:color w:val="17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DejaVu Sans" w:hAnsi="DejaVu Sans"/>
      <w:color w:val="1736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5065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DejaVu Serif" w:hAnsi="DejaVu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DejaVu Sans" w:hAnsi="DejaVu Sans"/>
      <w:color w:val="536573"/>
      <w:sz w:val="16"/>
    </w:rPr>
  </w:style>
  <w:style w:type="paragraph" w:customStyle="1" w:styleId="Reference">
    <w:name w:val="Reference"/>
    <w:pPr>
      <w:spacing w:after="140" w:line="259" w:lineRule="auto"/>
    </w:pPr>
    <w:rPr>
      <w:rFonts w:ascii="DejaVu Sans" w:hAnsi="DejaVu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penbookpublishers.com/books/10.11647/obp.0308" TargetMode="External"/><Relationship Id="rId12" Type="http://schemas.openxmlformats.org/officeDocument/2006/relationships/hyperlink" Target="https://vsnr.org/publications/" TargetMode="External"/><Relationship Id="rId13" Type="http://schemas.openxmlformats.org/officeDocument/2006/relationships/hyperlink" Target="https://www.gutenberg.org/ebooks/73533" TargetMode="External"/><Relationship Id="rId14" Type="http://schemas.openxmlformats.org/officeDocument/2006/relationships/hyperlink" Target="https://github.com/Handrit/Manuscripts/blob/master/Manuscripts/Den%20Arnamagn%C3%A6anske%20Samling/AM/AM04/en/AM04-0544-en.xml" TargetMode="External"/><Relationship Id="rId15" Type="http://schemas.openxmlformats.org/officeDocument/2006/relationships/hyperlink" Target="https://vsnr.org/editions/snorri-sturluson-edda-prologue-and-gylfaginning/" TargetMode="External"/><Relationship Id="rId16" Type="http://schemas.openxmlformats.org/officeDocument/2006/relationships/hyperlink" Target="https://vsnr.org/editions/snorri-sturluson-edda-skaldskaparmal/" TargetMode="External"/><Relationship Id="rId17" Type="http://schemas.openxmlformats.org/officeDocument/2006/relationships/hyperlink" Target="https://vsnr.org/editions/snorri-sturluson-edda-hattatal/" TargetMode="External"/><Relationship Id="rId18" Type="http://schemas.openxmlformats.org/officeDocument/2006/relationships/hyperlink" Target="https://vsnr.org/editions/the-uppsala-edda-dg-11-4to/" TargetMode="External"/><Relationship Id="rId19" Type="http://schemas.openxmlformats.org/officeDocument/2006/relationships/hyperlink" Target="https://clarino.uib.no/menota/text/menota/AM-242-fol" TargetMode="External"/><Relationship Id="rId20" Type="http://schemas.openxmlformats.org/officeDocument/2006/relationships/hyperlink" Target="https://www.septentrionalia.net/etexts/jsedda203_1gt.pdf" TargetMode="External"/><Relationship Id="rId21" Type="http://schemas.openxmlformats.org/officeDocument/2006/relationships/hyperlink" Target="https://www.septentrionalia.net/etexts/3gt.pdf" TargetMode="External"/><Relationship Id="rId22" Type="http://schemas.openxmlformats.org/officeDocument/2006/relationships/hyperlink" Target="https://www.brepols.net/products/IS-9782503518947-1" TargetMode="External"/><Relationship Id="rId23" Type="http://schemas.openxmlformats.org/officeDocument/2006/relationships/hyperlink" Target="https://github.com/Handrit/Manuscripts/blob/master/Manuscripts/Stofnun%20%C3%81rna%20Magn%C3%BAssonar/GKS/GKS04/is/GKS04-2367-is.xml" TargetMode="External"/><Relationship Id="rId24" Type="http://schemas.openxmlformats.org/officeDocument/2006/relationships/hyperlink" Target="https://www.sagadb.org/brennu-njals_saga.is" TargetMode="External"/><Relationship Id="rId25" Type="http://schemas.openxmlformats.org/officeDocument/2006/relationships/hyperlink" Target="https://www.sagadb.org/viga-glums_saga.is" TargetMode="External"/><Relationship Id="rId26" Type="http://schemas.openxmlformats.org/officeDocument/2006/relationships/hyperlink" Target="https://www.sagadb.org/downloads" TargetMode="External"/><Relationship Id="rId27" Type="http://schemas.openxmlformats.org/officeDocument/2006/relationships/hyperlink" Target="https://vsnr.org/translations/three-icelandic-outlaw-sagas-the-saga-of-gisli-the-saga-of-grettir-the-saga-of-hord/" TargetMode="External"/><Relationship Id="rId28" Type="http://schemas.openxmlformats.org/officeDocument/2006/relationships/hyperlink" Target="https://www.menota.org/ML_2025-01-10.xml" TargetMode="External"/><Relationship Id="rId29" Type="http://schemas.openxmlformats.org/officeDocument/2006/relationships/hyperlink" Target="https://www.gutenberg.org/ebooks/33471" TargetMode="External"/><Relationship Id="rId30" Type="http://schemas.openxmlformats.org/officeDocument/2006/relationships/hyperlink" Target="https://clarino.uib.no/menota/text/menota/AM-677-4to" TargetMode="External"/><Relationship Id="rId31" Type="http://schemas.openxmlformats.org/officeDocument/2006/relationships/hyperlink" Target="https://arnastofnun.is/is/utgefid-efni/am-677-4to" TargetMode="External"/><Relationship Id="rId32" Type="http://schemas.openxmlformats.org/officeDocument/2006/relationships/hyperlink" Target="https://www.brepols.net/products/IS-9782503625409-1" TargetMode="External"/><Relationship Id="rId33" Type="http://schemas.openxmlformats.org/officeDocument/2006/relationships/hyperlink" Target="https://play.google.com/store/books/details/Prosper_Aquitanus_Liber_epigrammatum?id=5YulCwAAQBAJ" TargetMode="External"/><Relationship Id="rId34" Type="http://schemas.openxmlformats.org/officeDocument/2006/relationships/hyperlink" Target="https://www.septentrionalia.net/etexts/hugsvinnsmal.pdf" TargetMode="External"/><Relationship Id="rId35" Type="http://schemas.openxmlformats.org/officeDocument/2006/relationships/hyperlink" Target="https://archive.org/details/hugsvinnsmalhallgrimi" TargetMode="External"/><Relationship Id="rId36" Type="http://schemas.openxmlformats.org/officeDocument/2006/relationships/hyperlink" Target="https://catalog.hathitrust.org/Record/009719448" TargetMode="External"/><Relationship Id="rId37" Type="http://schemas.openxmlformats.org/officeDocument/2006/relationships/hyperlink" Target="https://play.google.com/store/books/details/Prosper_Aquitanus_D_Prosperi_Aquitanici_episcopi_r?id=jW8TAAAAQAAJ" TargetMode="External"/><Relationship Id="rId38" Type="http://schemas.openxmlformats.org/officeDocument/2006/relationships/hyperlink" Target="https://csel.at/en/news/neue-csel-baende/" TargetMode="External"/><Relationship Id="rId39" Type="http://schemas.openxmlformats.org/officeDocument/2006/relationships/hyperlink" Target="https://archive.org/details/cu31924029222076" TargetMode="External"/><Relationship Id="rId40" Type="http://schemas.openxmlformats.org/officeDocument/2006/relationships/hyperlink" Target="https://archive.org/details/texteunduntersuc3334akad" TargetMode="External"/><Relationship Id="rId41" Type="http://schemas.openxmlformats.org/officeDocument/2006/relationships/hyperlink" Target="https://link.springer.com/article/10.1007/s12138-025-00716-1" TargetMode="External"/><Relationship Id="rId42" Type="http://schemas.openxmlformats.org/officeDocument/2006/relationships/hyperlink" Target="https://vsnr.org/editions/the-bearded-bride-a-critical-edition-of-thrymlur/" TargetMode="External"/><Relationship Id="rId43" Type="http://schemas.openxmlformats.org/officeDocument/2006/relationships/hyperlink" Target="https://www.septentrionalia.net/etexts/rimnaflokkar.pdf" TargetMode="External"/><Relationship Id="rId44" Type="http://schemas.openxmlformats.org/officeDocument/2006/relationships/hyperlink" Target="https://vsnr.org/editions/magnus-olafsson-of-laufas-specimen-lexici-runici-and-glossarium-priscae-linguae-danicae/" TargetMode="External"/><Relationship Id="rId45" Type="http://schemas.openxmlformats.org/officeDocument/2006/relationships/hyperlink" Target="https://www.uu.nl/en/special-collections/collections/manuscripts/modern-manuscripts/the-codex-trajectinus-of-the-prose-edda" TargetMode="External"/><Relationship Id="rId46" Type="http://schemas.openxmlformats.org/officeDocument/2006/relationships/hyperlink" Target="https://www.septentrionalia.net/etexts/jsedda212_BrotLaufass.pdf" TargetMode="External"/><Relationship Id="rId47" Type="http://schemas.openxmlformats.org/officeDocument/2006/relationships/hyperlink" Target="https://vsnr.org/editions/hrafnagaldur-odins-forspjallsljod/" TargetMode="External"/><Relationship Id="rId48" Type="http://schemas.openxmlformats.org/officeDocument/2006/relationships/hyperlink" Target="https://www.gutenberg.org/ebooks/1152" TargetMode="External"/><Relationship Id="rId49" Type="http://schemas.openxmlformats.org/officeDocument/2006/relationships/hyperlink" Target="https://www.mann-ivanov-ferber.ru/catalog/product/starsaia-edda/" TargetMode="External"/><Relationship Id="rId50" Type="http://schemas.openxmlformats.org/officeDocument/2006/relationships/hyperlink" Target="https://urss.ru/cgi-bin/db.pl?blang=ru&amp;id=281730&amp;lang=Ru&amp;page=Book" TargetMode="External"/><Relationship Id="rId51" Type="http://schemas.openxmlformats.org/officeDocument/2006/relationships/hyperlink" Target="https://vsnr.org/translations/snorri-sturluson-heimskringla-i-the-beginnings-to-olafr-tryggvason/" TargetMode="External"/><Relationship Id="rId52" Type="http://schemas.openxmlformats.org/officeDocument/2006/relationships/hyperlink" Target="https://vsnr.org/translations/snorri-sturluson-heimskringla-ii-olafr-haraldsson-the-saint/" TargetMode="External"/><Relationship Id="rId53" Type="http://schemas.openxmlformats.org/officeDocument/2006/relationships/hyperlink" Target="https://vsnr.org/translations/snorri-sturluson-heimskringla-iii-magnus-olafsson-to-magnus-erlingsson/" TargetMode="External"/><Relationship Id="rId54" Type="http://schemas.openxmlformats.org/officeDocument/2006/relationships/hyperlink" Target="https://vsnr.org/translations/book-of-settlements-the-hauksbok-recension-of-landnamabok/" TargetMode="External"/><Relationship Id="rId55" Type="http://schemas.openxmlformats.org/officeDocument/2006/relationships/hyperlink" Target="https://zenodo.org/records/19849746" TargetMode="External"/><Relationship Id="rId56" Type="http://schemas.openxmlformats.org/officeDocument/2006/relationships/hyperlink" Target="https://archive.org/details/poeticedda00belluoft" TargetMode="External"/><Relationship Id="rId57" Type="http://schemas.openxmlformats.org/officeDocument/2006/relationships/hyperlink" Target="https://eae.ku.dk/q?p=eae%2Fvols%2Ftext%2F1" TargetMode="External"/><Relationship Id="rId58" Type="http://schemas.openxmlformats.org/officeDocument/2006/relationships/hyperlink" Target="https://arnastofnun.is/en/news/new-electronic-edition-codex-regius-poetic-edda" TargetMode="External"/><Relationship Id="rId59" Type="http://schemas.openxmlformats.org/officeDocument/2006/relationships/hyperlink" Target="https://vsnr.org/editions/havamal/" TargetMode="External"/><Relationship Id="rId60" Type="http://schemas.openxmlformats.org/officeDocument/2006/relationships/hyperlink" Target="https://books.google.com/books/about/The_Poetic_Edda.html?id=r2vrAwAAQBAJ" TargetMode="External"/><Relationship Id="rId61" Type="http://schemas.openxmlformats.org/officeDocument/2006/relationships/hyperlink" Target="https://www.alvin-portal.org/alvin/view.jsf?pid=alvin-record:54179" TargetMode="External"/><Relationship Id="rId62" Type="http://schemas.openxmlformats.org/officeDocument/2006/relationships/hyperlink" Target="https://www.manuscripta.se/ms/101032" TargetMode="External"/><Relationship Id="rId63" Type="http://schemas.openxmlformats.org/officeDocument/2006/relationships/hyperlink" Target="https://www.gutenberg.org/ebooks/18947" TargetMode="External"/><Relationship Id="rId64" Type="http://schemas.openxmlformats.org/officeDocument/2006/relationships/hyperlink" Target="https://www.gutenberg.org/ebooks/14726" TargetMode="External"/><Relationship Id="rId65" Type="http://schemas.openxmlformats.org/officeDocument/2006/relationships/hyperlink" Target="https://www.sagadb.org/egils_saga.is" TargetMode="External"/><Relationship Id="rId66" Type="http://schemas.openxmlformats.org/officeDocument/2006/relationships/hyperlink" Target="https://www.sagadb.org/laxdaela_saga.is" TargetMode="External"/><Relationship Id="rId67" Type="http://schemas.openxmlformats.org/officeDocument/2006/relationships/hyperlink" Target="https://www.sagadb.org/egils_saga.on" TargetMode="External"/><Relationship Id="rId68" Type="http://schemas.openxmlformats.org/officeDocument/2006/relationships/hyperlink" Target="https://github.com/sveinbjornt/sagadb.org" TargetMode="External"/><Relationship Id="rId69" Type="http://schemas.openxmlformats.org/officeDocument/2006/relationships/hyperlink" Target="https://www.sagadb.org/about" TargetMode="External"/><Relationship Id="rId70" Type="http://schemas.openxmlformats.org/officeDocument/2006/relationships/hyperlink" Target="https://www.sagadb.org/brennu-njals_saga.en" TargetMode="External"/><Relationship Id="rId71" Type="http://schemas.openxmlformats.org/officeDocument/2006/relationships/hyperlink" Target="https://www.sagadb.org/egils_saga.en" TargetMode="External"/><Relationship Id="rId72" Type="http://schemas.openxmlformats.org/officeDocument/2006/relationships/hyperlink" Target="https://www.sagadb.org/laxdaela_saga.en" TargetMode="External"/><Relationship Id="rId73" Type="http://schemas.openxmlformats.org/officeDocument/2006/relationships/hyperlink" Target="https://vsnr.org/editions/egils-saga-bound/" TargetMode="External"/><Relationship Id="rId74" Type="http://schemas.openxmlformats.org/officeDocument/2006/relationships/hyperlink" Target="https://vsnr.org/editions/bandamanna-saga/" TargetMode="External"/><Relationship Id="rId75" Type="http://schemas.openxmlformats.org/officeDocument/2006/relationships/hyperlink" Target="https://www.brepols.net/products/IS-9782503518985-1" TargetMode="External"/><Relationship Id="rId76" Type="http://schemas.openxmlformats.org/officeDocument/2006/relationships/hyperlink" Target="https://vsnr.org/editions/the-fourth-grammatical-treatise/" TargetMode="External"/><Relationship Id="rId77" Type="http://schemas.openxmlformats.org/officeDocument/2006/relationships/hyperlink" Target="https://books.google.com/books/about/The_First_Grammatical_Treatise.html?id=HkcIAQAAIAAJ" TargetMode="External"/><Relationship Id="rId78" Type="http://schemas.openxmlformats.org/officeDocument/2006/relationships/hyperlink" Target="https://www.septentrionalia.net/etexts/skjald_b1.pdf" TargetMode="External"/><Relationship Id="rId79" Type="http://schemas.openxmlformats.org/officeDocument/2006/relationships/hyperlink" Target="https://www.septentrionalia.net/etexts/volsunga.pdf" TargetMode="External"/><Relationship Id="rId80" Type="http://schemas.openxmlformats.org/officeDocument/2006/relationships/hyperlink" Target="https://fasnl.net/manuscripts/756" TargetMode="External"/><Relationship Id="rId81" Type="http://schemas.openxmlformats.org/officeDocument/2006/relationships/hyperlink" Target="https://vsnr.org/editions/hervarar-saga-ok-heidreks/" TargetMode="External"/><Relationship Id="rId82" Type="http://schemas.openxmlformats.org/officeDocument/2006/relationships/hyperlink" Target="https://www.brepols.net/products/IS-9782503519005-1" TargetMode="External"/><Relationship Id="rId83" Type="http://schemas.openxmlformats.org/officeDocument/2006/relationships/hyperlink" Target="https://www.septentrionalia.net/etexts/solarljod.pdf" TargetMode="External"/><Relationship Id="rId84" Type="http://schemas.openxmlformats.org/officeDocument/2006/relationships/hyperlink" Target="https://www.brepols.net/products/IS-9782503518930-1" TargetMode="External"/><Relationship Id="rId85" Type="http://schemas.openxmlformats.org/officeDocument/2006/relationships/hyperlink" Target="https://www.septentrionalia.net/etexts/speculum.pdf" TargetMode="External"/><Relationship Id="rId86" Type="http://schemas.openxmlformats.org/officeDocument/2006/relationships/hyperlink" Target="https://www.gutenberg.org/ebooks/61264" TargetMode="External"/><Relationship Id="rId87" Type="http://schemas.openxmlformats.org/officeDocument/2006/relationships/hyperlink" Target="https://www.septentrionalia.net/etexts/gragas.pdf" TargetMode="External"/><Relationship Id="rId88" Type="http://schemas.openxmlformats.org/officeDocument/2006/relationships/hyperlink" Target="https://vsnr.org/otherpublication/old-icelandic-truce-formulas-tryggdamal/" TargetMode="External"/><Relationship Id="rId89" Type="http://schemas.openxmlformats.org/officeDocument/2006/relationships/hyperlink" Target="https://github.com/UniversalDependencies/UD_Icelandic-IcePaHC" TargetMode="External"/><Relationship Id="rId90" Type="http://schemas.openxmlformats.org/officeDocument/2006/relationships/hyperlink" Target="https://github.com/UniversalDependencies/UD_Icelandic-IcePaHC/blob/master/LICENSE.txt" TargetMode="External"/><Relationship Id="rId91" Type="http://schemas.openxmlformats.org/officeDocument/2006/relationships/hyperlink" Target="https://www.septentrionalia.net/about.html" TargetMode="External"/><Relationship Id="rId92" Type="http://schemas.openxmlformats.org/officeDocument/2006/relationships/hyperlink" Target="https://www.gutenberg.org/policy/license.html" TargetMode="External"/><Relationship Id="rId93" Type="http://schemas.openxmlformats.org/officeDocument/2006/relationships/hyperlink" Target="https://www.brepols.net/rights-and-permissions" TargetMode="External"/><Relationship Id="rId94" Type="http://schemas.openxmlformats.org/officeDocument/2006/relationships/hyperlink" Target="https://www.arnastofnun.is/is/greinar/tvaer-drapur-i-konungsbok-snorra-eddu-gks-2367-4to" TargetMode="External"/><Relationship Id="rId95" Type="http://schemas.openxmlformats.org/officeDocument/2006/relationships/hyperlink" Target="https://earlymedievalmonasticism.org/texts/Ps_Cyprian_De_duodecim_abusivis_saecul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T2-57</dc:title>
  <dc:subject>Исландско-древнескандинавская рукописная мудрость</dc:subject>
  <dc:creator>ToS / Древо Софии</dc:creator>
  <cp:keywords>T2-57, Edda, Old Norse, corpus, rights, manuscripts</cp:keywords>
  <dc:description>generated by python-docx</dc:description>
  <cp:lastModifiedBy/>
  <cp:revision>1</cp:revision>
  <dcterms:created xsi:type="dcterms:W3CDTF">2013-12-23T23:15:00Z</dcterms:created>
  <dcterms:modified xsi:type="dcterms:W3CDTF">2013-12-23T23:15:00Z</dcterms:modified>
  <cp:category/>
</cp:coreProperties>
</file>