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</w:t>
        <w:br/>
        <w:t>Registry</w:t>
      </w:r>
    </w:p>
    <w:p>
      <w:pPr>
        <w:pStyle w:val="Subtitle"/>
      </w:pPr>
      <w:r>
        <w:t>T2-13 — Ишракизм и философия озарения</w:t>
      </w:r>
    </w:p>
    <w:p>
      <w:r>
        <w:t>Исследовательский пакет · Проверка 4 сентября 2026 года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2438"/>
            <w:shd w:fill="163F4B"/>
          </w:tcPr>
          <w:p>
            <w:pPr>
              <w:spacing w:before="80" w:after="80"/>
            </w:pPr>
            <w:r>
              <w:rPr>
                <w:rFonts w:ascii="Noto Sans" w:hAnsi="Noto Sans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6973"/>
            <w:shd w:fill="163F4B"/>
          </w:tcPr>
          <w:p>
            <w:pPr>
              <w:spacing w:before="80" w:after="80"/>
            </w:pPr>
            <w:r>
              <w:rPr>
                <w:rFonts w:ascii="Noto Sans" w:hAnsi="Noto Sans"/>
                <w:b/>
                <w:color w:val="FFFFFF"/>
                <w:sz w:val="18"/>
              </w:rPr>
              <w:t>Как его понимать</w:t>
            </w:r>
          </w:p>
        </w:tc>
      </w:tr>
      <w:tr>
        <w:trPr>
          <w:cantSplit/>
        </w:trPr>
        <w:tc>
          <w:tcPr>
            <w:tcW w:type="dxa" w:w="2438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66 записей registry</w:t>
            </w:r>
          </w:p>
        </w:tc>
        <w:tc>
          <w:tcPr>
            <w:tcW w:type="dxa" w:w="6973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64 записи первичных объектов и доступа; 2 библиографических навигатора.</w:t>
            </w:r>
          </w:p>
        </w:tc>
      </w:tr>
      <w:tr>
        <w:trPr>
          <w:cantSplit/>
        </w:trPr>
        <w:tc>
          <w:tcPr>
            <w:tcW w:type="dxa" w:w="2438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Около 40 названий и корпусных групп</w:t>
            </w:r>
          </w:p>
        </w:tc>
        <w:tc>
          <w:tcPr>
            <w:tcW w:type="dxa" w:w="6973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Не 66 разных произведений: переводы, издания и свидетели создают дополнительные способы доступа.</w:t>
            </w:r>
          </w:p>
        </w:tc>
      </w:tr>
      <w:tr>
        <w:trPr>
          <w:cantSplit/>
        </w:trPr>
        <w:tc>
          <w:tcPr>
            <w:tcW w:type="dxa" w:w="2438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32 записи gaps</w:t>
            </w:r>
          </w:p>
        </w:tc>
        <w:tc>
          <w:tcPr>
            <w:tcW w:type="dxa" w:w="6973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Группы конкретных пробелов доступа, атрибуции и прав; не список 32 утраченных произведений.</w:t>
            </w:r>
          </w:p>
        </w:tc>
      </w:tr>
    </w:tbl>
    <w:p>
      <w:pPr>
        <w:pStyle w:val="Heading1"/>
        <w:spacing w:before="340"/>
      </w:pPr>
      <w:r>
        <w:t>1. Паспорт</w:t>
      </w:r>
    </w:p>
    <w:p>
      <w:r>
        <w:t>Строка T2-13 — «Ишракизм и философия озарения». Исходный статус A и уверенность 4/5 сохранены. Мастер-строка: формирование — XII век; письменная фиксация — XII–XIV века; канонизация и комментарий — XIII–XV века. Более узкое ядро исходного DR, около 1180–1295 годов, использовано как фокус, но не как граница корпусного поиска.</w:t>
      </w:r>
    </w:p>
    <w:p>
      <w:r>
        <w:t>Основа: «ToS Deep Research_ T2-13 — Ишракизм и философия озарения(1).docx». Из него извлечены паспорт строки, четыре больших арабских трактата, краткие арабо-персидские сочинения, аллегории, три ранние комментарийные линии и названные рукописные входы. Сам DR и мастер-таблицы не редактировались. Сведения о новых изданиях и доступе ниже получены веб-проверкой, а не приписаны исходному документу.</w:t>
      </w:r>
    </w:p>
    <w:p>
      <w:r>
        <w:t>Языки поиска: русский, английский, арабский, персидский, французский, немецкий, турецкий и польский. Искались произведения и сборники, конкретные переводы и редакции, рукописные свидетели, старые печатные издания, цифровые тексты и факсимиле, машиночитаемые данные и каталоги.</w:t>
      </w:r>
    </w:p>
    <w:p>
      <w:r>
        <w:t>Для доступа использованы библиотеки, университетские проекты, издатели, официальные магазины и авторские размещения. Для идентификации — библиотечные карточки, критические издания и специализированная библиография. Для положительных выводов о повторном использовании — item-level заявления и применимые лицензии, а не поисковые сниппеты.</w:t>
      </w:r>
    </w:p>
    <w:p>
      <w:r>
        <w:t>Обозначения [R001]–[R066] — сокращённые ссылки на записи XLSX; в этом отчёте они открывают страницы доступа. Полные record_id имеют вид T2-13-R001. Отдельные источники идентификации и прав, оговорки полноты и состояние проверки находятся в соответствующих полях реестра. Wikipedia не включена в итоговые источники. Неподтверждённые кандидаты не повышены до установленных объектов; они сохранены в gaps.</w:t>
      </w:r>
    </w:p>
    <w:p>
      <w:pPr>
        <w:pStyle w:val="Heading1"/>
        <w:spacing w:before="340"/>
      </w:pPr>
      <w:r>
        <w:t>2. Охват корпуса</w:t>
      </w:r>
    </w:p>
    <w:p>
      <w:pPr>
        <w:pStyle w:val="Heading2"/>
      </w:pPr>
      <w:r>
        <w:t>Авторское ядро и расширение состава</w:t>
      </w:r>
    </w:p>
    <w:p>
      <w:r>
        <w:t>Все четыре больших арабских трактата получили хотя бы один установленный издательский или библиотечный вход: Ḥikmat al-Ishrāq, al-Talwīḥāt, al-Muqāwamāt и al-Mashāriʿ wa-l-Muṭāraḥāt. Однако это не означает, что найдены четыре свободных полнотекстовых оригинала. Часть изданий представляет только логику или метафизику; чтение в Noorlib за динамическим интерфейсом не было подтверждено.</w:t>
      </w:r>
      <w:r>
        <w:t xml:space="preserve"> </w:t>
      </w:r>
      <w:hyperlink r:id="rId11">
        <w:r>
          <w:rPr>
            <w:color w:val="235F80"/>
            <w:sz w:val="18"/>
          </w:rPr>
          <w:t>[R001]</w:t>
        </w:r>
      </w:hyperlink>
      <w:r>
        <w:t xml:space="preserve"> </w:t>
      </w:r>
      <w:hyperlink r:id="rId12">
        <w:r>
          <w:rPr>
            <w:color w:val="235F80"/>
            <w:sz w:val="18"/>
          </w:rPr>
          <w:t>[R009]</w:t>
        </w:r>
      </w:hyperlink>
      <w:r>
        <w:t xml:space="preserve"> </w:t>
      </w:r>
      <w:hyperlink r:id="rId13">
        <w:r>
          <w:rPr>
            <w:color w:val="235F80"/>
            <w:sz w:val="18"/>
          </w:rPr>
          <w:t>[R010]</w:t>
        </w:r>
      </w:hyperlink>
      <w:r>
        <w:t xml:space="preserve"> </w:t>
      </w:r>
      <w:hyperlink r:id="rId14">
        <w:r>
          <w:rPr>
            <w:color w:val="235F80"/>
            <w:sz w:val="18"/>
          </w:rPr>
          <w:t>[R020]</w:t>
        </w:r>
      </w:hyperlink>
      <w:r>
        <w:t xml:space="preserve"> </w:t>
      </w:r>
      <w:hyperlink r:id="rId15">
        <w:r>
          <w:rPr>
            <w:color w:val="235F80"/>
            <w:sz w:val="18"/>
          </w:rPr>
          <w:t>[R029]</w:t>
        </w:r>
      </w:hyperlink>
      <w:r>
        <w:t xml:space="preserve"> </w:t>
      </w:r>
      <w:hyperlink r:id="rId16">
        <w:r>
          <w:rPr>
            <w:color w:val="235F80"/>
            <w:sz w:val="18"/>
          </w:rPr>
          <w:t>[R056]</w:t>
        </w:r>
      </w:hyperlink>
    </w:p>
    <w:p>
      <w:r>
        <w:t>Собрание Majmūʿa-yi muṣannafāt-i Shaykh-i Ishrāq учтено одной записью на четырёхтомный комплект, а не десятками фиктивных цифровых объектов. Первый том содержит метафизические части трёх больших трактатов — не всю их логику и физику. Во втором находятся Ḥikmat al-Ishrāq, Iʿtiqād al-ḥukamāʾ и рассказ о западном изгнании; третий представляет персидский корпус; четвёртый — Alwāḥ ʿimādiyya, Kalimat al-taṣawwuf и Lamaḥāt. Внутренние произведения имеют самостоятельные записи только там, где найден практически иной вход.</w:t>
      </w:r>
      <w:r>
        <w:t xml:space="preserve"> </w:t>
      </w:r>
      <w:hyperlink r:id="rId17">
        <w:r>
          <w:rPr>
            <w:color w:val="235F80"/>
            <w:sz w:val="18"/>
          </w:rPr>
          <w:t>[R008]</w:t>
        </w:r>
      </w:hyperlink>
      <w:r>
        <w:t xml:space="preserve"> </w:t>
      </w:r>
      <w:hyperlink r:id="rId16">
        <w:r>
          <w:rPr>
            <w:color w:val="235F80"/>
            <w:sz w:val="18"/>
          </w:rPr>
          <w:t>[R056]</w:t>
        </w:r>
      </w:hyperlink>
      <w:r>
        <w:t xml:space="preserve"> </w:t>
      </w:r>
      <w:hyperlink r:id="rId18">
        <w:r>
          <w:rPr>
            <w:color w:val="235F80"/>
            <w:sz w:val="18"/>
          </w:rPr>
          <w:t>[R057]</w:t>
        </w:r>
      </w:hyperlink>
      <w:r>
        <w:t xml:space="preserve"> </w:t>
      </w:r>
      <w:hyperlink r:id="rId19">
        <w:r>
          <w:rPr>
            <w:color w:val="235F80"/>
            <w:sz w:val="18"/>
          </w:rPr>
          <w:t>[R059]</w:t>
        </w:r>
      </w:hyperlink>
    </w:p>
    <w:p>
      <w:r>
        <w:t>Краткие систематические сочинения представлены Hayākil al-nūr и Partaw-nāma. Веб-поиск добавил отдельные издания Lamaḥāt, Kalimat al-taṣawwuf, Alwāḥ ʿimādiyya, сборника с al-Abrāj, поэтического Dīwān и Rasāʾil ṣūfiyya. Последние два не объявлены полностью атрибутированным авторским корпусом: состав и подлинность отдельных текстов требуют дальнейшего сопоставления.</w:t>
      </w:r>
      <w:r>
        <w:t xml:space="preserve"> </w:t>
      </w:r>
      <w:hyperlink r:id="rId20">
        <w:r>
          <w:rPr>
            <w:color w:val="235F80"/>
            <w:sz w:val="18"/>
          </w:rPr>
          <w:t>[R002]</w:t>
        </w:r>
      </w:hyperlink>
      <w:r>
        <w:t xml:space="preserve"> </w:t>
      </w:r>
      <w:hyperlink r:id="rId21">
        <w:r>
          <w:rPr>
            <w:color w:val="235F80"/>
            <w:sz w:val="18"/>
          </w:rPr>
          <w:t>[R014]</w:t>
        </w:r>
      </w:hyperlink>
      <w:r>
        <w:t xml:space="preserve"> </w:t>
      </w:r>
      <w:hyperlink r:id="rId22">
        <w:r>
          <w:rPr>
            <w:color w:val="235F80"/>
            <w:sz w:val="18"/>
          </w:rPr>
          <w:t>[R015]</w:t>
        </w:r>
      </w:hyperlink>
      <w:r>
        <w:t xml:space="preserve"> </w:t>
      </w:r>
      <w:hyperlink r:id="rId23">
        <w:r>
          <w:rPr>
            <w:color w:val="235F80"/>
            <w:sz w:val="18"/>
          </w:rPr>
          <w:t>[R016]</w:t>
        </w:r>
      </w:hyperlink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  <w:r>
        <w:t xml:space="preserve"> </w:t>
      </w:r>
      <w:hyperlink r:id="rId25">
        <w:r>
          <w:rPr>
            <w:color w:val="235F80"/>
            <w:sz w:val="18"/>
          </w:rPr>
          <w:t>[R051]</w:t>
        </w:r>
      </w:hyperlink>
      <w:r>
        <w:t xml:space="preserve"> </w:t>
      </w:r>
      <w:hyperlink r:id="rId26">
        <w:r>
          <w:rPr>
            <w:color w:val="235F80"/>
            <w:sz w:val="18"/>
          </w:rPr>
          <w:t>[R052]</w:t>
        </w:r>
      </w:hyperlink>
      <w:r>
        <w:t xml:space="preserve"> </w:t>
      </w:r>
      <w:hyperlink r:id="rId19">
        <w:r>
          <w:rPr>
            <w:color w:val="235F80"/>
            <w:sz w:val="18"/>
          </w:rPr>
          <w:t>[R059]</w:t>
        </w:r>
      </w:hyperlink>
    </w:p>
    <w:p>
      <w:r>
        <w:t>Девять аллегорий в двуязычном издании Уилера Такстона охватывают «Послание о птице», «Звук крыла Гавриила», «Багряный интеллект», «Один день с суфиями», «Состояние детства», «Об истинной сущности любви» / «Собеседник влюблённых», «Язык муравьёв», «Зов Симурга» и «Рассказ о западном изгнании». Это один доступ к антологии, содержащей несколько произведений, а не девять независимых файлов. Отдельные русские, польские и персидские варианты учтены дополнительно.</w:t>
      </w:r>
      <w:r>
        <w:t xml:space="preserve"> </w:t>
      </w:r>
      <w:hyperlink r:id="rId27">
        <w:r>
          <w:rPr>
            <w:color w:val="235F80"/>
            <w:sz w:val="18"/>
          </w:rPr>
          <w:t>[R003]</w:t>
        </w:r>
      </w:hyperlink>
      <w:r>
        <w:t xml:space="preserve"> </w:t>
      </w:r>
      <w:hyperlink r:id="rId28">
        <w:r>
          <w:rPr>
            <w:color w:val="235F80"/>
            <w:sz w:val="18"/>
          </w:rPr>
          <w:t>[R022]</w:t>
        </w:r>
      </w:hyperlink>
      <w:r>
        <w:t xml:space="preserve"> </w:t>
      </w:r>
      <w:hyperlink r:id="rId29">
        <w:r>
          <w:rPr>
            <w:color w:val="235F80"/>
            <w:sz w:val="18"/>
          </w:rPr>
          <w:t>[R023]</w:t>
        </w:r>
      </w:hyperlink>
      <w:r>
        <w:t xml:space="preserve"> </w:t>
      </w:r>
      <w:hyperlink r:id="rId30">
        <w:r>
          <w:rPr>
            <w:color w:val="235F80"/>
            <w:sz w:val="18"/>
          </w:rPr>
          <w:t>[R024]</w:t>
        </w:r>
      </w:hyperlink>
      <w:r>
        <w:t xml:space="preserve"> </w:t>
      </w:r>
      <w:hyperlink r:id="rId31">
        <w:r>
          <w:rPr>
            <w:color w:val="235F80"/>
            <w:sz w:val="18"/>
          </w:rPr>
          <w:t>[R035]</w:t>
        </w:r>
      </w:hyperlink>
      <w:r>
        <w:t xml:space="preserve"> </w:t>
      </w:r>
      <w:hyperlink r:id="rId32">
        <w:r>
          <w:rPr>
            <w:color w:val="235F80"/>
            <w:sz w:val="18"/>
          </w:rPr>
          <w:t>[R060]</w:t>
        </w:r>
      </w:hyperlink>
    </w:p>
    <w:p>
      <w:r>
        <w:t>Существенное расширение — al-Wāridāt wa-l-taqdīsāt, молитвенно-философский комплекс. Найдены арабо-английское издание 2026 года, библиотечный вход к нему и авторское размещение диссертации с критическим приложением. Диссертационный пакет включает также приписываемые Сухраварди материалы; Sharḥ al-Asmāʾ al-Arbaʿīn не принят за достоверное сочинение философа. Персидские Būstān al-qulūb и Yazdān-shinākht, а также другие сложные атрибуции не получили искусственно точных самостоятельных карточек: соответствующие вопросы оставлены в gaps.</w:t>
      </w:r>
      <w:r>
        <w:t xml:space="preserve"> </w:t>
      </w:r>
      <w:hyperlink r:id="rId17">
        <w:r>
          <w:rPr>
            <w:color w:val="235F80"/>
            <w:sz w:val="18"/>
          </w:rPr>
          <w:t>[R008]</w:t>
        </w:r>
      </w:hyperlink>
      <w:r>
        <w:t xml:space="preserve"> </w:t>
      </w:r>
      <w:hyperlink r:id="rId33">
        <w:r>
          <w:rPr>
            <w:color w:val="235F80"/>
            <w:sz w:val="18"/>
          </w:rPr>
          <w:t>[R061]</w:t>
        </w:r>
      </w:hyperlink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  <w:r>
        <w:t xml:space="preserve"> </w:t>
      </w:r>
      <w:hyperlink r:id="rId35">
        <w:r>
          <w:rPr>
            <w:color w:val="235F80"/>
            <w:sz w:val="18"/>
          </w:rPr>
          <w:t>[R064]</w:t>
        </w:r>
      </w:hyperlink>
    </w:p>
    <w:p>
      <w:pPr>
        <w:pStyle w:val="Heading2"/>
      </w:pPr>
      <w:r>
        <w:t>Поиск назад: конкретные входящие тексты</w:t>
      </w:r>
    </w:p>
    <w:p>
      <w:r>
        <w:t>Авиценна представлен не всем собранием сочинений, а текстами с непосредственной связью с корпусом. Al-Ishārāt wa-l-tanbīhāt — философская основа и предмет чтения, засвидетельствованный также в одном кодексе с Ḥikmat al-Ishrāq. «Послание о птице» связано с персидской переводной переработкой Сухраварди. Авиценновский Ḥayy ibn Yaqẓān относится к предыстории его аллегорического письма и рассказа об изгнании; он не смешан с одноимённым произведением Ибн Туфайля.</w:t>
      </w:r>
      <w:r>
        <w:t xml:space="preserve"> </w:t>
      </w:r>
      <w:hyperlink r:id="rId36">
        <w:r>
          <w:rPr>
            <w:color w:val="235F80"/>
            <w:sz w:val="18"/>
          </w:rPr>
          <w:t>[R032]</w:t>
        </w:r>
      </w:hyperlink>
      <w:r>
        <w:t xml:space="preserve"> </w:t>
      </w:r>
      <w:hyperlink r:id="rId37">
        <w:r>
          <w:rPr>
            <w:color w:val="235F80"/>
            <w:sz w:val="18"/>
          </w:rPr>
          <w:t>[R038]</w:t>
        </w:r>
      </w:hyperlink>
      <w:r>
        <w:t xml:space="preserve"> </w:t>
      </w:r>
      <w:hyperlink r:id="rId38">
        <w:r>
          <w:rPr>
            <w:color w:val="235F80"/>
            <w:sz w:val="18"/>
          </w:rPr>
          <w:t>[R039]</w:t>
        </w:r>
      </w:hyperlink>
      <w:r>
        <w:t xml:space="preserve"> </w:t>
      </w:r>
      <w:hyperlink r:id="rId39">
        <w:r>
          <w:rPr>
            <w:color w:val="235F80"/>
            <w:sz w:val="18"/>
          </w:rPr>
          <w:t>[R065]</w:t>
        </w:r>
      </w:hyperlink>
    </w:p>
    <w:p>
      <w:r>
        <w:t>Mishkāt al-anwār ал-Газали включена как конкретный предшествующий текст световой эпистемологии, а не как разрешение расширить реестр на весь газалиевский корпус. Сохранены старый английский перевод Гэрднера, старое арабское издание и современное арабо-английское издание Бухмана. Наличие этой линии не означает, что вся система Сухраварди выведена из одной книги.</w:t>
      </w:r>
      <w:r>
        <w:t xml:space="preserve"> </w:t>
      </w:r>
      <w:hyperlink r:id="rId40">
        <w:r>
          <w:rPr>
            <w:color w:val="235F80"/>
            <w:sz w:val="18"/>
          </w:rPr>
          <w:t>[R040]</w:t>
        </w:r>
      </w:hyperlink>
      <w:r>
        <w:t xml:space="preserve"> </w:t>
      </w:r>
      <w:hyperlink r:id="rId41">
        <w:r>
          <w:rPr>
            <w:color w:val="235F80"/>
            <w:sz w:val="18"/>
          </w:rPr>
          <w:t>[R041]</w:t>
        </w:r>
      </w:hyperlink>
      <w:r>
        <w:t xml:space="preserve"> </w:t>
      </w:r>
      <w:hyperlink r:id="rId42">
        <w:r>
          <w:rPr>
            <w:color w:val="235F80"/>
            <w:sz w:val="18"/>
          </w:rPr>
          <w:t>[R042]</w:t>
        </w:r>
      </w:hyperlink>
      <w:r>
        <w:t xml:space="preserve"> </w:t>
      </w:r>
      <w:hyperlink r:id="rId39">
        <w:r>
          <w:rPr>
            <w:color w:val="235F80"/>
            <w:sz w:val="18"/>
          </w:rPr>
          <w:t>[R065]</w:t>
        </w:r>
      </w:hyperlink>
    </w:p>
    <w:p>
      <w:r>
        <w:t>Арабская «Теология Аристотеля» включена по точечной текстовой связи: в Ḥikmat al-Ishrāq §171 и al-Talwīḥāt используется материал арабского Плотина, соотносимый с «Теологией» I.21–26 и «Эннеадами» IV.8.1. Для старого издания Дитеричи найден HathiTrust-вход, но полный просмотр не открылся. Поэтому это подтверждённый библиографический путь, а не уже доступный свободный текст.</w:t>
      </w:r>
      <w:r>
        <w:t xml:space="preserve"> </w:t>
      </w:r>
      <w:hyperlink r:id="rId43">
        <w:r>
          <w:rPr>
            <w:color w:val="235F80"/>
            <w:sz w:val="18"/>
          </w:rPr>
          <w:t>[R054]</w:t>
        </w:r>
      </w:hyperlink>
      <w:r>
        <w:t xml:space="preserve"> </w:t>
      </w:r>
      <w:hyperlink r:id="rId39">
        <w:r>
          <w:rPr>
            <w:color w:val="235F80"/>
            <w:sz w:val="18"/>
          </w:rPr>
          <w:t>[R065]</w:t>
        </w:r>
      </w:hyperlink>
    </w:p>
    <w:p>
      <w:r>
        <w:t>«Шахнаме» присутствует только в связи с Залем, Симургом, Рустамом и Исфандияром, чьи сюжеты переосмысляются в ʿAql-i Surkh. Доступный английский вариант Аткинсона сокращён: полный электронный файл не равен полному персидскому эпосу. Общий зороастрийский канон, полный Платон и вся персидская поэзия не добавлены по одному лишь сходству символики.</w:t>
      </w:r>
      <w:r>
        <w:t xml:space="preserve"> </w:t>
      </w:r>
      <w:hyperlink r:id="rId29">
        <w:r>
          <w:rPr>
            <w:color w:val="235F80"/>
            <w:sz w:val="18"/>
          </w:rPr>
          <w:t>[R023]</w:t>
        </w:r>
      </w:hyperlink>
      <w:r>
        <w:t xml:space="preserve"> </w:t>
      </w:r>
      <w:hyperlink r:id="rId44">
        <w:r>
          <w:rPr>
            <w:color w:val="235F80"/>
            <w:sz w:val="18"/>
          </w:rPr>
          <w:t>[R055]</w:t>
        </w:r>
      </w:hyperlink>
    </w:p>
    <w:p>
      <w:pPr>
        <w:pStyle w:val="Heading2"/>
      </w:pPr>
      <w:r>
        <w:t>Поиск вперёд: комментарии, продолжения, сохранение</w:t>
      </w:r>
    </w:p>
    <w:p>
      <w:r>
        <w:t>Ранняя линия охватывает комментарий Ибн Каммуны к al-Talwīḥāt, комментарии Шахразури и Кутб ад-Дина аш-Ширази к Ḥikmat al-Ishrāq. К ней добавлены al-Shajara al-ilāhiyya Шахразури, его Nuzhat al-arwāḥ как биографический источник передачи и Ḥayāt al-nufūs Ризи как непосредственно связанный философский текст. Полный цифровой доступ к каждой из этих книг не доказан; реестр сохраняет конкретные издания, отдельные тома и свидетели.</w:t>
      </w:r>
      <w:r>
        <w:t xml:space="preserve"> </w:t>
      </w:r>
      <w:hyperlink r:id="rId45">
        <w:r>
          <w:rPr>
            <w:color w:val="235F80"/>
            <w:sz w:val="18"/>
          </w:rPr>
          <w:t>[R004]</w:t>
        </w:r>
      </w:hyperlink>
      <w:r>
        <w:t xml:space="preserve"> </w:t>
      </w:r>
      <w:hyperlink r:id="rId46">
        <w:r>
          <w:rPr>
            <w:color w:val="235F80"/>
            <w:sz w:val="18"/>
          </w:rPr>
          <w:t>[R021]</w:t>
        </w:r>
      </w:hyperlink>
      <w:r>
        <w:t xml:space="preserve"> </w:t>
      </w:r>
      <w:hyperlink r:id="rId47">
        <w:r>
          <w:rPr>
            <w:color w:val="235F80"/>
            <w:sz w:val="18"/>
          </w:rPr>
          <w:t>[R030]</w:t>
        </w:r>
      </w:hyperlink>
      <w:r>
        <w:t xml:space="preserve"> </w:t>
      </w:r>
      <w:hyperlink r:id="rId48">
        <w:r>
          <w:rPr>
            <w:color w:val="235F80"/>
            <w:sz w:val="18"/>
          </w:rPr>
          <w:t>[R031]</w:t>
        </w:r>
      </w:hyperlink>
      <w:r>
        <w:t xml:space="preserve"> </w:t>
      </w:r>
      <w:hyperlink r:id="rId49">
        <w:r>
          <w:rPr>
            <w:color w:val="235F80"/>
            <w:sz w:val="18"/>
          </w:rPr>
          <w:t>[R044]</w:t>
        </w:r>
      </w:hyperlink>
      <w:r>
        <w:t xml:space="preserve"> </w:t>
      </w:r>
      <w:hyperlink r:id="rId50">
        <w:r>
          <w:rPr>
            <w:color w:val="235F80"/>
            <w:sz w:val="18"/>
          </w:rPr>
          <w:t>[R047]</w:t>
        </w:r>
      </w:hyperlink>
      <w:r>
        <w:t xml:space="preserve"> </w:t>
      </w:r>
      <w:hyperlink r:id="rId51">
        <w:r>
          <w:rPr>
            <w:color w:val="235F80"/>
            <w:sz w:val="18"/>
          </w:rPr>
          <w:t>[R053]</w:t>
        </w:r>
      </w:hyperlink>
      <w:r>
        <w:t xml:space="preserve"> </w:t>
      </w:r>
      <w:hyperlink r:id="rId19">
        <w:r>
          <w:rPr>
            <w:color w:val="235F80"/>
            <w:sz w:val="18"/>
          </w:rPr>
          <w:t>[R058]</w:t>
        </w:r>
      </w:hyperlink>
    </w:p>
    <w:p>
      <w:r>
        <w:t>Для позднего ореола установлены Shawākil al-ḥūr Даввани — комментарий к Hayākil al-nūr, полемически связанный с ним Ishrāq Hayākil al-nūr Даштаки, османская линия Анкарави и персидская Anvāriyya Харави. Связь здесь комментарийная или переводная, а не только принадлежность к исламской культуре. Для Anvāriyya расхождение дат 1599/1600 и 1629 сохранено как вопрос, требующий проверки предисловия и рукописной базы.</w:t>
      </w:r>
      <w:r>
        <w:t xml:space="preserve"> </w:t>
      </w:r>
      <w:hyperlink r:id="rId52">
        <w:r>
          <w:rPr>
            <w:color w:val="235F80"/>
            <w:sz w:val="18"/>
          </w:rPr>
          <w:t>[R011]</w:t>
        </w:r>
      </w:hyperlink>
      <w:r>
        <w:t xml:space="preserve"> </w:t>
      </w:r>
      <w:hyperlink r:id="rId53">
        <w:r>
          <w:rPr>
            <w:color w:val="235F80"/>
            <w:sz w:val="18"/>
          </w:rPr>
          <w:t>[R012]</w:t>
        </w:r>
      </w:hyperlink>
      <w:r>
        <w:t xml:space="preserve"> </w:t>
      </w:r>
      <w:hyperlink r:id="rId54">
        <w:r>
          <w:rPr>
            <w:color w:val="235F80"/>
            <w:sz w:val="18"/>
          </w:rPr>
          <w:t>[R037]</w:t>
        </w:r>
      </w:hyperlink>
      <w:r>
        <w:t xml:space="preserve"> </w:t>
      </w:r>
      <w:hyperlink r:id="rId55">
        <w:r>
          <w:rPr>
            <w:color w:val="235F80"/>
            <w:sz w:val="18"/>
          </w:rPr>
          <w:t>[R050]</w:t>
        </w:r>
      </w:hyperlink>
    </w:p>
    <w:p>
      <w:r>
        <w:t>Садрианская рецепция представлена конкретными дополнениями к Ḥikmat al-Ishrāq и поздним рукописным суперкомментарием к Кутбу. Nūr al-fuʾād Кумиджани, умершего в 1895 году, включён как продолжение этой текстовой традиции, а не как смена исторических границ T2-13. Глоссы Вадуда Табризи, Хазина Лахиджи и другие поздние ветви сохранены в gaps там, где поиск конкретного доступа не завершён.</w:t>
      </w:r>
      <w:r>
        <w:t xml:space="preserve"> </w:t>
      </w:r>
      <w:hyperlink r:id="rId56">
        <w:r>
          <w:rPr>
            <w:color w:val="235F80"/>
            <w:sz w:val="18"/>
          </w:rPr>
          <w:t>[R005]</w:t>
        </w:r>
      </w:hyperlink>
      <w:r>
        <w:t xml:space="preserve"> </w:t>
      </w:r>
      <w:hyperlink r:id="rId57">
        <w:r>
          <w:rPr>
            <w:color w:val="235F80"/>
            <w:sz w:val="18"/>
          </w:rPr>
          <w:t>[R006]</w:t>
        </w:r>
      </w:hyperlink>
      <w:r>
        <w:t xml:space="preserve"> </w:t>
      </w:r>
      <w:hyperlink r:id="rId58">
        <w:r>
          <w:rPr>
            <w:color w:val="235F80"/>
            <w:sz w:val="18"/>
          </w:rPr>
          <w:t>[R043]</w:t>
        </w:r>
      </w:hyperlink>
    </w:p>
    <w:p>
      <w:pPr>
        <w:pStyle w:val="Heading2"/>
      </w:pPr>
      <w:r>
        <w:t>Что означают количественные итоги</w:t>
      </w:r>
    </w:p>
    <w:p>
      <w:r>
        <w:t>В registry — 66 способов доступа: 64 записи первичных произведений, изданий, свидетелей и данных, а также 2 вторичных навигатора. Они относятся примерно к 40 первичным названиям и корпусным группам; точное число зависит от счёта внутренних текстов антологий и спорных атрибуций. Издания и переводы одного произведения не названы отдельными произведениями.</w:t>
      </w:r>
    </w:p>
    <w:p>
      <w:r>
        <w:t>Основная разметка: core — 25 записей; same_corpus_or_tradition — 13; antecedent — 7; continuation — 1; commentary_or_reception — 8; transmission_or_preservation — 9; infrastructure — 1; secondary_navigation — 2. Категории supporting и boundary не использованы искусственно ради заполнения перечня. Записи gaps группируют пробелы, поэтому их число не является числом ещё не найденных книг.</w:t>
      </w:r>
    </w:p>
    <w:p>
      <w:pPr>
        <w:pStyle w:val="Heading1"/>
        <w:spacing w:before="340"/>
      </w:pPr>
      <w:r>
        <w:t>3. Лучшие пути доступа</w:t>
      </w:r>
    </w:p>
    <w:p>
      <w:pPr>
        <w:pStyle w:val="Heading2"/>
      </w:pPr>
      <w:r>
        <w:t>Ḥikmat al-Ishrāq</w:t>
      </w:r>
    </w:p>
    <w:p>
      <w:r>
        <w:t>Основной научный вход — полное арабо-английское издание Джона Уолбриджа и Хосейна Зияи, The Philosophy of Illumination, BYU / Islamic Translation Series, 1999 с указанием ©2000. Официальная карточка Chicago содержит описание и оглавление, но не свободный полный текст: режим — покупка. Дата завершения оригинала не освобождает современную редакцию и перевод.</w:t>
      </w:r>
      <w:r>
        <w:t xml:space="preserve"> </w:t>
      </w:r>
      <w:hyperlink r:id="rId11">
        <w:r>
          <w:rPr>
            <w:color w:val="235F80"/>
            <w:sz w:val="18"/>
          </w:rPr>
          <w:t>[R001]</w:t>
        </w:r>
      </w:hyperlink>
    </w:p>
    <w:p>
      <w:r>
        <w:t>На русском бесплатно доступен перевод А. В. Смирнова в «Ишрак», 2011, с. 28–46; это выбранный фрагмент, а не вся книга. Немецкий перевод Николая Синая 2011 года имеет официальный издательский вход; обещанный ознакомительный PDF не удалось открыть. Для более старого немецкого варианта Хортена 1912 года сохранён Google Books-вход с ограничениями проверки и регистрации. Старый урду-скан 1920 года в Internet Archive — только том II, с неустановленным по проверенной карточке переводчиком.</w:t>
      </w:r>
      <w:r>
        <w:t xml:space="preserve"> </w:t>
      </w:r>
      <w:hyperlink r:id="rId59">
        <w:r>
          <w:rPr>
            <w:color w:val="235F80"/>
            <w:sz w:val="18"/>
          </w:rPr>
          <w:t>[R007]</w:t>
        </w:r>
      </w:hyperlink>
      <w:r>
        <w:t xml:space="preserve"> </w:t>
      </w:r>
      <w:hyperlink r:id="rId60">
        <w:r>
          <w:rPr>
            <w:color w:val="235F80"/>
            <w:sz w:val="18"/>
          </w:rPr>
          <w:t>[R017]</w:t>
        </w:r>
      </w:hyperlink>
      <w:r>
        <w:t xml:space="preserve"> </w:t>
      </w:r>
      <w:hyperlink r:id="rId61">
        <w:r>
          <w:rPr>
            <w:color w:val="235F80"/>
            <w:sz w:val="18"/>
          </w:rPr>
          <w:t>[R018]</w:t>
        </w:r>
      </w:hyperlink>
      <w:r>
        <w:t xml:space="preserve"> </w:t>
      </w:r>
      <w:hyperlink r:id="rId62">
        <w:r>
          <w:rPr>
            <w:color w:val="235F80"/>
            <w:sz w:val="18"/>
          </w:rPr>
          <w:t>[R027]</w:t>
        </w:r>
      </w:hyperlink>
    </w:p>
    <w:p>
      <w:r>
        <w:t>Французский Le Livre de la sagesse orientale в издании Gallimard 2003 года идентифицирован по каталогу парижских библиотек: перевод Корбена, редакционная работа Жамбе и комментарийный материал. Полнота перевода относительно всей двухчастной Ḥikmat требует проверки: каталог книги сам по себе её не доказывает. Издательская страница не открылась, фактическая выдача экземпляра через библиотечный интерфейс не подтверждена; в registry это metadata-only, не обещание доступного абонемента.</w:t>
      </w:r>
      <w:r>
        <w:t xml:space="preserve"> </w:t>
      </w:r>
      <w:hyperlink r:id="rId63">
        <w:r>
          <w:rPr>
            <w:color w:val="235F80"/>
            <w:sz w:val="18"/>
          </w:rPr>
          <w:t>[R063]</w:t>
        </w:r>
      </w:hyperlink>
    </w:p>
    <w:p>
      <w:r>
        <w:t>Для оригинала наиболее перспективен Oxford MS. Pococke 107, переписанный в 1317/18 году: Ḥikmat находится на листах 97–172; в том же кодексе — авиценновские Ishārāt и Zubdat al-ḥaqāʾiq. Каталожная TEI/XML-запись скачивается, но это описание рукописи, не транскрипция трактата. Просмотр полного факсимиле не подтверждён. Ранний список 1220 года известен здесь по Christie’s lot 5556054: полезная материальная привязка, но не полный цифровой свидетель с проверенным современным местонахождением.</w:t>
      </w:r>
      <w:r>
        <w:t xml:space="preserve"> </w:t>
      </w:r>
      <w:hyperlink r:id="rId64">
        <w:r>
          <w:rPr>
            <w:color w:val="235F80"/>
            <w:sz w:val="18"/>
          </w:rPr>
          <w:t>[R019]</w:t>
        </w:r>
      </w:hyperlink>
      <w:r>
        <w:t xml:space="preserve"> </w:t>
      </w:r>
      <w:hyperlink r:id="rId36">
        <w:r>
          <w:rPr>
            <w:color w:val="235F80"/>
            <w:sz w:val="18"/>
          </w:rPr>
          <w:t>[R032]</w:t>
        </w:r>
      </w:hyperlink>
      <w:r>
        <w:t xml:space="preserve"> </w:t>
      </w:r>
      <w:hyperlink r:id="rId65">
        <w:r>
          <w:rPr>
            <w:color w:val="235F80"/>
            <w:sz w:val="18"/>
          </w:rPr>
          <w:t>[R033]</w:t>
        </w:r>
      </w:hyperlink>
    </w:p>
    <w:p>
      <w:r>
        <w:t>Самый свободный из проверенных на уровне отдельного изображения входов — начальный лист Topkapı Ahmed 3267, fol. 1b, 882 AH / 1477–1478. Это только один лист. Его режим PD-Art ограничен заявленной областью и юрисдикционной оговоркой; никакой тег в этой записи не распространяется на всю Ḥikmat или остальные изображения рукописи.</w:t>
      </w:r>
      <w:r>
        <w:t xml:space="preserve"> </w:t>
      </w:r>
      <w:hyperlink r:id="rId66">
        <w:r>
          <w:rPr>
            <w:color w:val="235F80"/>
            <w:sz w:val="18"/>
          </w:rPr>
          <w:t>[R025]</w:t>
        </w:r>
      </w:hyperlink>
    </w:p>
    <w:p>
      <w:pPr>
        <w:pStyle w:val="Heading2"/>
      </w:pPr>
      <w:r>
        <w:t>Talwīḥāt, Muqāwamāt и Mashāriʿ</w:t>
      </w:r>
    </w:p>
    <w:p>
      <w:r>
        <w:t>Для al-Talwīḥāt сохранены самостоятельное арабское издание, отдельное издание логики и метафизический раздел в корпусных публикациях. Для al-Muqāwamāt — отдельное современное издание и метафизический корпусный том. Для al-Mashāriʿ — издание логики, персидский перевод метафизики и арабская метафизическая часть. Так сохраняется реальная архитектура текстов; один том нельзя объявить полным доступом к трём трактатам.</w:t>
      </w:r>
      <w:r>
        <w:t xml:space="preserve"> </w:t>
      </w:r>
      <w:hyperlink r:id="rId12">
        <w:r>
          <w:rPr>
            <w:color w:val="235F80"/>
            <w:sz w:val="18"/>
          </w:rPr>
          <w:t>[R009]</w:t>
        </w:r>
      </w:hyperlink>
      <w:r>
        <w:t xml:space="preserve"> </w:t>
      </w:r>
      <w:hyperlink r:id="rId13">
        <w:r>
          <w:rPr>
            <w:color w:val="235F80"/>
            <w:sz w:val="18"/>
          </w:rPr>
          <w:t>[R010]</w:t>
        </w:r>
      </w:hyperlink>
      <w:r>
        <w:t xml:space="preserve"> </w:t>
      </w:r>
      <w:hyperlink r:id="rId14">
        <w:r>
          <w:rPr>
            <w:color w:val="235F80"/>
            <w:sz w:val="18"/>
          </w:rPr>
          <w:t>[R020]</w:t>
        </w:r>
      </w:hyperlink>
      <w:r>
        <w:t xml:space="preserve"> </w:t>
      </w:r>
      <w:hyperlink r:id="rId15">
        <w:r>
          <w:rPr>
            <w:color w:val="235F80"/>
            <w:sz w:val="18"/>
          </w:rPr>
          <w:t>[R029]</w:t>
        </w:r>
      </w:hyperlink>
      <w:r>
        <w:t xml:space="preserve"> </w:t>
      </w:r>
      <w:hyperlink r:id="rId67">
        <w:r>
          <w:rPr>
            <w:color w:val="235F80"/>
            <w:sz w:val="18"/>
          </w:rPr>
          <w:t>[R049]</w:t>
        </w:r>
      </w:hyperlink>
      <w:r>
        <w:t xml:space="preserve"> </w:t>
      </w:r>
      <w:hyperlink r:id="rId16">
        <w:r>
          <w:rPr>
            <w:color w:val="235F80"/>
            <w:sz w:val="18"/>
          </w:rPr>
          <w:t>[R056]</w:t>
        </w:r>
      </w:hyperlink>
    </w:p>
    <w:p>
      <w:r>
        <w:t>Noorlib даёт предметные библиографические карточки, иногда с кнопкой бесплатного чтения, однако динамический просмотр текста в этой проверке не открылся. Это не доказательство отсутствия чтения у обычного пользователя, но и не основание поставить free_full_read. Турецко-арабские издания Talwīḥāt и Muqāwamāt на официальном ресурсе YEK обнаружены по конкретным PDF-адресам; повторные запросы завершались тайм-аутом. Они сохранены в gaps вместе с адресами и задачей проверки. Полное издание физики Mashāriʿ остаётся отдельным пробелом.</w:t>
      </w:r>
    </w:p>
    <w:p>
      <w:pPr>
        <w:pStyle w:val="Heading2"/>
      </w:pPr>
      <w:r>
        <w:t>Hayākil, Partaw-nāma и Alwāḥ</w:t>
      </w:r>
    </w:p>
    <w:p>
      <w:r>
        <w:t>Лучший проверенный старый арабский оригинал — Hayākil al-nūr в Arabic Collections Online, экземпляр American University of Beirut, издание 1335 AH, каталогизированное как [1916?]. Низкое разрешение PDF, 112 страниц и около 9,87 МБ, открылось; высокая версия около 41,56 МБ превышала лимит веб-инструмента. Это один том с приложениями, а не три самостоятельных цифровых объекта. Item-level Public Domain statement делает его главным кандидатом для самостоятельной работы ToS с арабским текстом в доказанном объёме.</w:t>
      </w:r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</w:p>
    <w:p>
      <w:r>
        <w:t>The Shape of Light в переводе Тосуна Байрака — полезный современный английский вход, но интерпретирующий, а не замена критическому изданию. Для Partaw-nāma предпочтителен двуязычный The Book of Radiance Зияи, Mazda, 1998: конкретный научный оригинал и перевод, доступный через покупку, без установленной открытой лицензии.</w:t>
      </w:r>
      <w:r>
        <w:t xml:space="preserve"> </w:t>
      </w:r>
      <w:hyperlink r:id="rId20">
        <w:r>
          <w:rPr>
            <w:color w:val="235F80"/>
            <w:sz w:val="18"/>
          </w:rPr>
          <w:t>[R002]</w:t>
        </w:r>
      </w:hyperlink>
      <w:r>
        <w:t xml:space="preserve"> </w:t>
      </w:r>
      <w:hyperlink r:id="rId68">
        <w:r>
          <w:rPr>
            <w:color w:val="235F80"/>
            <w:sz w:val="18"/>
          </w:rPr>
          <w:t>[R026]</w:t>
        </w:r>
      </w:hyperlink>
    </w:p>
    <w:p>
      <w:r>
        <w:t>Русский перевод «Скрижалей Имад ад-Дина» Яниса Эшотса в «Ишрак», 2011, с. 202–221, доступен PDF, но охватывает предисловие и первые две скрижали. Не следует помечать его полным Alwāḥ. Арабский вход сохранён в издательском сборнике; официальный турецко-арабский YEK-PDF не открылся и оставлен в gaps.</w:t>
      </w:r>
      <w:r>
        <w:t xml:space="preserve"> </w:t>
      </w:r>
      <w:hyperlink r:id="rId69">
        <w:r>
          <w:rPr>
            <w:color w:val="235F80"/>
            <w:sz w:val="18"/>
          </w:rPr>
          <w:t>[R034]</w:t>
        </w:r>
      </w:hyperlink>
      <w:r>
        <w:t xml:space="preserve"> </w:t>
      </w:r>
      <w:hyperlink r:id="rId19">
        <w:r>
          <w:rPr>
            <w:color w:val="235F80"/>
            <w:sz w:val="18"/>
          </w:rPr>
          <w:t>[R059]</w:t>
        </w:r>
      </w:hyperlink>
    </w:p>
    <w:p>
      <w:pPr>
        <w:pStyle w:val="Heading2"/>
      </w:pPr>
      <w:r>
        <w:t>Персидские аллегории и малые трактаты</w:t>
      </w:r>
    </w:p>
    <w:p>
      <w:r>
        <w:t>Лучшее компактное приобретение для сопоставления оригинала с английским — The Philosophical Allegories and Mystical Treatises, Такстон, Mazda, 1999. Французская антология Корбена L’Archange empourpré, Fayard, включает пятнадцать трактатов и представляет другой важный переводной доступ; она не объявлена свободной или равной всему авторскому корпусу.</w:t>
      </w:r>
      <w:r>
        <w:t xml:space="preserve"> </w:t>
      </w:r>
      <w:hyperlink r:id="rId27">
        <w:r>
          <w:rPr>
            <w:color w:val="235F80"/>
            <w:sz w:val="18"/>
          </w:rPr>
          <w:t>[R003]</w:t>
        </w:r>
      </w:hyperlink>
      <w:r>
        <w:t xml:space="preserve"> </w:t>
      </w:r>
      <w:hyperlink r:id="rId70">
        <w:r>
          <w:rPr>
            <w:color w:val="235F80"/>
            <w:sz w:val="18"/>
          </w:rPr>
          <w:t>[R028]</w:t>
        </w:r>
      </w:hyperlink>
    </w:p>
    <w:p>
      <w:r>
        <w:t>Для бесплатного русского чтения особенно полезен полный перевод «Звука крыла Гавриила» Эшотса в «Ишрак», 2010, с. 516–535. Открытая загрузка статьи не подтверждает право разместить её копию на ToS. Персидский ʿAql-i Surkh в Wikisource и факсимиле «Двух персидских трактатов» Баяни 1938 года на Commons дают дополнительные входы. Для них требуется отделять исторический текст, редакторскую работу и права конкретной цифровой версии; иранская публичнодоменная маркировка не превращена в универсальное международное разрешение.</w:t>
      </w:r>
      <w:r>
        <w:t xml:space="preserve"> </w:t>
      </w:r>
      <w:hyperlink r:id="rId29">
        <w:r>
          <w:rPr>
            <w:color w:val="235F80"/>
            <w:sz w:val="18"/>
          </w:rPr>
          <w:t>[R023]</w:t>
        </w:r>
      </w:hyperlink>
      <w:r>
        <w:t xml:space="preserve"> </w:t>
      </w:r>
      <w:hyperlink r:id="rId30">
        <w:r>
          <w:rPr>
            <w:color w:val="235F80"/>
            <w:sz w:val="18"/>
          </w:rPr>
          <w:t>[R024]</w:t>
        </w:r>
      </w:hyperlink>
      <w:r>
        <w:t xml:space="preserve"> </w:t>
      </w:r>
      <w:hyperlink r:id="rId31">
        <w:r>
          <w:rPr>
            <w:color w:val="235F80"/>
            <w:sz w:val="18"/>
          </w:rPr>
          <w:t>[R035]</w:t>
        </w:r>
      </w:hyperlink>
    </w:p>
    <w:p>
      <w:r>
        <w:t>Наиболее ясный современный открытый перевод — польский «Рассказ о западном изгнании» Лукаша Пионтака, Opowieść o wygnaniu na Zachód, Studia Azjatystyczne 4 (2018), с. 43–52, опубликованный онлайн в 2019 году. Полный десятистраничный PDF и item-level лицензия CC BY 4.0 проверены. Он полезен для чтения, загрузки и повторного использования статьи с атрибуцией, но не является свободным арабским оригиналом.</w:t>
      </w:r>
      <w:r>
        <w:t xml:space="preserve"> </w:t>
      </w:r>
      <w:hyperlink r:id="rId32">
        <w:r>
          <w:rPr>
            <w:color w:val="235F80"/>
            <w:sz w:val="18"/>
          </w:rPr>
          <w:t>[R060]</w:t>
        </w:r>
      </w:hyperlink>
    </w:p>
    <w:p>
      <w:r>
        <w:t>Отдельные издания Lughat-i mūrān, Lamaḥāt и Kalimat al-taṣawwuf сохранены на уровне конкретных книг. Их научная полезность не понижена из-за отсутствия установленного скачивания. Библиографические карточки Dīwān и Rasāʾil ṣūfiyya оставлены с оговорками состава и атрибуции, а не представлены как окончательный канон.</w:t>
      </w:r>
      <w:r>
        <w:t xml:space="preserve"> </w:t>
      </w:r>
      <w:hyperlink r:id="rId21">
        <w:r>
          <w:rPr>
            <w:color w:val="235F80"/>
            <w:sz w:val="18"/>
          </w:rPr>
          <w:t>[R014]</w:t>
        </w:r>
      </w:hyperlink>
      <w:r>
        <w:t xml:space="preserve"> </w:t>
      </w:r>
      <w:hyperlink r:id="rId22">
        <w:r>
          <w:rPr>
            <w:color w:val="235F80"/>
            <w:sz w:val="18"/>
          </w:rPr>
          <w:t>[R015]</w:t>
        </w:r>
      </w:hyperlink>
      <w:r>
        <w:t xml:space="preserve"> </w:t>
      </w:r>
      <w:hyperlink r:id="rId23">
        <w:r>
          <w:rPr>
            <w:color w:val="235F80"/>
            <w:sz w:val="18"/>
          </w:rPr>
          <w:t>[R016]</w:t>
        </w:r>
      </w:hyperlink>
      <w:r>
        <w:t xml:space="preserve"> </w:t>
      </w:r>
      <w:hyperlink r:id="rId28">
        <w:r>
          <w:rPr>
            <w:color w:val="235F80"/>
            <w:sz w:val="18"/>
          </w:rPr>
          <w:t>[R022]</w:t>
        </w:r>
      </w:hyperlink>
      <w:r>
        <w:t xml:space="preserve"> </w:t>
      </w:r>
      <w:hyperlink r:id="rId25">
        <w:r>
          <w:rPr>
            <w:color w:val="235F80"/>
            <w:sz w:val="18"/>
          </w:rPr>
          <w:t>[R051]</w:t>
        </w:r>
      </w:hyperlink>
      <w:r>
        <w:t xml:space="preserve"> </w:t>
      </w:r>
      <w:hyperlink r:id="rId26">
        <w:r>
          <w:rPr>
            <w:color w:val="235F80"/>
            <w:sz w:val="18"/>
          </w:rPr>
          <w:t>[R052]</w:t>
        </w:r>
      </w:hyperlink>
    </w:p>
    <w:p>
      <w:pPr>
        <w:pStyle w:val="Heading2"/>
      </w:pPr>
      <w:r>
        <w:t>Ранние и поздние комментарии</w:t>
      </w:r>
    </w:p>
    <w:p>
      <w:r>
        <w:t>У Ибн Каммуны важно различать формы доступа: Mazda представляет часть II, физику; иранское трёхтомное издание Хабиби каталогизировано отдельно; Taaghche предлагает электронный том III, метафизику, через покупку. Это не три дубликата и не три доступа ко всему комментарию. Рукопись 705 AH / 1305–1306 из Астан-и Кудс подтверждена институциональным сообщением, но шифр и полный цифровой просмотр не получены.</w:t>
      </w:r>
      <w:r>
        <w:t xml:space="preserve"> </w:t>
      </w:r>
      <w:hyperlink r:id="rId45">
        <w:r>
          <w:rPr>
            <w:color w:val="235F80"/>
            <w:sz w:val="18"/>
          </w:rPr>
          <w:t>[R004]</w:t>
        </w:r>
      </w:hyperlink>
      <w:r>
        <w:t xml:space="preserve"> </w:t>
      </w:r>
      <w:hyperlink r:id="rId49">
        <w:r>
          <w:rPr>
            <w:color w:val="235F80"/>
            <w:sz w:val="18"/>
          </w:rPr>
          <w:t>[R044]</w:t>
        </w:r>
      </w:hyperlink>
      <w:r>
        <w:t xml:space="preserve"> </w:t>
      </w:r>
      <w:hyperlink r:id="rId71">
        <w:r>
          <w:rPr>
            <w:color w:val="235F80"/>
            <w:sz w:val="18"/>
          </w:rPr>
          <w:t>[R045]</w:t>
        </w:r>
      </w:hyperlink>
      <w:r>
        <w:t xml:space="preserve"> </w:t>
      </w:r>
      <w:hyperlink r:id="rId72">
        <w:r>
          <w:rPr>
            <w:color w:val="235F80"/>
            <w:sz w:val="18"/>
          </w:rPr>
          <w:t>[R046]</w:t>
        </w:r>
      </w:hyperlink>
      <w:r>
        <w:t xml:space="preserve"> </w:t>
      </w:r>
      <w:hyperlink r:id="rId73">
        <w:r>
          <w:rPr>
            <w:color w:val="235F80"/>
            <w:sz w:val="18"/>
          </w:rPr>
          <w:t>[R048]</w:t>
        </w:r>
      </w:hyperlink>
    </w:p>
    <w:p>
      <w:r>
        <w:t>Для комментария Шахразури сохранены издания Зияи и каирское двухтомное издание; для Кутба — издание Мухаккика и Нурани. У al-Shajara al-ilāhiyya проверен официальный вход к тому I, а не ко всему многотомному труду. Nuzhat al-arwāḥ полезна прежде всего своим биографическим материалом о Сухраварди; общий объём книги не становится автоматически ядром T2-13.</w:t>
      </w:r>
      <w:r>
        <w:t xml:space="preserve"> </w:t>
      </w:r>
      <w:hyperlink r:id="rId46">
        <w:r>
          <w:rPr>
            <w:color w:val="235F80"/>
            <w:sz w:val="18"/>
          </w:rPr>
          <w:t>[R021]</w:t>
        </w:r>
      </w:hyperlink>
      <w:r>
        <w:t xml:space="preserve"> </w:t>
      </w:r>
      <w:hyperlink r:id="rId47">
        <w:r>
          <w:rPr>
            <w:color w:val="235F80"/>
            <w:sz w:val="18"/>
          </w:rPr>
          <w:t>[R030]</w:t>
        </w:r>
      </w:hyperlink>
      <w:r>
        <w:t xml:space="preserve"> </w:t>
      </w:r>
      <w:hyperlink r:id="rId48">
        <w:r>
          <w:rPr>
            <w:color w:val="235F80"/>
            <w:sz w:val="18"/>
          </w:rPr>
          <w:t>[R031]</w:t>
        </w:r>
      </w:hyperlink>
      <w:r>
        <w:t xml:space="preserve"> </w:t>
      </w:r>
      <w:hyperlink r:id="rId50">
        <w:r>
          <w:rPr>
            <w:color w:val="235F80"/>
            <w:sz w:val="18"/>
          </w:rPr>
          <w:t>[R047]</w:t>
        </w:r>
      </w:hyperlink>
      <w:r>
        <w:t xml:space="preserve"> </w:t>
      </w:r>
      <w:hyperlink r:id="rId19">
        <w:r>
          <w:rPr>
            <w:color w:val="235F80"/>
            <w:sz w:val="18"/>
          </w:rPr>
          <w:t>[R058]</w:t>
        </w:r>
      </w:hyperlink>
    </w:p>
    <w:p>
      <w:r>
        <w:t>Для поздней рецепции полезны конкретные издания Даввани, Даштаки, Анкарави и Anvāriyya Харави; у последней подтверждён ознакомительный материал, но не свободная полная книга. Addenda Муллы Садры в Mazda охватывает часть I, логику. Эти ограничения позволяют использовать книгу как самостоятельный вход, не приписывая ей отсутствующих частей.</w:t>
      </w:r>
      <w:r>
        <w:t xml:space="preserve"> </w:t>
      </w:r>
      <w:hyperlink r:id="rId56">
        <w:r>
          <w:rPr>
            <w:color w:val="235F80"/>
            <w:sz w:val="18"/>
          </w:rPr>
          <w:t>[R005]</w:t>
        </w:r>
      </w:hyperlink>
      <w:r>
        <w:t xml:space="preserve"> </w:t>
      </w:r>
      <w:hyperlink r:id="rId52">
        <w:r>
          <w:rPr>
            <w:color w:val="235F80"/>
            <w:sz w:val="18"/>
          </w:rPr>
          <w:t>[R011]</w:t>
        </w:r>
      </w:hyperlink>
      <w:r>
        <w:t xml:space="preserve"> </w:t>
      </w:r>
      <w:hyperlink r:id="rId53">
        <w:r>
          <w:rPr>
            <w:color w:val="235F80"/>
            <w:sz w:val="18"/>
          </w:rPr>
          <w:t>[R012]</w:t>
        </w:r>
      </w:hyperlink>
      <w:r>
        <w:t xml:space="preserve"> </w:t>
      </w:r>
      <w:hyperlink r:id="rId54">
        <w:r>
          <w:rPr>
            <w:color w:val="235F80"/>
            <w:sz w:val="18"/>
          </w:rPr>
          <w:t>[R037]</w:t>
        </w:r>
      </w:hyperlink>
      <w:r>
        <w:t xml:space="preserve"> </w:t>
      </w:r>
      <w:hyperlink r:id="rId55">
        <w:r>
          <w:rPr>
            <w:color w:val="235F80"/>
            <w:sz w:val="18"/>
          </w:rPr>
          <w:t>[R050]</w:t>
        </w:r>
      </w:hyperlink>
    </w:p>
    <w:p>
      <w:r>
        <w:t>Существенное уточнение к DR: его Princeton-ссылка ведёт к New Series 34 — позднему, 1900–1941 годов, списку садрианского суперкомментария к Кутбу, на листах 95b–356b, а не непосредственно к раннему списку самого Кутба. Каталог перечисляет 732 файла, но это один цифровой объект, а не 732 независимых находки. Официальные PDF/IIIF-входы сохранены; полноценная загрузка изображений не подтверждена. Уведомление No Known Copyright не принято за открытую лицензию.</w:t>
      </w:r>
      <w:r>
        <w:t xml:space="preserve"> </w:t>
      </w:r>
      <w:hyperlink r:id="rId58">
        <w:r>
          <w:rPr>
            <w:color w:val="235F80"/>
            <w:sz w:val="18"/>
          </w:rPr>
          <w:t>[R043]</w:t>
        </w:r>
      </w:hyperlink>
    </w:p>
    <w:p>
      <w:pPr>
        <w:pStyle w:val="Heading2"/>
      </w:pPr>
      <w:r>
        <w:t>Wāridāt: новый перевод и критическое приложение</w:t>
      </w:r>
    </w:p>
    <w:p>
      <w:r>
        <w:t>Divine Inspirations and Sanctifications: A Parallel English–Arabic Text, Пионтак, Brill, 2026, ISBN 9789004761315, — предметный современный вход в al-Wāridāt wa-l-taqdīsāt. Он подтверждён открывшейся страницей продавца и перечнем новых приобретений Leiden. Страница самого Brill возвращала 403; свободный полный PDF или CC-лицензия не установлены. Библиотечный электронный путь отражён отдельно, но авторизованный сеанс чтения не выполнялся.</w:t>
      </w:r>
      <w:r>
        <w:t xml:space="preserve"> </w:t>
      </w:r>
      <w:hyperlink r:id="rId33">
        <w:r>
          <w:rPr>
            <w:color w:val="235F80"/>
            <w:sz w:val="18"/>
          </w:rPr>
          <w:t>[R061]</w:t>
        </w:r>
      </w:hyperlink>
      <w:r>
        <w:t xml:space="preserve"> </w:t>
      </w:r>
      <w:hyperlink r:id="rId35">
        <w:r>
          <w:rPr>
            <w:color w:val="235F80"/>
            <w:sz w:val="18"/>
          </w:rPr>
          <w:t>[R064]</w:t>
        </w:r>
      </w:hyperlink>
    </w:p>
    <w:p>
      <w:r>
        <w:t>Авторское размещение диссертации Between philosophy, mysticism and magic (Варшавский университет, 2019) открылось в значительном по объёму HTML-представлении. Оно даёт важный исследовательский доступ к критическому арабскому приложению и связанным текстам. Официальный университетский отзыв подтверждает идентификацию диссертации; репозиторный handle не открылся. Полнота HTML не приравнена к полноте PDF, лицензия на перепубликацию не найдена, собственная критическая реконструкция редактора не названа публичнодоменным оригиналом.</w:t>
      </w:r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</w:p>
    <w:p>
      <w:pPr>
        <w:pStyle w:val="Heading1"/>
        <w:spacing w:before="340"/>
      </w:pPr>
      <w:r>
        <w:t>4. Карта прав и использования ToS</w:t>
      </w:r>
    </w:p>
    <w:p>
      <w:r>
        <w:t>Реестр содержит четыре записи с положительным тегом зеркалирования или распространения с атрибуцией. Это четыре ограниченных правовых слоя, не четыре полностью свободных корпуса и не разрешение копировать всё с соответствующих сайтов.</w:t>
      </w:r>
    </w:p>
    <w:p>
      <w:pPr>
        <w:pStyle w:val="Heading2"/>
      </w:pPr>
      <w:r>
        <w:t>Открытая лицензия и заявленное общественное достояние</w:t>
      </w:r>
    </w:p>
    <w:p>
      <w:r>
        <w:t>R060 — польская статья с переводом «Рассказа о западном изгнании», CC BY 4.0. Допустимы повторное распространение и переработка лицензированного материала при атрибуции, сохранении ссылки на лицензию и указании изменений. OCR, публичная полнотекстовая индексация и embeddings оценены отдельно и положительно для этого слоя. Лицензия не переносится на весь журнал или на права цитируемых современных изданий.</w:t>
      </w:r>
      <w:r>
        <w:t xml:space="preserve"> </w:t>
      </w:r>
      <w:hyperlink r:id="rId32">
        <w:r>
          <w:rPr>
            <w:color w:val="235F80"/>
            <w:sz w:val="18"/>
          </w:rPr>
          <w:t>[R060]</w:t>
        </w:r>
      </w:hyperlink>
    </w:p>
    <w:p>
      <w:r>
        <w:t>R025 — одно изображение fol. 1b Topkapı Ahmed 3267, с item-level PD-Art; R036 — старый арабский том Hayākil в ACO с Public Domain statement; R055 — старый английский сокращённый «Шахнаме» в Project Gutenberg. Для них MIRROR_OK ограничен доказанным публичнодоменным слоем и отмеченной юрисдикцией США. Дополнительный RIGHTS_REVIEW_REQUIRED относится к международному повторному размещению и неохваченным компонентам, а не отменяет уже описанный узкий режим.</w:t>
      </w:r>
      <w:r>
        <w:t xml:space="preserve"> </w:t>
      </w:r>
      <w:hyperlink r:id="rId66">
        <w:r>
          <w:rPr>
            <w:color w:val="235F80"/>
            <w:sz w:val="18"/>
          </w:rPr>
          <w:t>[R025]</w:t>
        </w:r>
      </w:hyperlink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  <w:r>
        <w:t xml:space="preserve"> </w:t>
      </w:r>
      <w:hyperlink r:id="rId44">
        <w:r>
          <w:rPr>
            <w:color w:val="235F80"/>
            <w:sz w:val="18"/>
          </w:rPr>
          <w:t>[R055]</w:t>
        </w:r>
      </w:hyperlink>
    </w:p>
    <w:p>
      <w:r>
        <w:t>Public Domain Mark и заявления Public Domain — не лицензии. Маркировка указывает на заявленный статус объекта; международная публикация ToS требует учитывать территорию использования, редакторские добавления, фотографии и материалы третьих лиц. Сам некоммерческий характер проекта не снимает эти вопросы.</w:t>
      </w:r>
    </w:p>
    <w:p>
      <w:pPr>
        <w:pStyle w:val="Heading2"/>
      </w:pPr>
      <w:r>
        <w:t>Бесплатный доступ без доказанного права зеркала</w:t>
      </w:r>
    </w:p>
    <w:p>
      <w:r>
        <w:t>Русские статьи Смирнова и Эшотса доступны для чтения и загрузки с исследовательского сайта. В них не найдено достаточного основания для публичного зеркалирования, публикации производных транскрипций или массового открытого индекса. Те же различения применены к авторской диссертации и доступному PDF библиографического навигатора: законный путь чтения сохранён, неопределённость переиспользования не скрыта.</w:t>
      </w:r>
      <w:r>
        <w:t xml:space="preserve"> </w:t>
      </w:r>
      <w:hyperlink r:id="rId59">
        <w:r>
          <w:rPr>
            <w:color w:val="235F80"/>
            <w:sz w:val="18"/>
          </w:rPr>
          <w:t>[R007]</w:t>
        </w:r>
      </w:hyperlink>
      <w:r>
        <w:t xml:space="preserve"> </w:t>
      </w:r>
      <w:hyperlink r:id="rId69">
        <w:r>
          <w:rPr>
            <w:color w:val="235F80"/>
            <w:sz w:val="18"/>
          </w:rPr>
          <w:t>[R034]</w:t>
        </w:r>
      </w:hyperlink>
      <w:r>
        <w:t xml:space="preserve"> </w:t>
      </w:r>
      <w:hyperlink r:id="rId31">
        <w:r>
          <w:rPr>
            <w:color w:val="235F80"/>
            <w:sz w:val="18"/>
          </w:rPr>
          <w:t>[R035]</w:t>
        </w:r>
      </w:hyperlink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  <w:r>
        <w:t xml:space="preserve"> </w:t>
      </w:r>
      <w:hyperlink r:id="rId74">
        <w:r>
          <w:rPr>
            <w:color w:val="235F80"/>
            <w:sz w:val="18"/>
          </w:rPr>
          <w:t>[R066]</w:t>
        </w:r>
      </w:hyperlink>
    </w:p>
    <w:p>
      <w:r>
        <w:t>Для старых вариантов Mishkāt al-anwār сайт ghazali.org предоставляет чтение и PDF, но сопровождает материалы собственными условиями копирования. Возраст издания не использован для автоматического разрешения массовой загрузки, перепубликации и собственного перевода с конкретного цифрового слоя. Нужна отдельная проверка применимости ограничений и происхождения цифровой копии.</w:t>
      </w:r>
      <w:r>
        <w:t xml:space="preserve"> </w:t>
      </w:r>
      <w:hyperlink r:id="rId40">
        <w:r>
          <w:rPr>
            <w:color w:val="235F80"/>
            <w:sz w:val="18"/>
          </w:rPr>
          <w:t>[R040]</w:t>
        </w:r>
      </w:hyperlink>
      <w:r>
        <w:t xml:space="preserve"> </w:t>
      </w:r>
      <w:hyperlink r:id="rId41">
        <w:r>
          <w:rPr>
            <w:color w:val="235F80"/>
            <w:sz w:val="18"/>
          </w:rPr>
          <w:t>[R041]</w:t>
        </w:r>
      </w:hyperlink>
    </w:p>
    <w:p>
      <w:r>
        <w:t>Современные критические издания, переводы и комментарийные публикации сохранены как purchase, institutional_access, preview или metadata-only. Покупка даёт способ ознакомиться с книгой, но не передаёт авторские права. Никакие покупки, регистрации, обращения к правообладателям или действия от имени пользователя не выполнялись.</w:t>
      </w:r>
      <w:r>
        <w:t xml:space="preserve"> </w:t>
      </w:r>
      <w:hyperlink r:id="rId11">
        <w:r>
          <w:rPr>
            <w:color w:val="235F80"/>
            <w:sz w:val="18"/>
          </w:rPr>
          <w:t>[R001]</w:t>
        </w:r>
      </w:hyperlink>
      <w:r>
        <w:t xml:space="preserve"> </w:t>
      </w:r>
      <w:hyperlink r:id="rId20">
        <w:r>
          <w:rPr>
            <w:color w:val="235F80"/>
            <w:sz w:val="18"/>
          </w:rPr>
          <w:t>[R002]</w:t>
        </w:r>
      </w:hyperlink>
      <w:r>
        <w:t xml:space="preserve"> </w:t>
      </w:r>
      <w:hyperlink r:id="rId27">
        <w:r>
          <w:rPr>
            <w:color w:val="235F80"/>
            <w:sz w:val="18"/>
          </w:rPr>
          <w:t>[R003]</w:t>
        </w:r>
      </w:hyperlink>
      <w:r>
        <w:t xml:space="preserve"> </w:t>
      </w:r>
      <w:hyperlink r:id="rId45">
        <w:r>
          <w:rPr>
            <w:color w:val="235F80"/>
            <w:sz w:val="18"/>
          </w:rPr>
          <w:t>[R004]</w:t>
        </w:r>
      </w:hyperlink>
      <w:r>
        <w:t xml:space="preserve"> </w:t>
      </w:r>
      <w:hyperlink r:id="rId56">
        <w:r>
          <w:rPr>
            <w:color w:val="235F80"/>
            <w:sz w:val="18"/>
          </w:rPr>
          <w:t>[R005]</w:t>
        </w:r>
      </w:hyperlink>
      <w:r>
        <w:t xml:space="preserve"> </w:t>
      </w:r>
      <w:hyperlink r:id="rId68">
        <w:r>
          <w:rPr>
            <w:color w:val="235F80"/>
            <w:sz w:val="18"/>
          </w:rPr>
          <w:t>[R026]</w:t>
        </w:r>
      </w:hyperlink>
      <w:r>
        <w:t xml:space="preserve"> </w:t>
      </w:r>
      <w:hyperlink r:id="rId62">
        <w:r>
          <w:rPr>
            <w:color w:val="235F80"/>
            <w:sz w:val="18"/>
          </w:rPr>
          <w:t>[R027]</w:t>
        </w:r>
      </w:hyperlink>
      <w:r>
        <w:t xml:space="preserve"> </w:t>
      </w:r>
      <w:hyperlink r:id="rId33">
        <w:r>
          <w:rPr>
            <w:color w:val="235F80"/>
            <w:sz w:val="18"/>
          </w:rPr>
          <w:t>[R061]</w:t>
        </w:r>
      </w:hyperlink>
      <w:r>
        <w:t xml:space="preserve"> </w:t>
      </w:r>
      <w:hyperlink r:id="rId35">
        <w:r>
          <w:rPr>
            <w:color w:val="235F80"/>
            <w:sz w:val="18"/>
          </w:rPr>
          <w:t>[R064]</w:t>
        </w:r>
      </w:hyperlink>
    </w:p>
    <w:p>
      <w:pPr>
        <w:pStyle w:val="Heading2"/>
      </w:pPr>
      <w:r>
        <w:t>NC, ND и смешанные компоненты</w:t>
      </w:r>
    </w:p>
    <w:p>
      <w:r>
        <w:t>В проверенном наборе не найден первичный объект с подтверждённой применимой CC BY-NC, CC BY-NC-SA или ND-лицензией. Это результат проверки, а не исключение некоммерческих лицензий из поиска. Условия личного некоммерческого исследования не названы CC-лицензией на публичное зеркало. Поэтому MIRROR_NONCOMMERCIAL, SHAREALIKE_REQUIRED и UNCHANGED_ONLY не расставлены предположительно.</w:t>
      </w:r>
    </w:p>
    <w:p>
      <w:r>
        <w:t>Лицензия кода не перенесена на данные, каталожная TEI — на изображения, а права на метаданные — на полный текст. В частности, FIHRIST XML описывает рукопись Pococke 107 и может быть полезен для обнаружения и сопоставления шифров, но не даёт корпус текста Ḥikmat. Для самих метаданных не установлено достаточное разрешение на безусловное массовое зеркалирование.</w:t>
      </w:r>
      <w:r>
        <w:t xml:space="preserve"> </w:t>
      </w:r>
      <w:hyperlink r:id="rId65">
        <w:r>
          <w:rPr>
            <w:color w:val="235F80"/>
            <w:sz w:val="18"/>
          </w:rPr>
          <w:t>[R033]</w:t>
        </w:r>
      </w:hyperlink>
    </w:p>
    <w:p>
      <w:pPr>
        <w:pStyle w:val="Heading2"/>
      </w:pPr>
      <w:r>
        <w:t>Чистая основа собственного перевода</w:t>
      </w:r>
    </w:p>
    <w:p>
      <w:r>
        <w:t>OWN_TRANSLATION_POSSIBLE поставлен только у R025 и R036. Для R025 это перевод читаемого исторического текста одного листа; для R036 — арабского слоя старого издания Hayākil в пределах доступного тома и с проверкой приложений. Он не обещает полный перевод Ḥikmat или всех произведений Сухраварди.</w:t>
      </w:r>
      <w:r>
        <w:t xml:space="preserve"> </w:t>
      </w:r>
      <w:hyperlink r:id="rId66">
        <w:r>
          <w:rPr>
            <w:color w:val="235F80"/>
            <w:sz w:val="18"/>
          </w:rPr>
          <w:t>[R025]</w:t>
        </w:r>
      </w:hyperlink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</w:p>
    <w:p>
      <w:r>
        <w:t>Польский перевод по CC BY 4.0 допускает лицензированную переработку с соблюдением условий, но не отмечен как независимая чистая база нового перевода с арабского. Аналогично английский «Шахнаме» не подменяет персидский оригинал. Современные арабские критические реконструкции, даже внутри бесплатно читаемой диссертации, не объявлены свободными лишь потому, что исходное произведение средневековое.</w:t>
      </w:r>
      <w:r>
        <w:t xml:space="preserve"> </w:t>
      </w:r>
      <w:hyperlink r:id="rId44">
        <w:r>
          <w:rPr>
            <w:color w:val="235F80"/>
            <w:sz w:val="18"/>
          </w:rPr>
          <w:t>[R055]</w:t>
        </w:r>
      </w:hyperlink>
      <w:r>
        <w:t xml:space="preserve"> </w:t>
      </w:r>
      <w:hyperlink r:id="rId32">
        <w:r>
          <w:rPr>
            <w:color w:val="235F80"/>
            <w:sz w:val="18"/>
          </w:rPr>
          <w:t>[R060]</w:t>
        </w:r>
      </w:hyperlink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</w:p>
    <w:p>
      <w:pPr>
        <w:pStyle w:val="Heading1"/>
        <w:spacing w:before="340"/>
      </w:pPr>
      <w:r>
        <w:t>5. Характерные правовые и источниковые тонкости</w:t>
      </w:r>
    </w:p>
    <w:p>
      <w:r>
        <w:t>Древнее произведение и современное издание — разные слои. У Сухраварди особенно существенны редакторские решения: выбор чтений, восстановление текста, атрибуция малых трактатов, аппарат и комментарии. Общественное достояние средневекового текста не даёт безусловного права воспроизвести современную реконструкцию, перевод или издательское оформление.</w:t>
      </w:r>
      <w:r>
        <w:t xml:space="preserve"> </w:t>
      </w:r>
      <w:hyperlink r:id="rId11">
        <w:r>
          <w:rPr>
            <w:color w:val="235F80"/>
            <w:sz w:val="18"/>
          </w:rPr>
          <w:t>[R001]</w:t>
        </w:r>
      </w:hyperlink>
      <w:r>
        <w:t xml:space="preserve"> </w:t>
      </w:r>
      <w:hyperlink r:id="rId27">
        <w:r>
          <w:rPr>
            <w:color w:val="235F80"/>
            <w:sz w:val="18"/>
          </w:rPr>
          <w:t>[R003]</w:t>
        </w:r>
      </w:hyperlink>
      <w:r>
        <w:t xml:space="preserve"> </w:t>
      </w:r>
      <w:hyperlink r:id="rId17">
        <w:r>
          <w:rPr>
            <w:color w:val="235F80"/>
            <w:sz w:val="18"/>
          </w:rPr>
          <w:t>[R008]</w:t>
        </w:r>
      </w:hyperlink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</w:p>
    <w:p>
      <w:r>
        <w:t>«Полный файл» не означает «полное произведение». Урду-скан — том II; Mazda-комментарий Ибн Каммуны — часть II; русские «Скрижали» — первые две скрижали с предисловием; Gutenberg — сокращённый перевод эпоса. Поле coverage отделяет эти случаи от действительно полного произведения и от одного рукописного свидетеля.</w:t>
      </w:r>
      <w:r>
        <w:t xml:space="preserve"> </w:t>
      </w:r>
      <w:hyperlink r:id="rId45">
        <w:r>
          <w:rPr>
            <w:color w:val="235F80"/>
            <w:sz w:val="18"/>
          </w:rPr>
          <w:t>[R004]</w:t>
        </w:r>
      </w:hyperlink>
      <w:r>
        <w:t xml:space="preserve"> </w:t>
      </w:r>
      <w:hyperlink r:id="rId60">
        <w:r>
          <w:rPr>
            <w:color w:val="235F80"/>
            <w:sz w:val="18"/>
          </w:rPr>
          <w:t>[R017]</w:t>
        </w:r>
      </w:hyperlink>
      <w:r>
        <w:t xml:space="preserve"> </w:t>
      </w:r>
      <w:hyperlink r:id="rId69">
        <w:r>
          <w:rPr>
            <w:color w:val="235F80"/>
            <w:sz w:val="18"/>
          </w:rPr>
          <w:t>[R034]</w:t>
        </w:r>
      </w:hyperlink>
      <w:r>
        <w:t xml:space="preserve"> </w:t>
      </w:r>
      <w:hyperlink r:id="rId44">
        <w:r>
          <w:rPr>
            <w:color w:val="235F80"/>
            <w:sz w:val="18"/>
          </w:rPr>
          <w:t>[R055]</w:t>
        </w:r>
      </w:hyperlink>
    </w:p>
    <w:p>
      <w:r>
        <w:t>Каталог, факсимиле и цифровой текст не взаимозаменяемы. FIHRIST TEI содержит описание, Princeton перечисляет изображения и предоставляет manifest, а Noorlib показывает карточку издания. Ни один из этих фактов сам по себе не доказывает наличие открытого полнотекстового корпуса, доступного для embeddings или публичного поиска.</w:t>
      </w:r>
      <w:r>
        <w:t xml:space="preserve"> </w:t>
      </w:r>
      <w:hyperlink r:id="rId17">
        <w:r>
          <w:rPr>
            <w:color w:val="235F80"/>
            <w:sz w:val="18"/>
          </w:rPr>
          <w:t>[R008]</w:t>
        </w:r>
      </w:hyperlink>
      <w:r>
        <w:t xml:space="preserve"> </w:t>
      </w:r>
      <w:hyperlink r:id="rId65">
        <w:r>
          <w:rPr>
            <w:color w:val="235F80"/>
            <w:sz w:val="18"/>
          </w:rPr>
          <w:t>[R033]</w:t>
        </w:r>
      </w:hyperlink>
      <w:r>
        <w:t xml:space="preserve"> </w:t>
      </w:r>
      <w:hyperlink r:id="rId58">
        <w:r>
          <w:rPr>
            <w:color w:val="235F80"/>
            <w:sz w:val="18"/>
          </w:rPr>
          <w:t>[R043]</w:t>
        </w:r>
      </w:hyperlink>
    </w:p>
    <w:p>
      <w:r>
        <w:t>Дата автора, произведения, рукописи и издания не свёрнуты в одну. Princeton-свидетель XX века сохраняет раннемодерный суперкомментарий; Pococke 107 XIV века содержит более ранние произведения. Годы AH и солнечной хиджры не смешаны. Для Hayākil каталожное [1916?] сохранено рядом с 1335 AH, которое может захватывать 1917; для Anvāriyya оставлено датировочное расхождение.</w:t>
      </w:r>
      <w:r>
        <w:t xml:space="preserve"> </w:t>
      </w:r>
      <w:hyperlink r:id="rId36">
        <w:r>
          <w:rPr>
            <w:color w:val="235F80"/>
            <w:sz w:val="18"/>
          </w:rPr>
          <w:t>[R032]</w:t>
        </w:r>
      </w:hyperlink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  <w:r>
        <w:t xml:space="preserve"> </w:t>
      </w:r>
      <w:hyperlink r:id="rId54">
        <w:r>
          <w:rPr>
            <w:color w:val="235F80"/>
            <w:sz w:val="18"/>
          </w:rPr>
          <w:t>[R037]</w:t>
        </w:r>
      </w:hyperlink>
      <w:r>
        <w:t xml:space="preserve"> </w:t>
      </w:r>
      <w:hyperlink r:id="rId58">
        <w:r>
          <w:rPr>
            <w:color w:val="235F80"/>
            <w:sz w:val="18"/>
          </w:rPr>
          <w:t>[R043]</w:t>
        </w:r>
      </w:hyperlink>
    </w:p>
    <w:p>
      <w:r>
        <w:t>Правовое уведомление зависит от территории и компонента. No Known Copyright в Princeton не является CC0. PD-Art на Commons не распространяется на весь музейный фонд. Public Domain in Iran не равнозначно общественному достоянию во всех странах. Отдельные положительные теги сопровождаются областью действия и ручной проверкой там, где эта проверка ещё нужна.</w:t>
      </w:r>
      <w:r>
        <w:t xml:space="preserve"> </w:t>
      </w:r>
      <w:hyperlink r:id="rId30">
        <w:r>
          <w:rPr>
            <w:color w:val="235F80"/>
            <w:sz w:val="18"/>
          </w:rPr>
          <w:t>[R024]</w:t>
        </w:r>
      </w:hyperlink>
      <w:r>
        <w:t xml:space="preserve"> </w:t>
      </w:r>
      <w:hyperlink r:id="rId66">
        <w:r>
          <w:rPr>
            <w:color w:val="235F80"/>
            <w:sz w:val="18"/>
          </w:rPr>
          <w:t>[R025]</w:t>
        </w:r>
      </w:hyperlink>
      <w:r>
        <w:t xml:space="preserve"> </w:t>
      </w:r>
      <w:hyperlink r:id="rId58">
        <w:r>
          <w:rPr>
            <w:color w:val="235F80"/>
            <w:sz w:val="18"/>
          </w:rPr>
          <w:t>[R043]</w:t>
        </w:r>
      </w:hyperlink>
    </w:p>
    <w:p>
      <w:r>
        <w:t>Динамический интерфейс и поисковый сниппет не заменяют чтение. Обнаруженная кнопка «читать бесплатно», объявление Full view или прямой PDF-адрес не превращены в подтверждённый полный доступ, если просмотрщик или файл не открылся. Это отражает предел проверки инструментом, а не окончательный вывод, что пользователю доступ невозможен.</w:t>
      </w:r>
      <w:r>
        <w:t xml:space="preserve"> </w:t>
      </w:r>
      <w:hyperlink r:id="rId17">
        <w:r>
          <w:rPr>
            <w:color w:val="235F80"/>
            <w:sz w:val="18"/>
          </w:rPr>
          <w:t>[R008]</w:t>
        </w:r>
      </w:hyperlink>
      <w:r>
        <w:t xml:space="preserve"> </w:t>
      </w:r>
      <w:hyperlink r:id="rId61">
        <w:r>
          <w:rPr>
            <w:color w:val="235F80"/>
            <w:sz w:val="18"/>
          </w:rPr>
          <w:t>[R018]</w:t>
        </w:r>
      </w:hyperlink>
      <w:r>
        <w:t xml:space="preserve"> </w:t>
      </w:r>
      <w:hyperlink r:id="rId36">
        <w:r>
          <w:rPr>
            <w:color w:val="235F80"/>
            <w:sz w:val="18"/>
          </w:rPr>
          <w:t>[R032]</w:t>
        </w:r>
      </w:hyperlink>
      <w:r>
        <w:t xml:space="preserve"> </w:t>
      </w:r>
      <w:hyperlink r:id="rId43">
        <w:r>
          <w:rPr>
            <w:color w:val="235F80"/>
            <w:sz w:val="18"/>
          </w:rPr>
          <w:t>[R054]</w:t>
        </w:r>
      </w:hyperlink>
    </w:p>
    <w:p>
      <w:r>
        <w:t>Библиография может быть устаревшей даже на современной странице. Навигатор Philosmus полезен для малых произведений, глосс и рукописей, но отдельные утверждения о неизданности требуют обновления. Реестр сохраняет подтверждённые современные издания Ибн Каммуны, Шахразури и Wāridāt, вместо механического переноса отрицательных утверждений старой библиографии.</w:t>
      </w:r>
      <w:r>
        <w:t xml:space="preserve"> </w:t>
      </w:r>
      <w:hyperlink r:id="rId49">
        <w:r>
          <w:rPr>
            <w:color w:val="235F80"/>
            <w:sz w:val="18"/>
          </w:rPr>
          <w:t>[R044]</w:t>
        </w:r>
      </w:hyperlink>
      <w:r>
        <w:t xml:space="preserve"> </w:t>
      </w:r>
      <w:hyperlink r:id="rId50">
        <w:r>
          <w:rPr>
            <w:color w:val="235F80"/>
            <w:sz w:val="18"/>
          </w:rPr>
          <w:t>[R047]</w:t>
        </w:r>
      </w:hyperlink>
      <w:r>
        <w:t xml:space="preserve"> </w:t>
      </w:r>
      <w:hyperlink r:id="rId33">
        <w:r>
          <w:rPr>
            <w:color w:val="235F80"/>
            <w:sz w:val="18"/>
          </w:rPr>
          <w:t>[R061]</w:t>
        </w:r>
      </w:hyperlink>
      <w:r>
        <w:t xml:space="preserve"> </w:t>
      </w:r>
      <w:hyperlink r:id="rId74">
        <w:r>
          <w:rPr>
            <w:color w:val="235F80"/>
            <w:sz w:val="18"/>
          </w:rPr>
          <w:t>[R066]</w:t>
        </w:r>
      </w:hyperlink>
    </w:p>
    <w:p>
      <w:r>
        <w:t>Омонимия и псевдоэпиграфика контролируются отдельно. Яхья ас-Сухраварди не отождествлён с ʿУмаром ас-Сухраварди и орденом Сухравардийя. Неясные записи вроде Taʿarruf в Pococke 161 вынесены в gaps. Приписываемые молитвенно-оккультные тексты в диссертационном пакете сохранены с их атрибуционным статусом, а не добавлены в авторское ядро без проверки.</w:t>
      </w:r>
      <w:r>
        <w:t xml:space="preserve"> </w:t>
      </w:r>
      <w:hyperlink r:id="rId34">
        <w:r>
          <w:rPr>
            <w:color w:val="235F80"/>
            <w:sz w:val="18"/>
          </w:rPr>
          <w:t>[R062]</w:t>
        </w:r>
      </w:hyperlink>
      <w:r>
        <w:t xml:space="preserve"> </w:t>
      </w:r>
      <w:hyperlink r:id="rId39">
        <w:r>
          <w:rPr>
            <w:color w:val="235F80"/>
            <w:sz w:val="18"/>
          </w:rPr>
          <w:t>[R065]</w:t>
        </w:r>
      </w:hyperlink>
    </w:p>
    <w:p>
      <w:pPr>
        <w:pStyle w:val="Heading1"/>
        <w:spacing w:before="340"/>
      </w:pPr>
      <w:r>
        <w:t>6. Пробелы и дальнейший поиск</w:t>
      </w:r>
    </w:p>
    <w:p>
      <w:r>
        <w:t>Исследование даёт рабочее ядро, но не исчерпывающий census всех списков, редакций и доступов. Поиск ещё не достиг полного насыщения: осталось несколько содержательно перспективных ветвей и недоступных просмотрщиков. Для основных произведений найден хотя бы один вход либо конкретный пробел; отсутствие проверенного файла нигде не означает отсутствие произведения.</w:t>
      </w:r>
    </w:p>
    <w:p>
      <w:r>
        <w:t>Главные технически непроверенные входы: три официальных YEK-PDF; полное факсимиле Pococke 107; PDF и IIIF Princeton; HathiTrust Full view; варшавский репозиторный handle диссертации; NLA-карточка перевода Azal; страницы Gallimard/Folio и фактическая выдача парижских библиотек; старое издание Spies–Khatak в недоступной библиотечной карточке. Точные адреса и результаты попыток сохранены в gaps. Сомнительные альтернативные зеркала не использованы.</w:t>
      </w:r>
    </w:p>
    <w:p>
      <w:pPr>
        <w:pStyle w:val="Heading2"/>
      </w:pPr>
      <w:r>
        <w:t>Восемь предметных направлений продолжения</w:t>
      </w:r>
    </w:p>
    <w:p>
      <w:r>
        <w:rPr>
          <w:b/>
        </w:rPr>
        <w:t>1. YEK: Talwīḥāt, Muqāwamāt и Alwāḥ.</w:t>
      </w:r>
      <w:r>
        <w:t xml:space="preserve"> Повторно открыть три уже обнаруженных официальных адреса; сверить титульные страницы, переводчиков, арабскую основу, полноту и лицензионные уведомления. Это наиболее прямой путь расширить доступ к систематическому ядру, а не ещё один поиск общих порталов.</w:t>
      </w:r>
    </w:p>
    <w:p>
      <w:r>
        <w:rPr>
          <w:b/>
        </w:rPr>
        <w:t>2. Рукописи Ḥikmat.</w:t>
      </w:r>
      <w:r>
        <w:t xml:space="preserve"> Получить реальный просмотр Pococke 107; для списка 1220 года проверить опубликованную кодикологию, provenance и нынешнее местонахождение. Не переносить условия одного изображения Topkapı на весь кодекс.</w:t>
      </w:r>
    </w:p>
    <w:p>
      <w:r>
        <w:rPr>
          <w:b/>
        </w:rPr>
        <w:t>3. Полнота четырёх больших трактатов.</w:t>
      </w:r>
      <w:r>
        <w:t xml:space="preserve"> Уточнить, какие части логики, физики и метафизики покрываются каждой редакцией. Особенно нужны предметный вход к физике Mashāriʿ и сопоставление отдельных изданий с четырёхтомным Majmūʿa. Не считать метафизический том полным комплектом.</w:t>
      </w:r>
    </w:p>
    <w:p>
      <w:r>
        <w:rPr>
          <w:b/>
        </w:rPr>
        <w:t>4. Ранние комментарии.</w:t>
      </w:r>
      <w:r>
        <w:t xml:space="preserve"> Установить шифр списка Ибн Каммуны 705 AH в Астан-и Кудс, проверить цифровые входы к первым двум томам и завершить поиск al-Shajara II–III. Отдельно идентифицировать комментарий Шахразури к Talwīḥāt: название Tanqīḥāt не должно вести к автоматическому смешению с Ибн Каммуной.</w:t>
      </w:r>
    </w:p>
    <w:p>
      <w:r>
        <w:rPr>
          <w:b/>
        </w:rPr>
        <w:t>5. Поздние линии передачи.</w:t>
      </w:r>
      <w:r>
        <w:t xml:space="preserve"> Найти конкретные издания или свидетели Miṣbāḥ al-arwāḥ Вадуда Табризи, глосс Хазина Лахиджи, комментариев к Hayākil и Alwāḥ, а также проверить точную связь Durrat al-tāj с использованным материалом Шахразури. Они не исключены из-за поздней даты; им недостаёт предметной проверки доступа.</w:t>
      </w:r>
    </w:p>
    <w:p>
      <w:r>
        <w:rPr>
          <w:b/>
        </w:rPr>
        <w:t>6. Персидские версии и атрибуции.</w:t>
      </w:r>
      <w:r>
        <w:t xml:space="preserve"> Развести арабские и персидские Hayākil и Alwāḥ, уточнить Iʿtiqād, al-Abrāj, Būstān al-qulūb и Yazdān-shinākht, состав Dīwān и Rasāʾil ṣūfiyya. Стихотворные Munis и Alfiyya к Hayākil остаются кандидатами до независимого подтверждения автора, инципита и рукописной базы.</w:t>
      </w:r>
    </w:p>
    <w:p>
      <w:r>
        <w:rPr>
          <w:b/>
        </w:rPr>
        <w:t>7. Переводы и комплектность.</w:t>
      </w:r>
      <w:r>
        <w:t xml:space="preserve"> Установить объём французской Ḥikmat, переводчика и том I урду-издания; проверить дальнейшие русские части Alwāḥ и законный полный русский перевод Ḥikmat. Для Wāridāt — открыть университетский PDF диссертации и уточнить условия использования критического приложения отдельно от коммерческой книги 2026 года.</w:t>
      </w:r>
    </w:p>
    <w:p>
      <w:r>
        <w:rPr>
          <w:b/>
        </w:rPr>
        <w:t>8. Реальный машиночитаемый корпус.</w:t>
      </w:r>
      <w:r>
        <w:t xml:space="preserve"> Продолжить поиск арабских и персидских полнотекстовых данных с явной лицензией, версиями и границами покрытия. Проверенный FIHRIST XML — лишь каталог. Отсутствие попадания в проверенный участок OpenITI не объявлено отсутствием Сухраварди во всех релизах, ветках и связанных проектах.</w:t>
      </w:r>
    </w:p>
    <w:p>
      <w:pPr>
        <w:pStyle w:val="Heading2"/>
      </w:pPr>
      <w:r>
        <w:t>Незавершённый хронологический ореол и кандидаты</w:t>
      </w:r>
    </w:p>
    <w:p>
      <w:r>
        <w:t>По ранним входам остаются предметные поиски авиценновских текстов о любви и душе, а также al-Baṣāʾir ал-Сави. Предполагаемую связь планетных литаний с Ghāyat al-ḥakīm следует проверять на уровне конкретных текстов и поздних интерполяций, а не превращать в доказанную прямую генеалогию всего Wāridāt.</w:t>
      </w:r>
    </w:p>
    <w:p>
      <w:r>
        <w:t>Пометка unverified_candidate сохранена, в частности, для перевода Prayer of the Eastern / Orient Light, связанного с именем Azal: национально-библиотечная карточка не открылась, права и посреднический перевод не проверены. Второй важный класс — стихотворные переработки Munis и Hayākil, обнаруженные через навигационный указатель, но не получившие независимого item-level подтверждения. Они не включены в количественный итог установленного первичного корпуса.</w:t>
      </w:r>
    </w:p>
    <w:p>
      <w:r>
        <w:t>Предметные ограничения времени и инструментов не заменены произвольным закрытием корпуса. Отдельные поздние комментарии, оригинальные персидские версии, старые переводы и рукописи остаются за пределами завершённой проверки; все названные группы сохранены в 32 строках gaps с тем, что именно нужно установить.</w:t>
      </w:r>
    </w:p>
    <w:p>
      <w:pPr>
        <w:pStyle w:val="Heading1"/>
        <w:spacing w:before="340"/>
      </w:pPr>
      <w:r>
        <w:t>7. Итоговая оценка</w:t>
      </w:r>
    </w:p>
    <w:p>
      <w:r>
        <w:t>Корпус хорошо покрыт на уровне названий центральных произведений, ключевых научных изданий и основных комментарийных линий. Реестр выходит за пределы одной Ḥikmat: он включает систематические трактаты, персидские аллегории, краткие сочинения, Wāridāt, ранние комментарии и конкретные раннемодерные и поздние продолжения. При этом он не претендует на завершённый рукописный census.</w:t>
      </w:r>
    </w:p>
    <w:p>
      <w:r>
        <w:t>Оригиналы доступны неравномерно. Наиболее практичная проверенная старая арабская основа — Hayākil в ACO; для больших трактатов важную роль пока играют современные издания и каталоги с неоткрывшимися просмотрщиками. Английский переводной слой существенно лучше обеспечен научными книгами; русский остаётся в значительной степени отдельными статьями и фрагментами. Яснее всего лицензирован современный польский перевод рассказа об изгнании.</w:t>
      </w:r>
      <w:r>
        <w:t xml:space="preserve"> </w:t>
      </w:r>
      <w:hyperlink r:id="rId11">
        <w:r>
          <w:rPr>
            <w:color w:val="235F80"/>
            <w:sz w:val="18"/>
          </w:rPr>
          <w:t>[R001]</w:t>
        </w:r>
      </w:hyperlink>
      <w:r>
        <w:t xml:space="preserve"> </w:t>
      </w:r>
      <w:hyperlink r:id="rId20">
        <w:r>
          <w:rPr>
            <w:color w:val="235F80"/>
            <w:sz w:val="18"/>
          </w:rPr>
          <w:t>[R002]</w:t>
        </w:r>
      </w:hyperlink>
      <w:r>
        <w:t xml:space="preserve"> </w:t>
      </w:r>
      <w:hyperlink r:id="rId27">
        <w:r>
          <w:rPr>
            <w:color w:val="235F80"/>
            <w:sz w:val="18"/>
          </w:rPr>
          <w:t>[R003]</w:t>
        </w:r>
      </w:hyperlink>
      <w:r>
        <w:t xml:space="preserve"> </w:t>
      </w:r>
      <w:hyperlink r:id="rId59">
        <w:r>
          <w:rPr>
            <w:color w:val="235F80"/>
            <w:sz w:val="18"/>
          </w:rPr>
          <w:t>[R007]</w:t>
        </w:r>
      </w:hyperlink>
      <w:r>
        <w:t xml:space="preserve"> </w:t>
      </w:r>
      <w:hyperlink r:id="rId69">
        <w:r>
          <w:rPr>
            <w:color w:val="235F80"/>
            <w:sz w:val="18"/>
          </w:rPr>
          <w:t>[R034]</w:t>
        </w:r>
      </w:hyperlink>
      <w:r>
        <w:t xml:space="preserve"> </w:t>
      </w:r>
      <w:hyperlink r:id="rId31">
        <w:r>
          <w:rPr>
            <w:color w:val="235F80"/>
            <w:sz w:val="18"/>
          </w:rPr>
          <w:t>[R035]</w:t>
        </w:r>
      </w:hyperlink>
      <w:r>
        <w:t xml:space="preserve"> </w:t>
      </w:r>
      <w:hyperlink r:id="rId24">
        <w:r>
          <w:rPr>
            <w:color w:val="235F80"/>
            <w:sz w:val="18"/>
          </w:rPr>
          <w:t>[R036]</w:t>
        </w:r>
      </w:hyperlink>
      <w:r>
        <w:t xml:space="preserve"> </w:t>
      </w:r>
      <w:hyperlink r:id="rId32">
        <w:r>
          <w:rPr>
            <w:color w:val="235F80"/>
            <w:sz w:val="18"/>
          </w:rPr>
          <w:t>[R060]</w:t>
        </w:r>
      </w:hyperlink>
      <w:r>
        <w:t xml:space="preserve"> </w:t>
      </w:r>
      <w:hyperlink r:id="rId33">
        <w:r>
          <w:rPr>
            <w:color w:val="235F80"/>
            <w:sz w:val="18"/>
          </w:rPr>
          <w:t>[R061]</w:t>
        </w:r>
      </w:hyperlink>
    </w:p>
    <w:p>
      <w:r>
        <w:t>Наиболее свободный слой неоднороден: статья CC BY 4.0, старый арабский печатный том, один рукописный лист и старый сокращённый английский перевод. Основные ограничения сосредоточены в современных переводах и реконструкциях, правах цифровых компонентов, территориальных оговорках и неоткрытых полных просмотрщиках. Бесплатное чтение нигде не используется как синоним права зеркалирования.</w:t>
      </w:r>
    </w:p>
    <w:p>
      <w:r>
        <w:t>Пакет пригоден для передачи Codex как исследовательский реестр: 66 уникальных записей, 32 заданных поля и отдельный лист gaps. Он не является автоматическим разрешением на загрузку и публикацию всего найденного. Для последующей обработки положительный tos_use необходимо читать совместно с rights_scope, coverage, verification_status и rights_evidence_url.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  <w:cantSplit/>
        </w:trPr>
        <w:tc>
          <w:tcPr>
            <w:tcW w:type="dxa" w:w="3402"/>
            <w:shd w:fill="163F4B"/>
          </w:tcPr>
          <w:p>
            <w:pPr>
              <w:spacing w:before="80" w:after="80"/>
            </w:pPr>
            <w:r>
              <w:rPr>
                <w:rFonts w:ascii="Noto Sans" w:hAnsi="Noto Sans"/>
                <w:b/>
                <w:color w:val="FFFFFF"/>
                <w:sz w:val="18"/>
              </w:rPr>
              <w:t>Что читать в XLSX</w:t>
            </w:r>
          </w:p>
        </w:tc>
        <w:tc>
          <w:tcPr>
            <w:tcW w:type="dxa" w:w="6009"/>
            <w:shd w:fill="163F4B"/>
          </w:tcPr>
          <w:p>
            <w:pPr>
              <w:spacing w:before="80" w:after="80"/>
            </w:pPr>
            <w:r>
              <w:rPr>
                <w:rFonts w:ascii="Noto Sans" w:hAnsi="Noto Sans"/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3402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record_id</w:t>
            </w:r>
          </w:p>
        </w:tc>
        <w:tc>
          <w:tcPr>
            <w:tcW w:type="dxa" w:w="6009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Связывает запись с обозначением [R…] в отчёте.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access_mode + verification_status</w:t>
            </w:r>
          </w:p>
        </w:tc>
        <w:tc>
          <w:tcPr>
            <w:tcW w:type="dxa" w:w="6009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Различает предлагаемый путь и реально подтверждённый уровень проверки.</w:t>
            </w:r>
          </w:p>
        </w:tc>
      </w:tr>
      <w:tr>
        <w:trPr>
          <w:cantSplit/>
        </w:trPr>
        <w:tc>
          <w:tcPr>
            <w:tcW w:type="dxa" w:w="3402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coverage + rights_scope</w:t>
            </w:r>
          </w:p>
        </w:tc>
        <w:tc>
          <w:tcPr>
            <w:tcW w:type="dxa" w:w="6009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Ограничивает объём текста и слой, к которому относятся права.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tos_use + rights_evidence_url</w:t>
            </w:r>
          </w:p>
        </w:tc>
        <w:tc>
          <w:tcPr>
            <w:tcW w:type="dxa" w:w="6009"/>
            <w:shd w:fill="FFFFFF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Позволяет отделить внешнюю ссылку от доказанного повторного использования.</w:t>
            </w:r>
          </w:p>
        </w:tc>
      </w:tr>
      <w:tr>
        <w:trPr>
          <w:cantSplit/>
        </w:trPr>
        <w:tc>
          <w:tcPr>
            <w:tcW w:type="dxa" w:w="3402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gaps</w:t>
            </w:r>
          </w:p>
        </w:tc>
        <w:tc>
          <w:tcPr>
            <w:tcW w:type="dxa" w:w="6009"/>
            <w:shd w:fill="EEF4F5"/>
          </w:tcPr>
          <w:p>
            <w:pPr>
              <w:spacing w:before="80" w:after="80"/>
            </w:pPr>
            <w:r>
              <w:rPr>
                <w:rFonts w:ascii="Noto Sans" w:hAnsi="Noto Sans"/>
                <w:sz w:val="18"/>
              </w:rPr>
              <w:t>Сохраняет конкретные незавершённые проверки, в том числе за пределами дат строки.</w:t>
            </w:r>
          </w:p>
        </w:tc>
      </w:tr>
    </w:tbl>
    <w:p>
      <w:r>
        <w:t>ID, статус A и исторические границы мастер-строки не изменены. Следующий содержательный прирост дадут не общие порталы, а проверка уже найденных официальных файлов, университетских факсимиле и недостающих частей конкретных изданий.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sz w:val="16"/>
      </w:rPr>
      <w:t xml:space="preserve">T2-13 · 04.09.2026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/>
        <w:color w:val="536974"/>
        <w:sz w:val="16"/>
      </w:rPr>
      <w:t>TREE OF SOPHIA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1" w:lineRule="auto" w:after="120"/>
    </w:pPr>
    <w:rPr>
      <w:rFonts w:ascii="Noto Serif" w:hAnsi="Noto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" w:hAnsi="Noto Sans"/>
      <w:b/>
      <w:bCs/>
      <w:color w:val="163F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" w:hAnsi="Noto Sans"/>
      <w:b/>
      <w:bCs/>
      <w:color w:val="163F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" w:hAnsi="Noto Sans"/>
      <w:color w:val="163F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before="0"/>
    </w:pPr>
    <w:rPr>
      <w:rFonts w:asciiTheme="majorHAnsi" w:eastAsiaTheme="majorEastAsia" w:hAnsiTheme="majorHAnsi" w:cstheme="majorBidi" w:ascii="Noto Sans" w:hAnsi="Noto Sans"/>
      <w:i/>
      <w:iCs/>
      <w:color w:val="163F4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ess.uchicago.edu/ucp/books/book/distributed/P/bo3641907.html" TargetMode="External"/><Relationship Id="rId12" Type="http://schemas.openxmlformats.org/officeDocument/2006/relationships/hyperlink" Target="https://noorlib.ir/ar/book/info/24143/%D8%A7%D9%84%D8%AA%D9%84%D9%88%D9%8A%D8%AD%D8%A7%D8%AA-%D8%A7%D9%84%D9%84%D9%88%D8%AD%D9%8A%D8%A9-%D9%88-%D8%A7%D9%84%D8%B9%D8%B1%D8%B4%D9%8A%D8%A9" TargetMode="External"/><Relationship Id="rId13" Type="http://schemas.openxmlformats.org/officeDocument/2006/relationships/hyperlink" Target="https://noorlib.ir/ar/book/info/142291/%D9%85%D9%86%D8%B7%D9%82-%D8%A7%D9%84%D8%AA%D9%84%D9%88%DB%8C%D8%AD%D8%A7%D8%AA" TargetMode="External"/><Relationship Id="rId14" Type="http://schemas.openxmlformats.org/officeDocument/2006/relationships/hyperlink" Target="https://noorlib.ir/ar/book/info/139246/%D8%A7%D9%84%D9%85%D9%82%D8%A7%D9%88%D9%85%D8%A7%D8%AA" TargetMode="External"/><Relationship Id="rId15" Type="http://schemas.openxmlformats.org/officeDocument/2006/relationships/hyperlink" Target="https://noorlib.ir/ar/book/info/13887/%D8%A7%D9%84%D9%85%D8%B4%D8%A7%D8%B1%D8%B9-%D9%88-%D8%A7%D9%84%D9%85%D8%B7%D8%A7%D8%B1%D8%AD%D8%A7%D8%AA" TargetMode="External"/><Relationship Id="rId16" Type="http://schemas.openxmlformats.org/officeDocument/2006/relationships/hyperlink" Target="https://darbyblion.com/?p=143" TargetMode="External"/><Relationship Id="rId17" Type="http://schemas.openxmlformats.org/officeDocument/2006/relationships/hyperlink" Target="https://noorlib.ir/ar/book/info/1716/%D9%85%D8%AC%D9%85%D9%88%D8%B9%D9%87-%D9%85%D8%B5%D9%86%D9%81%D8%A7%D8%AA-%D8%B4%DB%8C%D8%AE-%D8%A7%D8%B4%D8%B1%D8%A7%D9%82" TargetMode="External"/><Relationship Id="rId18" Type="http://schemas.openxmlformats.org/officeDocument/2006/relationships/hyperlink" Target="https://darbyblion.com/?p=145" TargetMode="External"/><Relationship Id="rId19" Type="http://schemas.openxmlformats.org/officeDocument/2006/relationships/hyperlink" Target="https://darbyblion.com/?p=90" TargetMode="External"/><Relationship Id="rId20" Type="http://schemas.openxmlformats.org/officeDocument/2006/relationships/hyperlink" Target="https://www.mazdapublishers.com/book/book-of-radiance" TargetMode="External"/><Relationship Id="rId21" Type="http://schemas.openxmlformats.org/officeDocument/2006/relationships/hyperlink" Target="https://noorlib.ir/ar/book/info/122007/%D9%83%D9%84%D9%85%D8%A7%D8%AA-%D8%A7%D9%84%D8%B5%D9%88%D9%81%D9%8A%D8%A9" TargetMode="External"/><Relationship Id="rId22" Type="http://schemas.openxmlformats.org/officeDocument/2006/relationships/hyperlink" Target="https://noorlib.ir/ar/book/info/28945/%D8%AF%D9%8A%D9%88%D8%A7%D9%86-%D8%B4%D9%8A%D8%AE-%D8%A7%D9%84%D8%A5%D8%B4%D8%B1%D8%A7%D9%82" TargetMode="External"/><Relationship Id="rId23" Type="http://schemas.openxmlformats.org/officeDocument/2006/relationships/hyperlink" Target="https://noorlib.ir/ar/book/info/139118/%D8%A7%D9%84%D8%B1%D8%B3%D8%A7%D8%A6%D9%84-%D8%A7%D9%84%D8%B5%D9%88%D9%81%DB%8C%D8%A9" TargetMode="External"/><Relationship Id="rId24" Type="http://schemas.openxmlformats.org/officeDocument/2006/relationships/hyperlink" Target="https://sites.dlib.nyu.edu/viewer/books/aub_aco001465/display?lang=en" TargetMode="External"/><Relationship Id="rId25" Type="http://schemas.openxmlformats.org/officeDocument/2006/relationships/hyperlink" Target="https://noorlib.ir/book/info/170292/...-%D8%A7%D9%84%D9%84%D9%85%D8%AD%D8%A7%D8%AA" TargetMode="External"/><Relationship Id="rId26" Type="http://schemas.openxmlformats.org/officeDocument/2006/relationships/hyperlink" Target="https://noorlib.ir/book/info/116426/%D8%A7%D9%84%D9%84%D9%85%D8%AD%D8%A7%D8%AA-%D9%81%D9%8A-%D8%A7%D9%84%D8%AD%D9%82%D8%A7%D8%A6%D9%82" TargetMode="External"/><Relationship Id="rId27" Type="http://schemas.openxmlformats.org/officeDocument/2006/relationships/hyperlink" Target="https://www.mazdapublishers.com/book/philosophical-allegories-and-mystical-treatises" TargetMode="External"/><Relationship Id="rId28" Type="http://schemas.openxmlformats.org/officeDocument/2006/relationships/hyperlink" Target="https://noorlib.ir/ar/book/info/139042/%D9%84%D8%BA%D8%AA-%D9%85%D9%88%D8%B1%D8%A7%D9%86" TargetMode="External"/><Relationship Id="rId29" Type="http://schemas.openxmlformats.org/officeDocument/2006/relationships/hyperlink" Target="https://fa.wikisource.org/wiki/%D8%B9%D9%82%D9%84_%D8%B3%D8%B1%D8%AE" TargetMode="External"/><Relationship Id="rId30" Type="http://schemas.openxmlformats.org/officeDocument/2006/relationships/hyperlink" Target="https://commons.wikimedia.org/wiki/File:%D8%AF%D9%88_%D8%B1%D8%B3%D8%A7%D9%84%D9%87_%D9%81%D8%A7%D8%B1%D8%B3%DB%8C_%D8%A7%D8%B2_%D8%B4%DB%8C%D8%AE_%D8%B4%D9%87%D8%A7%D8%A8%E2%80%8C%D8%A7%D9%84%D8%AF%DB%8C%D9%86_%D8%B3%D9%87%D8%B1%D9%88%D8%B1%D8%AF%DB%8C_-_%D8%A8%D9%87_%DA%A9%D9%88%D8%B4%D8%B4_%D9%85%D9%87%D8%AF%DB%8C_%D8%A8%DB%8C%D8%A7%D9%86%DB%8C_-_%D8%B4%D8%B1%DA%A9%D8%AA_%DA%86%D8%A7%D9%BE_%D8%AE%D9%88%D8%AF%DA%A9%D8%A7%D8%B1_%D8%A7%DB%8C%D8%B1%D8%A7%D9%86.pdf" TargetMode="External"/><Relationship Id="rId31" Type="http://schemas.openxmlformats.org/officeDocument/2006/relationships/hyperlink" Target="https://avsmirnov.info/win/publictn/ph_copy/ishraq_1/suhraw.pdf" TargetMode="External"/><Relationship Id="rId32" Type="http://schemas.openxmlformats.org/officeDocument/2006/relationships/hyperlink" Target="https://pressto.amu.edu.pl/index.php/sa/article/view/19021" TargetMode="External"/><Relationship Id="rId33" Type="http://schemas.openxmlformats.org/officeDocument/2006/relationships/hyperlink" Target="https://www.indigo.ca/products/divine-inspirations-and-sanctifications-a-parallel-english-arabic-text" TargetMode="External"/><Relationship Id="rId34" Type="http://schemas.openxmlformats.org/officeDocument/2006/relationships/hyperlink" Target="https://www.academia.edu/48858411/Between_philosophy_mysticism_and_magic_A_critical_edition_of_occult_writings_of_and_attributed_to_Shih%C4%81b_al_D%C4%ABn_al_Suhraward%C4%AB_Doctoral_Dissertation_Warsaw_University_2019_" TargetMode="External"/><Relationship Id="rId35" Type="http://schemas.openxmlformats.org/officeDocument/2006/relationships/hyperlink" Target="https://catalogue.leidenuniv.nl/permalink/31UKB_LEU/15ab0cl/alma9940721057902711" TargetMode="External"/><Relationship Id="rId36" Type="http://schemas.openxmlformats.org/officeDocument/2006/relationships/hyperlink" Target="https://digital.bodleian.ox.ac.uk/objects/ed6e3464-38f3-4e79-b0ad-83b883e46fbe/" TargetMode="External"/><Relationship Id="rId37" Type="http://schemas.openxmlformats.org/officeDocument/2006/relationships/hyperlink" Target="https://cup.columbia.edu/book/ibn-sinas-remarks-and-admonitions-physics-and-metaphysics/9780231166164/" TargetMode="External"/><Relationship Id="rId38" Type="http://schemas.openxmlformats.org/officeDocument/2006/relationships/hyperlink" Target="https://www.jstor.org/stable/j.ctt7ztfdh" TargetMode="External"/><Relationship Id="rId39" Type="http://schemas.openxmlformats.org/officeDocument/2006/relationships/hyperlink" Target="https://plato.stanford.edu/entries/suhrawardi/" TargetMode="External"/><Relationship Id="rId40" Type="http://schemas.openxmlformats.org/officeDocument/2006/relationships/hyperlink" Target="https://www.ghazali.org/books/mishkat/index.html" TargetMode="External"/><Relationship Id="rId41" Type="http://schemas.openxmlformats.org/officeDocument/2006/relationships/hyperlink" Target="https://www.ghazali.org/site/on-mishkat.htm" TargetMode="External"/><Relationship Id="rId42" Type="http://schemas.openxmlformats.org/officeDocument/2006/relationships/hyperlink" Target="https://press.uchicago.edu/ucp/books/book/distributed/N/bo3629884.html" TargetMode="External"/><Relationship Id="rId43" Type="http://schemas.openxmlformats.org/officeDocument/2006/relationships/hyperlink" Target="https://catalog.hathitrust.org/Record/009970178" TargetMode="External"/><Relationship Id="rId44" Type="http://schemas.openxmlformats.org/officeDocument/2006/relationships/hyperlink" Target="https://www.gutenberg.org/ebooks/10315" TargetMode="External"/><Relationship Id="rId45" Type="http://schemas.openxmlformats.org/officeDocument/2006/relationships/hyperlink" Target="https://www.mazdapublishers.com/book/al-tanqihat-fi-sharh-al-talwihat" TargetMode="External"/><Relationship Id="rId46" Type="http://schemas.openxmlformats.org/officeDocument/2006/relationships/hyperlink" Target="https://noorlib.ir/ar/book/info/112740/%D8%B4%D8%B1%D8%AD-%D8%AD%D9%83%D9%85%D8%A9-%D8%A7%D9%84%D8%A5%D8%B4%D8%B1%D8%A7%D9%82" TargetMode="External"/><Relationship Id="rId47" Type="http://schemas.openxmlformats.org/officeDocument/2006/relationships/hyperlink" Target="https://noorlib.ir/ar/book/info/1877/%D8%B4%D8%B1%D8%AD-%D8%AD%DA%A9%D9%85%D8%A9-%D8%A7%D9%84%D8%A5%D8%B4%D8%B1%D8%A7%D9%82-%D8%B3%D9%87%D8%B1%D9%88%D8%AF%DB%8C" TargetMode="External"/><Relationship Id="rId48" Type="http://schemas.openxmlformats.org/officeDocument/2006/relationships/hyperlink" Target="https://noorlib.ir/ar/book/info/1729/%D8%B4%D8%B1%D8%AD-%D8%AD%DA%A9%D9%85%D8%A9-%D8%A7%D9%84%D8%A5%D8%B4%D8%B1%D8%A7%D9%82" TargetMode="External"/><Relationship Id="rId49" Type="http://schemas.openxmlformats.org/officeDocument/2006/relationships/hyperlink" Target="https://noorlib.ir/ar/book/info/13842/%D8%B4%D8%B1%D8%AD%20%D8%A7%D9%84%D8%AA%D9%84%D9%88%DB%8C%D8%AD%D8%A7%D8%AA%20%D8%A7%D9%84%D9%84%D9%88%D8%AD%DB%8C%D8%A9%20%D9%88%20%D8%A7%D9%84%D8%B9%D8%B1%D8%B4%DB%8C%D8%A9" TargetMode="External"/><Relationship Id="rId50" Type="http://schemas.openxmlformats.org/officeDocument/2006/relationships/hyperlink" Target="https://www.irip.ac.ir/fa/product/view/16/&#1585;&#1587;&#1575;&#1574;&#1604;-&#1575;&#1604;&#1588;&#1617;&#1580;&#1585;&#1577;-&#1575;&#1604;&#1573;&#1604;&#1607;&#1740;&#1617;&#1577;-&#1601;&#1740;-&#1593;&#1604;&#1608;&#1605;-&#1575;&#1604;&#1581;&#1602;&#1575;&#1574;&#1602;-&#1575;&#1604;&#1585;&#1617;&#1576;&#1617;&#1575;&#1606;&#1740;&#1617;&#1577;-&#1575;&#1604;&#1605;&#1580;&#1604;&#1583;-&#1575;&#1604;&#1571;&#1608;&#1604;" TargetMode="External"/><Relationship Id="rId51" Type="http://schemas.openxmlformats.org/officeDocument/2006/relationships/hyperlink" Target="https://lib.irip.ac.ir/Inventory/1/14114.htm" TargetMode="External"/><Relationship Id="rId52" Type="http://schemas.openxmlformats.org/officeDocument/2006/relationships/hyperlink" Target="https://noorlib.ir/ar/book/info/99043/%D8%B4%D9%88%D8%A7%D9%83%D9%84-%D8%A7%D9%84%D8%AD%D9%88%D8%B1-%D9%81%D9%8A-%D8%B4%D8%B1%D8%AD-%D9%87%D9%8A%D8%A7%D9%83%D9%84-%D8%A7%D9%84%D9%86%D9%88%D8%B1-%D9%84%D9%84%D8%B3%D9%87%D8%B1%D9%88%D8%B1%D8%AF%D9%8A" TargetMode="External"/><Relationship Id="rId53" Type="http://schemas.openxmlformats.org/officeDocument/2006/relationships/hyperlink" Target="https://noorlib.ir/ar/book/info/1884/%D8%A5%D8%B4%D8%B1%D8%A7%D9%82-%D9%87%DB%8C%D8%A7%DA%A9%D9%84-%D8%A7%D9%84%D9%86%D9%88%D8%B1-%D9%84%DA%A9%D8%B4%D9%81-%D8%B8%D9%84%D9%85%D8%A7%D8%AA-%D8%B4%D9%88%D8%A7%DA%A9%D9%84-%D8%A7%D9%84%D8%BA%D8%B1%D9%88%D8%B1" TargetMode="External"/><Relationship Id="rId54" Type="http://schemas.openxmlformats.org/officeDocument/2006/relationships/hyperlink" Target="https://hosseinziai.com/publication_books/anwariyya/" TargetMode="External"/><Relationship Id="rId55" Type="http://schemas.openxmlformats.org/officeDocument/2006/relationships/hyperlink" Target="https://www.w-ilmu.intan.my/neuseal/Record/0000006382/Description?print=1" TargetMode="External"/><Relationship Id="rId56" Type="http://schemas.openxmlformats.org/officeDocument/2006/relationships/hyperlink" Target="https://www.mazdapublishers.com/book/addenda-on-the-commentary-on-the-philosophy-of-illuminationpart-one-on-the-rules-of-thought" TargetMode="External"/><Relationship Id="rId57" Type="http://schemas.openxmlformats.org/officeDocument/2006/relationships/hyperlink" Target="https://www.mazdapublishers.com/book/inner-light-nur-al-fuad" TargetMode="External"/><Relationship Id="rId58" Type="http://schemas.openxmlformats.org/officeDocument/2006/relationships/hyperlink" Target="https://digital-collections.princeton.edu/i/&#1588;&#1585;&#1581;-&#1575;&#1604;&#1593;&#1585;&#1588;&#1610;&#1577;-&#1575;&#1604;&#1582;/item/c656c2a7-2489-4651-a6e6-fcb38bb42e2e/metadata" TargetMode="External"/><Relationship Id="rId59" Type="http://schemas.openxmlformats.org/officeDocument/2006/relationships/hyperlink" Target="https://avsmirnov.info/win/publictn/texts_2/suhr_i.htm" TargetMode="External"/><Relationship Id="rId60" Type="http://schemas.openxmlformats.org/officeDocument/2006/relationships/hyperlink" Target="https://archive.org/details/hikmatalishraq02suhr" TargetMode="External"/><Relationship Id="rId61" Type="http://schemas.openxmlformats.org/officeDocument/2006/relationships/hyperlink" Target="https://play.google.com/store/books/details/Ya%E1%B8%A5y%C3%A1_ibn_%E1%B8%A4abash_Suhraward%C4%AB_Die_Philosophie_der_Er?id=BsEWJCkOOMoC" TargetMode="External"/><Relationship Id="rId62" Type="http://schemas.openxmlformats.org/officeDocument/2006/relationships/hyperlink" Target="https://www.suhrkamp.de/buch/al-suhrawardi-philosophie-der-erleuchtung-t-9783458700326" TargetMode="External"/><Relationship Id="rId63" Type="http://schemas.openxmlformats.org/officeDocument/2006/relationships/hyperlink" Target="https://bibliotheques.paris.fr/Default/doc/SYRACUSE/192473/le-livre-de-la-sagesse-orientale" TargetMode="External"/><Relationship Id="rId64" Type="http://schemas.openxmlformats.org/officeDocument/2006/relationships/hyperlink" Target="https://www.christies.com/lot/lot-5556054" TargetMode="External"/><Relationship Id="rId65" Type="http://schemas.openxmlformats.org/officeDocument/2006/relationships/hyperlink" Target="https://raw.githubusercontent.com/fihristorg/fihrist-mss/master/collections/oxford%20university/MS_Pococke_107.xml" TargetMode="External"/><Relationship Id="rId66" Type="http://schemas.openxmlformats.org/officeDocument/2006/relationships/hyperlink" Target="https://commons.wikimedia.org/wiki/File:Opening_page_from_the_manuscript_of_%22Hikmat_al-%CA%BFIshraq%22_by_al-Suhrawardi.jpg" TargetMode="External"/><Relationship Id="rId67" Type="http://schemas.openxmlformats.org/officeDocument/2006/relationships/hyperlink" Target="https://noorlib.ir/ar/book/info/13914/%D8%A7%D9%84%D9%85%D8%B4%D8%A7%D8%B1%D8%B9%20%D9%88%20%D8%A7%D9%84%D9%85%D8%B7%D8%A7%D8%B1%D8%AD%D8%A7%D8%AA" TargetMode="External"/><Relationship Id="rId68" Type="http://schemas.openxmlformats.org/officeDocument/2006/relationships/hyperlink" Target="https://fonsvitae.com/product/suhrawardi-the-shape-of-light/" TargetMode="External"/><Relationship Id="rId69" Type="http://schemas.openxmlformats.org/officeDocument/2006/relationships/hyperlink" Target="https://avsmirnov.info/win/publictn/ph_copy/ishraq_2/alwah.pdf" TargetMode="External"/><Relationship Id="rId70" Type="http://schemas.openxmlformats.org/officeDocument/2006/relationships/hyperlink" Target="https://www.fayard.fr/livre/larchange-empourpre-9782213003061/" TargetMode="External"/><Relationship Id="rId71" Type="http://schemas.openxmlformats.org/officeDocument/2006/relationships/hyperlink" Target="https://mirasmaktoob.com/&#1588;&#1585;&#1581;-&#1575;&#1604;&#1578;&#1617;&#1604;&#1608;&#1740;&#1581;&#1575;&#1578;-&#1575;&#1604;&#1604;&#1608;&#1581;&#1740;&#1617;&#1577;-&#1608;&#1575;&#1604;&#1593;&#1585;&#1588;&#1740;&#1617;&#1577;/" TargetMode="External"/><Relationship Id="rId72" Type="http://schemas.openxmlformats.org/officeDocument/2006/relationships/hyperlink" Target="https://taaghche.com/book/7209/&#1588;&#1585;&#1581;-&#1575;&#1604;&#1578;&#1617;&#1604;&#1608;&#1740;&#1581;&#1575;&#1578;-&#1575;&#1604;&#1604;&#1608;&#1581;&#1740;&#1617;&#1577;-&#1608;&#1575;&#1604;&#1593;&#1585;&#1588;&#1740;&#1617;&#1577;-&#1580;&#1604;&#1583;-&#1587;&#1608;&#1605;-&#1575;&#1604;&#1575;&#1607;&#1740;&#1575;&#1578;" TargetMode="External"/><Relationship Id="rId73" Type="http://schemas.openxmlformats.org/officeDocument/2006/relationships/hyperlink" Target="https://news.razavi.ir/fa/news/344629/&#1606;&#1587;&#1582;&#1607;-&#1582;&#1591;&#1740;-&#1588;&#1585;&#1581;-&#1705;&#1578;&#1575;&#1576;-&#1575;&#1604;&#1578;&#1604;&#1608;&#1740;&#1581;&#1575;&#1578;-700-&#1587;&#1575;&#1604;&#1607;-&#1588;&#1740;&#1582;-&#1588;&#1607;&#1575;&#1576;-&#1575;&#1604;&#1583;&#1740;&#1606;-&#1587;&#1607;&#1585;&#1608;&#1583;&#1740;-&#1585;&#1608;&#1606;&#1605;&#1575;&#1740;&#1740;-&#1588;&#1583;" TargetMode="External"/><Relationship Id="rId74" Type="http://schemas.openxmlformats.org/officeDocument/2006/relationships/hyperlink" Target="https://philosmus.org/archives/28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T2-13</dc:title>
  <dc:subject>Ишракизм и философия озарения: корпус, доступ, права</dc:subject>
  <dc:creator>ToS / Древо Софии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