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 Registry</w:t>
      </w:r>
    </w:p>
    <w:p>
      <w:pPr>
        <w:pStyle w:val="Subtitle"/>
      </w:pPr>
      <w:r>
        <w:t>T2-53 · Западноафриканские Ajami-зоны</w:t>
        <w:br/>
        <w:t>как письменный мост</w:t>
      </w:r>
    </w:p>
    <w:p>
      <w:r>
        <w:t>Исследовательский пакет • проверка 5 сентября 2026 года</w:t>
      </w:r>
    </w:p>
    <w:p>
      <w:r>
        <w:t>Главный практический результат — не единая «свободная библиотека Ajami», а разделённая карта: открытые оригинальные слои и переводы NEH, библиотечные свидетели, защищённые научные издания и машиночитаемый пакет с пока неустановленной лицензией.</w:t>
      </w:r>
    </w:p>
    <w:p>
      <w:pPr>
        <w:pStyle w:val="Heading1"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767"/>
      </w:tblGrid>
      <w:tr>
        <w:trPr>
          <w:cantSplit/>
          <w:tblHeader/>
        </w:trPr>
        <w:tc>
          <w:tcPr>
            <w:tcW w:type="dxa" w:w="1871"/>
            <w:vAlign w:val="center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7767"/>
            <w:vAlign w:val="center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Строка и статус</w:t>
            </w:r>
          </w:p>
        </w:tc>
        <w:tc>
          <w:tcPr>
            <w:tcW w:type="dxa" w:w="7767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T2-53; статус B; исходная уверенность 2. ID и статус сохранены.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Мастер-хронология</w:t>
            </w:r>
          </w:p>
        </w:tc>
        <w:tc>
          <w:tcPr>
            <w:tcW w:type="dxa" w:w="7767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Формирование и фиксация: XIII–XV вв.; канонизация/комментарий: XV–XVII вв. Это исходные границы строки, не датировка всех включённых объектов.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Исходный файл</w:t>
            </w:r>
          </w:p>
        </w:tc>
        <w:tc>
          <w:tcPr>
            <w:tcW w:type="dxa" w:w="7767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ToS Deep Research_ T2-53 — Западноафриканские Ajami-зоны как письменный мост(1).docx. Исходник не изменён.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Ядро</w:t>
            </w:r>
          </w:p>
        </w:tc>
        <w:tc>
          <w:tcPr>
            <w:tcW w:type="dxa" w:w="7767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Hausa Ajami, Fulfulde/Pular Ajami и Wolofal: дидактическая, правовая, моральная и историко-мемориальная письменность.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Поисковые языки</w:t>
            </w:r>
          </w:p>
        </w:tc>
        <w:tc>
          <w:tcPr>
            <w:tcW w:type="dxa" w:w="7767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Английский, французский, русский и арабский; варианты заглавий и имён на Hausa, Pular/Fulfulde и Wolof.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Поставка</w:t>
            </w:r>
          </w:p>
        </w:tc>
        <w:tc>
          <w:tcPr>
            <w:tcW w:type="dxa" w:w="7767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XLSX: registry — 279 записей, gaps — 32 позиции. Настоящий DOCX объясняет покрытие и ограничения, не дублирует реестр.</w:t>
            </w:r>
          </w:p>
        </w:tc>
      </w:tr>
    </w:tbl>
    <w:p>
      <w:pPr>
        <w:spacing w:after="0"/>
      </w:pPr>
    </w:p>
    <w:p>
      <w:r>
        <w:t>DR использован как карта: из него взяты Faamugol Honno Rewirtee Alla, Al-Qaṣāʾid al-ʿAjamiyya, Hisneki и корпус Nana Asma’u, Deftere Ḥajj, Ay Qasiday Wolof ak Arab, Majmu’a al-Wolofiyya, историко-календарная поэзия Hausa, AAL, EAP334 и HTR-ресурсы. Датировка этих произведений и копий не подменяет мастер-хронологию. Названные DR графы и будущие подисследования не создавались.</w:t>
      </w:r>
      <w:r>
        <w:t xml:space="preserve"> </w:t>
      </w:r>
      <w:r>
        <w:t>[1]</w:t>
      </w:r>
    </w:p>
    <w:p>
      <w:r>
        <w:t>Для доступа и идентификации приоритет получили отдельные карточки NEH, BL, Met, издательские страницы Cambridge и MSU Press, библиотечный каталог Grenoble и институциональные сканы Internet Archive. Для прав использованы item-level уведомления, официальные правила проекта и платформенные statements; историческая древность сама по себе разрешением не считалась. Слабые подсказки, не подтверждённые надёжным каталогом, оставлены в gaps. Wikipedia не служит источником ни одного итогового утверждения или разрешения.</w:t>
      </w:r>
    </w:p>
    <w:p>
      <w:pPr>
        <w:pStyle w:val="Heading1"/>
      </w:pPr>
      <w:r>
        <w:t>2. Охват корпуса</w:t>
      </w:r>
    </w:p>
    <w:p>
      <w:pPr>
        <w:pStyle w:val="Heading2"/>
      </w:pPr>
      <w:r>
        <w:t>Что посчитано</w:t>
      </w:r>
    </w:p>
    <w:p>
      <w:r>
        <w:t>279 — число практически различимых записей доступа, включая языковые версии, издания, каталоги и временно непроверенные входы. Это не 279 произведений. Основу составляют 60 редакторских досье NEH: по 20 на каждый целевой язык; каждое разобрано на факсимиле, латинскую транскрипцию, английский и французский перевод. Четыре варианта одного досье дают четыре записи, но не четыре исторических сочинения.</w:t>
      </w:r>
      <w:r>
        <w:t xml:space="preserve"> </w:t>
      </w:r>
      <w:hyperlink r:id="rId11">
        <w:r>
          <w:rPr>
            <w:color w:val="185D73"/>
          </w:rPr>
          <w:t>[2]</w:t>
        </w:r>
      </w:hyperlink>
      <w:r>
        <w:t xml:space="preserve"> </w:t>
      </w:r>
      <w:hyperlink r:id="rId12">
        <w:r>
          <w:rPr>
            <w:color w:val="185D73"/>
          </w:rPr>
          <w:t>[3]</w:t>
        </w:r>
      </w:hyperlink>
      <w:r>
        <w:t xml:space="preserve"> </w:t>
      </w:r>
      <w:hyperlink r:id="rId13">
        <w:r>
          <w:rPr>
            <w:color w:val="185D73"/>
          </w:rPr>
          <w:t>[4]</w:t>
        </w:r>
      </w:hyperlink>
    </w:p>
    <w:p>
      <w:r>
        <w:t>На уровне произведений, циклов и документальных/издательских сборников охват составляет порядка 80 рабочих позиций. Точный счёт автономных сочинений преждевременен: некоторые досье — выдержки из одной книги, части одного цикла, подборки писем или несколько свидетельств одного текста. Отдельно сохраняются четыре якоря DR, которые не удалось заново проверить через OpenBU; их существование здесь не выдается за новое веб-подтверждение.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1134"/>
        <w:gridCol w:w="4876"/>
      </w:tblGrid>
      <w:tr>
        <w:trPr>
          <w:cantSplit/>
          <w:tblHeader/>
        </w:trPr>
        <w:tc>
          <w:tcPr>
            <w:tcW w:type="dxa" w:w="3628"/>
            <w:vAlign w:val="center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Группа записей</w:t>
            </w:r>
          </w:p>
        </w:tc>
        <w:tc>
          <w:tcPr>
            <w:tcW w:type="dxa" w:w="1134"/>
            <w:vAlign w:val="center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Записей</w:t>
              <w:br/>
              <w:t>доступа</w:t>
            </w:r>
          </w:p>
        </w:tc>
        <w:tc>
          <w:tcPr>
            <w:tcW w:type="dxa" w:w="4876"/>
            <w:vAlign w:val="center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NEH: 60 досье × 4 компонента</w:t>
            </w:r>
          </w:p>
        </w:tc>
        <w:tc>
          <w:tcPr>
            <w:tcW w:type="dxa" w:w="1134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240</w:t>
            </w:r>
          </w:p>
        </w:tc>
        <w:tc>
          <w:tcPr>
            <w:tcW w:type="dxa" w:w="4876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Опубликованные оригинальные слои, транскрипции и два языка перевода.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BL: отдельные архивные карточки</w:t>
            </w:r>
          </w:p>
        </w:tc>
        <w:tc>
          <w:tcPr>
            <w:tcW w:type="dxa" w:w="1134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4876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12 Wolofal и 3 Hausa-позиции; права текста карточки не равны правам изображений.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Другие свидетели и издания</w:t>
            </w:r>
          </w:p>
        </w:tc>
        <w:tc>
          <w:tcPr>
            <w:tcW w:type="dxa" w:w="1134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4876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Музей, Konduga, Tanzil, современные издания и старые институциональные сканы.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Якоря DR с неоткрывшимся OpenBU</w:t>
            </w:r>
          </w:p>
        </w:tc>
        <w:tc>
          <w:tcPr>
            <w:tcW w:type="dxa" w:w="1134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4876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Сохранены адреса, исходные сведения и явный флаг неопределённости.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HTR-пакет и статья о нём</w:t>
            </w:r>
          </w:p>
        </w:tc>
        <w:tc>
          <w:tcPr>
            <w:tcW w:type="dxa" w:w="1134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4876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Один dataset release и одна навигационная научная публикация.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Проектные/архивные входы</w:t>
            </w:r>
          </w:p>
        </w:tc>
        <w:tc>
          <w:tcPr>
            <w:tcW w:type="dxa" w:w="1134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4876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NEH, AAL, EAP1430, Northwestern, Readers in Ajami; не заменяют item-level записи.</w:t>
            </w:r>
          </w:p>
        </w:tc>
      </w:tr>
    </w:tbl>
    <w:p>
      <w:pPr>
        <w:spacing w:after="0"/>
      </w:pPr>
    </w:p>
    <w:p>
      <w:pPr>
        <w:pStyle w:val="Heading2"/>
      </w:pPr>
      <w:r>
        <w:t>Добавления относительно исходного DR</w:t>
      </w:r>
    </w:p>
    <w:p>
      <w:r>
        <w:t>Hausa. Вместо общего упоминания дидактической поэзии найдены Majidu и Gargaɗi из Infirāji, Mai Sana’a Ba Ya Tsiya, Mutum Cuta Ne Marar Magani, тексты о браке, родственных отношениях и общественной морали, Waƙar Nasara, календарный Wattanin Ajamawa и Hisabi a Sauƙaƙe. Последний описывается как нумерологический материал, а не автоматически как обычный учебник арифметики. Современные запись о рождении и строительный договор включены как продолжение документальной Ajami-практики, с отдельной оговоркой о персональных данных. Диапазон R001–R080.</w:t>
      </w:r>
      <w:r>
        <w:t xml:space="preserve"> </w:t>
      </w:r>
      <w:hyperlink r:id="rId11">
        <w:r>
          <w:rPr>
            <w:color w:val="185D73"/>
          </w:rPr>
          <w:t>[2]</w:t>
        </w:r>
      </w:hyperlink>
    </w:p>
    <w:p>
      <w:r>
        <w:t>Fulfulde/Pular. Раскрыты Oogirde Malal через отрывок Mantugol Nelaaɗo 1, другие Mantugol- и Kuuɗe Lette-тексты, Coora, Gandal Fii Rewugol Alla, похвалы учителям, исторические панегирики и Al-qaṣīdatu fī Asmāʾi Shuyūkhi Fuuta. Письма Jokkere Enɗaŋ и протоколы Deftere Tumbondiral показывают продолжение той же письменной среды до XXI века. Это не основание отнести сами поздние записи к Средневековью. Диапазон R081–R160.</w:t>
      </w:r>
      <w:r>
        <w:t xml:space="preserve"> </w:t>
      </w:r>
      <w:hyperlink r:id="rId12">
        <w:r>
          <w:rPr>
            <w:color w:val="185D73"/>
          </w:rPr>
          <w:t>[3]</w:t>
        </w:r>
      </w:hyperlink>
      <w:r>
        <w:t xml:space="preserve"> </w:t>
      </w:r>
      <w:hyperlink r:id="rId14">
        <w:r>
          <w:rPr>
            <w:color w:val="185D73"/>
          </w:rPr>
          <w:t>[5]</w:t>
        </w:r>
      </w:hyperlink>
    </w:p>
    <w:p>
      <w:r>
        <w:t>Wolofal. Помимо двух якорных сборников DR включены Wolofalu Jumaa ji, Wolofalu Màggal gu Njëkk gi, Càntug Murid, элегии, Bàkk wi, произведение с женским авторством Qasidak Wolofalu Maam Jaaratul Laahi, четыре биографии из издания 2015 года, Xarbaaxi Yonnen bi, Xareb Badar, Yoonu Murid, Wolofal-передача Nahju Qaḍāʾi l-Ḥāji, Manāfiʿu l-Muslim, речи Abdul Ahad Mbakke и документы Ndigël. Дополнительные BL-карточки сохраняют другие поэтические сборники и Wolof-перевод/комментарий Корана. R161–R252.</w:t>
      </w:r>
      <w:r>
        <w:t xml:space="preserve"> </w:t>
      </w:r>
      <w:hyperlink r:id="rId13">
        <w:r>
          <w:rPr>
            <w:color w:val="185D73"/>
          </w:rPr>
          <w:t>[4]</w:t>
        </w:r>
      </w:hyperlink>
      <w:r>
        <w:t xml:space="preserve"> </w:t>
      </w:r>
      <w:hyperlink r:id="rId15">
        <w:r>
          <w:rPr>
            <w:color w:val="185D73"/>
          </w:rPr>
          <w:t>[7]</w:t>
        </w:r>
      </w:hyperlink>
      <w:r>
        <w:t xml:space="preserve"> </w:t>
      </w:r>
      <w:hyperlink r:id="rId16">
        <w:r>
          <w:rPr>
            <w:color w:val="185D73"/>
          </w:rPr>
          <w:t>[8]</w:t>
        </w:r>
      </w:hyperlink>
      <w:r>
        <w:t xml:space="preserve"> </w:t>
      </w:r>
      <w:hyperlink r:id="rId17">
        <w:r>
          <w:rPr>
            <w:color w:val="185D73"/>
          </w:rPr>
          <w:t>[9]</w:t>
        </w:r>
      </w:hyperlink>
      <w:r>
        <w:t xml:space="preserve"> </w:t>
      </w:r>
      <w:hyperlink r:id="rId18">
        <w:r>
          <w:rPr>
            <w:color w:val="185D73"/>
          </w:rPr>
          <w:t>[10]</w:t>
        </w:r>
      </w:hyperlink>
    </w:p>
    <w:p>
      <w:pPr>
        <w:pStyle w:val="Heading2"/>
      </w:pPr>
      <w:r>
        <w:t>Поиск назад и вперёд</w:t>
      </w:r>
    </w:p>
    <w:p>
      <w:r>
        <w:t>Ранние источники. Коран включён как реальный исходный текст цитирования, объяснения и локального перевода, а не как общий религиозный фон. Dalāʾil al-khayrāt имеет конкретную связь: биография Asta Waalo сообщает о его преподавании в семейной учительской линии; музейный кодекс 1625–26 годов даёт независимый открытый свидетель этого более раннего произведения. Он не объявлен тем самым экземпляром, которым пользовалась семья. Konduga с Old Kanembu-глоссами — пограничный сравнительный свидетель, без утверждения прямого происхождения целевой триады от него. R257–R259.</w:t>
      </w:r>
      <w:r>
        <w:t xml:space="preserve"> </w:t>
      </w:r>
      <w:hyperlink r:id="rId15">
        <w:r>
          <w:rPr>
            <w:color w:val="185D73"/>
          </w:rPr>
          <w:t>[7]</w:t>
        </w:r>
      </w:hyperlink>
      <w:r>
        <w:t xml:space="preserve"> </w:t>
      </w:r>
      <w:hyperlink r:id="rId19">
        <w:r>
          <w:rPr>
            <w:color w:val="185D73"/>
          </w:rPr>
          <w:t>[18]</w:t>
        </w:r>
      </w:hyperlink>
      <w:r>
        <w:t xml:space="preserve"> </w:t>
      </w:r>
      <w:hyperlink r:id="rId20">
        <w:r>
          <w:rPr>
            <w:color w:val="185D73"/>
          </w:rPr>
          <w:t>[20]</w:t>
        </w:r>
      </w:hyperlink>
      <w:r>
        <w:t xml:space="preserve"> </w:t>
      </w:r>
      <w:hyperlink r:id="rId21">
        <w:r>
          <w:rPr>
            <w:color w:val="185D73"/>
          </w:rPr>
          <w:t>[21]</w:t>
        </w:r>
      </w:hyperlink>
    </w:p>
    <w:p>
      <w:r>
        <w:t>Поздние линии. Продолжения включены по документированной принадлежности к той же текстовой семье: Infirāji XX века; поздние Pular-копии, письма и протоколы; Murid-стихи, печать, речи и газета; современные транскрипции и переводы; научные собрания Nana Asma’u, издание Sow и HTR-передача. Внутренние переходы «текст Usman → переработка Nana», «арабское сочинение Bamba → Wolofal-версия» также сохранены. Их даты не понижают релевантность автоматически.</w:t>
      </w:r>
      <w:r>
        <w:t xml:space="preserve"> </w:t>
      </w:r>
      <w:hyperlink r:id="rId11">
        <w:r>
          <w:rPr>
            <w:color w:val="185D73"/>
          </w:rPr>
          <w:t>[2]</w:t>
        </w:r>
      </w:hyperlink>
      <w:r>
        <w:t xml:space="preserve"> </w:t>
      </w:r>
      <w:hyperlink r:id="rId12">
        <w:r>
          <w:rPr>
            <w:color w:val="185D73"/>
          </w:rPr>
          <w:t>[3]</w:t>
        </w:r>
      </w:hyperlink>
      <w:r>
        <w:t xml:space="preserve"> </w:t>
      </w:r>
      <w:hyperlink r:id="rId13">
        <w:r>
          <w:rPr>
            <w:color w:val="185D73"/>
          </w:rPr>
          <w:t>[4]</w:t>
        </w:r>
      </w:hyperlink>
      <w:r>
        <w:t xml:space="preserve"> </w:t>
      </w:r>
      <w:hyperlink r:id="rId22">
        <w:r>
          <w:rPr>
            <w:color w:val="185D73"/>
          </w:rPr>
          <w:t>[11]</w:t>
        </w:r>
      </w:hyperlink>
      <w:r>
        <w:t xml:space="preserve"> </w:t>
      </w:r>
      <w:hyperlink r:id="rId23">
        <w:r>
          <w:rPr>
            <w:color w:val="185D73"/>
          </w:rPr>
          <w:t>[13]</w:t>
        </w:r>
      </w:hyperlink>
      <w:r>
        <w:t xml:space="preserve"> </w:t>
      </w:r>
      <w:hyperlink r:id="rId24">
        <w:r>
          <w:rPr>
            <w:color w:val="185D73"/>
          </w:rPr>
          <w:t>[22]</w:t>
        </w:r>
      </w:hyperlink>
    </w:p>
    <w:p>
      <w:r>
        <w:t>Маркировки применены содержательно: core — якорные произведения и прямые текстовые опоры; same_corpus_or_tradition — другие члены целевых семей; antecedent — исходные арабские тексты; continuation — новые фазы той же практики; commentary_or_reception — переработки, биографии и комментарии; transmission_or_preservation — переводные и издательские линии. Boundary оставлен Konduga; infrastructure — архивам и HTR; secondary_navigation — статье, необходимой для понимания dataset. Отдельные supporting-записи не создавались ради заполнения всех категорий.</w:t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Mombeya и Pular-нормативный корпус</w:t>
      </w:r>
    </w:p>
    <w:p>
      <w:r>
        <w:t>Наиболее пригодный открытый старт — R081–R084, Mantugol Nelaaɗo 1. Карточка прямо называет его выдержкой из Oogirde Malal, указывает автора, копииста и владельца, предлагает факсимиле, транскрипцию и переводы EN/FR под CC BY-NC 4.0. Текстовые PDF действительно открылись: транскрипция — 19 страниц, английский перевод — 16, французский — 19. Рукописный PDF по проверенной ссылке оказался больше лимита web-инструмента; это не установлено как поломка файла. Разрешённый объём остаётся отрывком, а не всем Oogirde.</w:t>
      </w:r>
      <w:r>
        <w:t xml:space="preserve"> </w:t>
      </w:r>
      <w:hyperlink r:id="rId14">
        <w:r>
          <w:rPr>
            <w:color w:val="185D73"/>
          </w:rPr>
          <w:t>[5]</w:t>
        </w:r>
      </w:hyperlink>
    </w:p>
    <w:p>
      <w:r>
        <w:t>Полный научный ориентир — Le Filon du bonheur éternel / Oogirde Malal, редакция Alfa Ibrahima Sow, 1971, R262: двуязычная библиотечная запись, но не подтверждённый свободный полный текст. Связь этого издания с заглавием Faamugol Honno Rewirtee Alla не нормализована автоматически. Для полного Faamugol, Al-Qaṣāʾid al-ʿAjamiyya и Deftere Ḥajj сохранены исходные OpenBU-адреса R253–R254, R256 и приоритетные gaps. Для немедленного сравнительного чтения полезны открытые Gandal Fii Rewugol Alla и Coora, но они не подменяют эти произведения.</w:t>
      </w:r>
      <w:r>
        <w:t xml:space="preserve"> </w:t>
      </w:r>
      <w:r>
        <w:t>[1]</w:t>
      </w:r>
      <w:r>
        <w:t xml:space="preserve"> </w:t>
      </w:r>
      <w:hyperlink r:id="rId12">
        <w:r>
          <w:rPr>
            <w:color w:val="185D73"/>
          </w:rPr>
          <w:t>[3]</w:t>
        </w:r>
      </w:hyperlink>
      <w:r>
        <w:t xml:space="preserve"> </w:t>
      </w:r>
      <w:hyperlink r:id="rId23">
        <w:r>
          <w:rPr>
            <w:color w:val="185D73"/>
          </w:rPr>
          <w:t>[13]</w:t>
        </w:r>
      </w:hyperlink>
    </w:p>
    <w:p>
      <w:pPr>
        <w:pStyle w:val="Heading2"/>
      </w:pPr>
      <w:r>
        <w:t>Nana Asma’u и сокотская передача</w:t>
      </w:r>
    </w:p>
    <w:p>
      <w:r>
        <w:t>Лучшие бесплатные оригинальные и переводные входы — Godaben Gaskiya (R017–R020), Tabbat Haqiqan в двух авторских/свидетельских линиях (R021–R028) и Wa’azi (R065–R068). Godaben представлен как offset manuscript Shina Commercial Press, а не автограф Nana. Латинский Hausa-слой удобен для поиска и подготовки собственного перевода; EN/FR позволяют первичное чтение без знания Ajami.</w:t>
      </w:r>
      <w:r>
        <w:t xml:space="preserve"> </w:t>
      </w:r>
      <w:hyperlink r:id="rId11">
        <w:r>
          <w:rPr>
            <w:color w:val="185D73"/>
          </w:rPr>
          <w:t>[2]</w:t>
        </w:r>
      </w:hyperlink>
      <w:r>
        <w:t xml:space="preserve"> </w:t>
      </w:r>
      <w:hyperlink r:id="rId25">
        <w:r>
          <w:rPr>
            <w:color w:val="185D73"/>
          </w:rPr>
          <w:t>[6]</w:t>
        </w:r>
      </w:hyperlink>
    </w:p>
    <w:p>
      <w:r>
        <w:t>Лучший широкий научный вариант — Collected Works of Nana Asma’u, Boyd &amp; Mack, MSU Press, 1997: 753 страницы, 54 поэтических и прозаических текста; предлагаются печатная книга и защищённый PDF (R260). На издательской странице есть также переход к ReadMichigan (R261). Этот путь сохранён, но не объявлен глобальным Open Access: государственное описание сервиса ограничивает чтение геолокацией жителей и посетителей Michigan; фактический просмотр BiblioBoard в инструменте не состоялся. Современное издание нельзя зеркалировать на основании древности стихов.</w:t>
      </w:r>
      <w:r>
        <w:t xml:space="preserve"> </w:t>
      </w:r>
      <w:hyperlink r:id="rId22">
        <w:r>
          <w:rPr>
            <w:color w:val="185D73"/>
          </w:rPr>
          <w:t>[11]</w:t>
        </w:r>
      </w:hyperlink>
      <w:r>
        <w:t xml:space="preserve"> </w:t>
      </w:r>
      <w:hyperlink r:id="rId26">
        <w:r>
          <w:rPr>
            <w:color w:val="185D73"/>
          </w:rPr>
          <w:t>[12]</w:t>
        </w:r>
      </w:hyperlink>
    </w:p>
    <w:p>
      <w:pPr>
        <w:pStyle w:val="Heading2"/>
      </w:pPr>
      <w:r>
        <w:t>Другие Hausa-произведения</w:t>
      </w:r>
    </w:p>
    <w:p>
      <w:r>
        <w:t>Для свободного чтения и скачивания преобладает NEH: original/Latin/EN/FR позволяют сопоставлять текст, перевод и свидетель. Для календарной и исторической поэзии DR сохранены сильные научные публикации Hiskett: Song of Bagauda, части I–III (R267–R269), и The Arab Star-Calendar and Planetary System in Hausa Verse (R270). Cambridge подтверждает библиографию и защищённую версию; открытый extract не назван полным текстом. Три части Bagauda — один издательский комплекс, а не три исторических произведения.</w:t>
      </w:r>
      <w:r>
        <w:t xml:space="preserve"> </w:t>
      </w:r>
      <w:hyperlink r:id="rId11">
        <w:r>
          <w:rPr>
            <w:color w:val="185D73"/>
          </w:rPr>
          <w:t>[2]</w:t>
        </w:r>
      </w:hyperlink>
      <w:r>
        <w:t xml:space="preserve"> </w:t>
      </w:r>
      <w:hyperlink r:id="rId27">
        <w:r>
          <w:rPr>
            <w:color w:val="185D73"/>
          </w:rPr>
          <w:t>[14]</w:t>
        </w:r>
      </w:hyperlink>
      <w:r>
        <w:t xml:space="preserve"> </w:t>
      </w:r>
      <w:hyperlink r:id="rId28">
        <w:r>
          <w:rPr>
            <w:color w:val="185D73"/>
          </w:rPr>
          <w:t>[15]</w:t>
        </w:r>
      </w:hyperlink>
    </w:p>
    <w:p>
      <w:r>
        <w:t>Лучшие старые переводные входы — Robinson, Specimens of Hausa Literature, 1896 (R263), и два тома Rattray, Hausa Folk-Lore, 1913 (R264, R271). Их сканы поступили от университетских библиотек и имеют item-level NOT_IN_COPYRIGHT с US-оговоркой. Доступны форматы чтения и скачивания, включая текстовый OCR; сам OCR не заменяет выверенный Hausa-текст. Это жанровое расширение через сохранённые тексты, пословицы и повествования, а не добавление общей литературы о регионе.</w:t>
      </w:r>
      <w:r>
        <w:t xml:space="preserve"> </w:t>
      </w:r>
      <w:hyperlink r:id="rId29">
        <w:r>
          <w:rPr>
            <w:color w:val="185D73"/>
          </w:rPr>
          <w:t>[16]</w:t>
        </w:r>
      </w:hyperlink>
      <w:r>
        <w:t xml:space="preserve"> </w:t>
      </w:r>
      <w:hyperlink r:id="rId30">
        <w:r>
          <w:rPr>
            <w:color w:val="185D73"/>
          </w:rPr>
          <w:t>[17]</w:t>
        </w:r>
      </w:hyperlink>
    </w:p>
    <w:p>
      <w:pPr>
        <w:pStyle w:val="Heading2"/>
      </w:pPr>
      <w:r>
        <w:t>Wolofal и Murid-корпуса</w:t>
      </w:r>
    </w:p>
    <w:p>
      <w:r>
        <w:t>Для содержательного чтения предпочтительны 20 NEH-досье R161–R240. Особенно полезны Wolofalu Jumaa ji и Nahju: их текстовые PDF открылись; у первого транскрипция занимает 55 страниц, EN — 48, FR — 49; у второго транскрипция — 19, EN — 21. Это объём файлов, а не доказательство полноты всего рукописного корпуса. Четыре биографии 2015 года и два Ndigël-досье оставлены как выбранные части соответствующих книг/периодики.</w:t>
      </w:r>
      <w:r>
        <w:t xml:space="preserve"> </w:t>
      </w:r>
      <w:hyperlink r:id="rId13">
        <w:r>
          <w:rPr>
            <w:color w:val="185D73"/>
          </w:rPr>
          <w:t>[4]</w:t>
        </w:r>
      </w:hyperlink>
    </w:p>
    <w:p>
      <w:r>
        <w:t>Для физических свидетелей Majmu’a и Ay Qasiday лучший подтверждённый вход в этом запуске — BL-каталог R241–R242. Он даёт шифр, происхождение и ссылку на оцифровку, но изображения EAP не удалось надёжно просмотреть. Особая находка — EAP334/6/5, Alxuraan bu ñu tekki ci Wolof: запись связывает текст Deme с 1933 годом, а конкретную копию — с 1961-м. Не следует считать всё Ay Qasiday Wolofal: карточка описывает преимущественно арабский сборник с выделенными Wolof-разделами.</w:t>
      </w:r>
      <w:r>
        <w:t xml:space="preserve"> </w:t>
      </w:r>
      <w:hyperlink r:id="rId16">
        <w:r>
          <w:rPr>
            <w:color w:val="185D73"/>
          </w:rPr>
          <w:t>[8]</w:t>
        </w:r>
      </w:hyperlink>
      <w:r>
        <w:t xml:space="preserve"> </w:t>
      </w:r>
      <w:hyperlink r:id="rId17">
        <w:r>
          <w:rPr>
            <w:color w:val="185D73"/>
          </w:rPr>
          <w:t>[9]</w:t>
        </w:r>
      </w:hyperlink>
      <w:r>
        <w:t xml:space="preserve"> </w:t>
      </w:r>
      <w:hyperlink r:id="rId18">
        <w:r>
          <w:rPr>
            <w:color w:val="185D73"/>
          </w:rPr>
          <w:t>[10]</w:t>
        </w:r>
      </w:hyperlink>
    </w:p>
    <w:p>
      <w:pPr>
        <w:pStyle w:val="Heading2"/>
      </w:pPr>
      <w:r>
        <w:t>Машиночитаемый слой и самые свободные компоненты</w:t>
      </w:r>
    </w:p>
    <w:p>
      <w:r>
        <w:t>HTR dataset v2 на Zenodo (R265) описывает 48 рукописей, 713 страниц и 10 875 строк. Для исследования нужен ручной diplomatic-слой manual, а не автоматически распознанные варианты. Пакет оставлен одной записью: три языковых ZIP — компоненты одного release, не десятки новых произведений. Файлы объёмом около 40 GB не скачивались; однозначную лицензию пакета извлечь не удалось. Поэтому наличие Download не превращено в разрешение ToS на embeddings или зеркалирование.</w:t>
      </w:r>
      <w:r>
        <w:t xml:space="preserve"> </w:t>
      </w:r>
      <w:hyperlink r:id="rId24">
        <w:r>
          <w:rPr>
            <w:color w:val="185D73"/>
          </w:rPr>
          <w:t>[22]</w:t>
        </w:r>
      </w:hyperlink>
    </w:p>
    <w:p>
      <w:r>
        <w:t>Наиболее свободный проверенный слой — OA-изображения конкретного Dalāʾil al-khayrāt в Met, с CC0 в пределах опубликованных изображений, и текст BL-карточек под CC BY. Самый богатый пригодный для некоммерческого текстового проекта слой — оригинальные компоненты NEH и их транскрипции/переводы. Массовый IIIF/OAI-PMH или API-доступ для всего Ajami-корпуса здесь не подтверждён; общие названия технологий не превращены в вымышленные endpoints.</w:t>
      </w:r>
      <w:r>
        <w:t xml:space="preserve"> </w:t>
      </w:r>
      <w:hyperlink r:id="rId17">
        <w:r>
          <w:rPr>
            <w:color w:val="185D73"/>
          </w:rPr>
          <w:t>[9]</w:t>
        </w:r>
      </w:hyperlink>
      <w:r>
        <w:t xml:space="preserve"> </w:t>
      </w:r>
      <w:hyperlink r:id="rId19">
        <w:r>
          <w:rPr>
            <w:color w:val="185D73"/>
          </w:rPr>
          <w:t>[18]</w:t>
        </w:r>
      </w:hyperlink>
      <w:r>
        <w:t xml:space="preserve"> </w:t>
      </w:r>
      <w:hyperlink r:id="rId31">
        <w:r>
          <w:rPr>
            <w:color w:val="185D73"/>
          </w:rPr>
          <w:t>[19]</w:t>
        </w:r>
      </w:hyperlink>
      <w:r>
        <w:t xml:space="preserve"> </w:t>
      </w:r>
      <w:hyperlink r:id="rId32">
        <w:r>
          <w:rPr>
            <w:color w:val="185D73"/>
          </w:rPr>
          <w:t>[25]</w:t>
        </w:r>
      </w:hyperlink>
    </w:p>
    <w:p>
      <w:pPr>
        <w:pStyle w:val="Heading1"/>
      </w:pPr>
      <w:r>
        <w:t>4. Карта прав и практического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798"/>
        <w:gridCol w:w="3402"/>
      </w:tblGrid>
      <w:tr>
        <w:trPr>
          <w:cantSplit/>
          <w:tblHeader/>
        </w:trPr>
        <w:tc>
          <w:tcPr>
            <w:tcW w:type="dxa" w:w="2438"/>
            <w:vAlign w:val="center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3798"/>
            <w:vAlign w:val="center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Практический вывод для ToS</w:t>
            </w:r>
          </w:p>
        </w:tc>
        <w:tc>
          <w:tcPr>
            <w:tcW w:type="dxa" w:w="3402"/>
            <w:vAlign w:val="center"/>
            <w:shd w:fill="17324D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Граница разрешения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NEH · CC BY-NC 4.0</w:t>
            </w:r>
          </w:p>
        </w:tc>
        <w:tc>
          <w:tcPr>
            <w:tcW w:type="dxa" w:w="3798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Копирование, некоммерческое размещение и адаптация с атрибуцией. Оригинал/транскрипция могут быть основой нового перевода.</w:t>
            </w:r>
          </w:p>
        </w:tc>
        <w:tc>
          <w:tcPr>
            <w:tcW w:type="dxa" w:w="3402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Только опубликованный компонент и coverage. Не весь AAL, не сторонние фото, не внешние видео.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Met · CC0 / Public Domain</w:t>
            </w:r>
          </w:p>
        </w:tc>
        <w:tc>
          <w:tcPr>
            <w:tcW w:type="dxa" w:w="3798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Потенциальное зеркалирование OA-изображений, OCR и собственный перевод читаемых опубликованных фрагментов.</w:t>
            </w:r>
          </w:p>
        </w:tc>
        <w:tc>
          <w:tcPr>
            <w:tcW w:type="dxa" w:w="3402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R257: не весь кодекс и не все иллюстрации сайта.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BL · CC BY 4.0</w:t>
            </w:r>
          </w:p>
        </w:tc>
        <w:tc>
          <w:tcPr>
            <w:tcW w:type="dxa" w:w="3798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Можно повторно использовать текст проверенных каталожных карточек с атрибуцией.</w:t>
            </w:r>
          </w:p>
        </w:tc>
        <w:tc>
          <w:tcPr>
            <w:tcW w:type="dxa" w:w="3402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15 карточек; не фотографии рукописей и не их полные тексты.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Старые университетские сканы · US</w:t>
            </w:r>
          </w:p>
        </w:tc>
        <w:tc>
          <w:tcPr>
            <w:tcW w:type="dxa" w:w="3798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Свободные чтение и загрузка; повторное использование отмечено только в пределах US statement.</w:t>
            </w:r>
          </w:p>
        </w:tc>
        <w:tc>
          <w:tcPr>
            <w:tcW w:type="dxa" w:w="3402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Вне США — RIGHTS_REVIEW_REQUIRED; дата 1896/1913 не заменяет юрисдикционную оценку.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Защищённые издания / ReadMichigan</w:t>
            </w:r>
          </w:p>
        </w:tc>
        <w:tc>
          <w:tcPr>
            <w:tcW w:type="dxa" w:w="3798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Ссылка, preview, покупка или правомерный институциональный/региональный доступ.</w:t>
            </w:r>
          </w:p>
        </w:tc>
        <w:tc>
          <w:tcPr>
            <w:tcW w:type="dxa" w:w="3402"/>
            <w:vAlign w:val="center"/>
            <w:shd w:fill="EDF3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Не разрешение на републикацию PDF, перевод аппарата или массовую индексацию.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Tanzil / HTR / неизвестные права</w:t>
            </w:r>
          </w:p>
        </w:tc>
        <w:tc>
          <w:tcPr>
            <w:tcW w:type="dxa" w:w="3798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Tanzil — неизменная копия с уведомлением; HTR — путь загрузки без доказанного разрешения на повторное использование.</w:t>
            </w:r>
          </w:p>
        </w:tc>
        <w:tc>
          <w:tcPr>
            <w:tcW w:type="dxa" w:w="3402"/>
            <w:vAlign w:val="center"/>
            <w:shd w:fill="F8FA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Смешанные/дополнительные условия; не нормализовать в более свободную лицензию.</w:t>
            </w:r>
          </w:p>
        </w:tc>
      </w:tr>
    </w:tbl>
    <w:p>
      <w:pPr>
        <w:spacing w:after="0"/>
      </w:pPr>
    </w:p>
    <w:p>
      <w:r>
        <w:t>В 240 записях NEH разрешение основано на уведомлении конкретного досье. Для факсимиле OCR_OK означает обработку этого изображения; FULLTEXT_INDEX_OK и EMBEDDINGS_OK — рабочий вывод из права копирования и адаптации при действительно некоммерческом использовании. Это разные действия, а не универсальный флаг «AI allowed». Они не разрешают коммерческое обучение сторонней модели или использование данных в иной, неописанной инфраструктуре. Сохраняются авторство, требуемая цитата, ссылка на лицензию и отметки об изменениях; ShareAlike и NoDerivatives к CC BY-NC 4.0 не добавлены.</w:t>
      </w:r>
      <w:r>
        <w:t xml:space="preserve"> </w:t>
      </w:r>
      <w:hyperlink r:id="rId14">
        <w:r>
          <w:rPr>
            <w:color w:val="185D73"/>
          </w:rPr>
          <w:t>[5]</w:t>
        </w:r>
      </w:hyperlink>
      <w:r>
        <w:t xml:space="preserve"> </w:t>
      </w:r>
      <w:hyperlink r:id="rId25">
        <w:r>
          <w:rPr>
            <w:color w:val="185D73"/>
          </w:rPr>
          <w:t>[6]</w:t>
        </w:r>
      </w:hyperlink>
      <w:r>
        <w:t xml:space="preserve"> </w:t>
      </w:r>
      <w:hyperlink r:id="rId32">
        <w:r>
          <w:rPr>
            <w:color w:val="185D73"/>
          </w:rPr>
          <w:t>[25]</w:t>
        </w:r>
      </w:hyperlink>
    </w:p>
    <w:p>
      <w:r>
        <w:t>Собственный перевод ToS имеет установленную основу там, где доступен лицензированный оригинальный языковой слой: факсимиле или латинская транскрипция NEH. Тег ограничен конкретным фрагментом, досье или свидетелем. Открытый английский перевод не объявлен чистым исходным Pular/Hausa/Wolof-текстом. Для защищённых реконструкций Hiskett и Sow, неоткрывшихся OpenBU-якорей и неясного HTR-пакета безусловный OWN_TRANSLATION_POSSIBLE не поставлен.</w:t>
      </w:r>
    </w:p>
    <w:p>
      <w:r>
        <w:t>Для писем, записей о рождении, контрактов и протоколов разрешение на авторское использование не снимает других ограничений. В соответствующих строках положительные NC-теги сопровождаются RIGHTS_REVIEW_REQUIRED: перед публичным зеркалом, поиском по именам и индексированием необходима проверка персональных и семейных сведений. Это не запрет частного исследования и не автоматическое снятие лицензии.</w:t>
      </w:r>
      <w:r>
        <w:t xml:space="preserve"> </w:t>
      </w:r>
      <w:hyperlink r:id="rId32">
        <w:r>
          <w:rPr>
            <w:color w:val="185D73"/>
          </w:rPr>
          <w:t>[25]</w:t>
        </w:r>
      </w:hyperlink>
    </w:p>
    <w:p>
      <w:pPr>
        <w:pStyle w:val="Heading1"/>
      </w:pPr>
      <w:r>
        <w:t>5. Характерные правовые и текстологические тонкости</w:t>
      </w:r>
    </w:p>
    <w:p>
      <w:pPr>
        <w:pStyle w:val="Heading2"/>
      </w:pPr>
      <w:r>
        <w:t>Четыре слоя не должны сливаться</w:t>
      </w:r>
    </w:p>
    <w:p>
      <w:r>
        <w:t>Возраст произведения, права редактора/переводчика, права цифрового объекта и условия доступа сайта в XLSX разведены по разным полям. Копия XX века не датирует композицию XX веком; ранняя композиция не делает новую редакцию свободной. То же относится к офсетному воспроизведению, романизации и критическому аппарату. В историческом каталоге даже имя автора может быть только атрибуцией; спорные случаи не исправлены молча.</w:t>
      </w:r>
      <w:r>
        <w:t xml:space="preserve"> </w:t>
      </w:r>
      <w:r>
        <w:t>[1]</w:t>
      </w:r>
      <w:r>
        <w:t xml:space="preserve"> </w:t>
      </w:r>
      <w:hyperlink r:id="rId25">
        <w:r>
          <w:rPr>
            <w:color w:val="185D73"/>
          </w:rPr>
          <w:t>[6]</w:t>
        </w:r>
      </w:hyperlink>
      <w:r>
        <w:t xml:space="preserve"> </w:t>
      </w:r>
      <w:hyperlink r:id="rId23">
        <w:r>
          <w:rPr>
            <w:color w:val="185D73"/>
          </w:rPr>
          <w:t>[13]</w:t>
        </w:r>
      </w:hyperlink>
      <w:r>
        <w:t xml:space="preserve"> </w:t>
      </w:r>
      <w:hyperlink r:id="rId27">
        <w:r>
          <w:rPr>
            <w:color w:val="185D73"/>
          </w:rPr>
          <w:t>[14]</w:t>
        </w:r>
      </w:hyperlink>
      <w:r>
        <w:t xml:space="preserve"> </w:t>
      </w:r>
      <w:hyperlink r:id="rId28">
        <w:r>
          <w:rPr>
            <w:color w:val="185D73"/>
          </w:rPr>
          <w:t>[15]</w:t>
        </w:r>
      </w:hyperlink>
    </w:p>
    <w:p>
      <w:pPr>
        <w:pStyle w:val="Heading2"/>
      </w:pPr>
      <w:r>
        <w:t>Каталог — не лицензия рукописи</w:t>
      </w:r>
    </w:p>
    <w:p>
      <w:r>
        <w:t>BL сообщает CC BY для текста карточек, но не даёт этим права на EAP-изображения. Общая кнопка запроса физических материалов не доказывает, что оригиналы находятся в Лондоне: например, Hausa poetry S. Zazzau dan Sidi хранится в National Archives Kaduna. Реестр не превращает шаблонную библиотечную инструкцию в подтверждённую выдачу конкретной рукописи.</w:t>
      </w:r>
      <w:r>
        <w:t xml:space="preserve"> </w:t>
      </w:r>
      <w:hyperlink r:id="rId33">
        <w:r>
          <w:rPr>
            <w:color w:val="185D73"/>
          </w:rPr>
          <w:t>[27]</w:t>
        </w:r>
      </w:hyperlink>
    </w:p>
    <w:p>
      <w:pPr>
        <w:pStyle w:val="Heading2"/>
      </w:pPr>
      <w:r>
        <w:t>«Открыто» не всегда означает одно и то же</w:t>
      </w:r>
    </w:p>
    <w:p>
      <w:r>
        <w:t>ReadMichigan — географически ограниченное бесплатное чтение, а не открытая лицензия. Tanzil заявляет CC BY 3.0, но одновременно запрещает менять текст: запись сохраняет обе формулировки и рекомендует лишь неизменное воспроизведение в их пределах, не переименовывая комбинацию в CC BY-ND. Статья LREC имеет собственные условия публикации; они не переносятся на изображения и транскрипции Zenodo.</w:t>
      </w:r>
      <w:r>
        <w:t xml:space="preserve"> </w:t>
      </w:r>
      <w:hyperlink r:id="rId26">
        <w:r>
          <w:rPr>
            <w:color w:val="185D73"/>
          </w:rPr>
          <w:t>[12]</w:t>
        </w:r>
      </w:hyperlink>
      <w:r>
        <w:t xml:space="preserve"> </w:t>
      </w:r>
      <w:hyperlink r:id="rId21">
        <w:r>
          <w:rPr>
            <w:color w:val="185D73"/>
          </w:rPr>
          <w:t>[21]</w:t>
        </w:r>
      </w:hyperlink>
      <w:r>
        <w:t xml:space="preserve"> </w:t>
      </w:r>
      <w:hyperlink r:id="rId34">
        <w:r>
          <w:rPr>
            <w:color w:val="185D73"/>
          </w:rPr>
          <w:t>[23]</w:t>
        </w:r>
      </w:hyperlink>
    </w:p>
    <w:p>
      <w:r>
        <w:t>В карточках старых сканов Internet Archive опора — институциональный вклад и item-level US statement, а не само присутствие на платформе. Обозначение cdl в происхождении одного скана относится к California Digital Library и не служит доказательством Controlled Digital Lending. Надёжно подтверждённого CDL-пути к основным современным изданиям в этом запуске не найдено.</w:t>
      </w:r>
      <w:r>
        <w:t xml:space="preserve"> </w:t>
      </w:r>
      <w:hyperlink r:id="rId29">
        <w:r>
          <w:rPr>
            <w:color w:val="185D73"/>
          </w:rPr>
          <w:t>[16]</w:t>
        </w:r>
      </w:hyperlink>
      <w:r>
        <w:t xml:space="preserve"> </w:t>
      </w:r>
      <w:hyperlink r:id="rId30">
        <w:r>
          <w:rPr>
            <w:color w:val="185D73"/>
          </w:rPr>
          <w:t>[17]</w:t>
        </w:r>
      </w:hyperlink>
    </w:p>
    <w:p>
      <w:pPr>
        <w:pStyle w:val="Heading2"/>
      </w:pPr>
      <w:r>
        <w:t>Технический сбой не равен отсутствию произведения</w:t>
      </w:r>
    </w:p>
    <w:p>
      <w:r>
        <w:t>OpenBU часто возвращал 403; EAP показывал техническую страницу; отдельные Northwestern-viewers также не открылись, а LREC PDF дал 502. Уменьшенные факсимиле Mombeya и Godaben превышали лимит web-инструмента. Эти ситуации различены в verification_status. Наличие ссылки, фактическое открытие PDF и чтение всех его страниц — три разных уровня проверки. Ни один большой корпус не объявлен целиком прочитанным или полностью доступным по одной карточке.</w:t>
      </w:r>
    </w:p>
    <w:p>
      <w:pPr>
        <w:pStyle w:val="Heading1"/>
      </w:pPr>
      <w:r>
        <w:t>6. Пробелы и дальнейший поиск</w:t>
      </w:r>
    </w:p>
    <w:p>
      <w:r>
        <w:t>Лист gaps содержит 32 конкретные позиции: центральные неоткрывшиеся свидетели, неустановленные лицензии, неполные циклы, дополнительные архивные объекты и слабые библиографические кандидаты. Основные ограничения — четыре OpenBU-якоря, полный Oogirde, остаток Infirāji, полные выпуски Ndigël, весь сборник биографий 2015 года, изображения EAP334/EAP535, item-level состав EAP1430 и право использования HTR-пакета.</w:t>
      </w:r>
    </w:p>
    <w:p>
      <w:r>
        <w:t>Русские переводы основных первичных произведений в проведённых запросах надёжно не установлены. Это не доказательство их отсутствия. Для La Femme, la Vache, la Foi, Chroniques et récits historiques du Fouta-Djalon и предполагаемого Yale-материала Deftere Futtorde не получено достаточной item-level идентификации: они помечены unverified_candidate и не включены в основной реестр как установленные произведения. Диаспорная Ajami-линия также сохранена в gaps, без подмены её любыми арабскими рукописями африканцев.</w:t>
      </w:r>
    </w:p>
    <w:p>
      <w:pPr>
        <w:pStyle w:val="Heading2"/>
      </w:pPr>
      <w:r>
        <w:t>Восемь приоритетных направлений</w:t>
      </w:r>
    </w:p>
    <w:p>
      <w:pPr>
        <w:pStyle w:val="Heading2"/>
      </w:pPr>
      <w:r>
        <w:t>1 · Закрыть четыре центральных OpenBU-входа</w:t>
      </w:r>
    </w:p>
    <w:p>
      <w:r>
        <w:t>Повторить item/handle-проверку Faamugol, Al-Qaṣāʾid, Hisneki и Deftere Ḥajj; получить состав, колофоны, весь файл и item-level права. Приоритет — не собирать новые общие порталы.</w:t>
      </w:r>
    </w:p>
    <w:p>
      <w:pPr>
        <w:pStyle w:val="Heading2"/>
      </w:pPr>
      <w:r>
        <w:t>2 · Сверить Mombeya и полное издание</w:t>
      </w:r>
    </w:p>
    <w:p>
      <w:r>
        <w:t>Сопоставить Oogirde, Faamugol и Mantugol по началу, концу и структуре, затем искать законный полный Sow 1971. Два похожих названия не склеивать автоматически.</w:t>
      </w:r>
    </w:p>
    <w:p>
      <w:pPr>
        <w:pStyle w:val="Heading2"/>
      </w:pPr>
      <w:r>
        <w:t>3 · Продолжить циклы и печатную передачу</w:t>
      </w:r>
    </w:p>
    <w:p>
      <w:r>
        <w:t>Искать Infirāji 3–9, полную периодику Ndigël и Jaar-Jaari Magi Murid yi 2015; отделять права уже открытых отрывков от остальной книги.</w:t>
      </w:r>
    </w:p>
    <w:p>
      <w:pPr>
        <w:pStyle w:val="Heading2"/>
      </w:pPr>
      <w:r>
        <w:t>4 · Перейти от BL-описаний к самим свидетелям</w:t>
      </w:r>
    </w:p>
    <w:p>
      <w:r>
        <w:t>Проверить EAP334/6/4, /13/2, /6/5 и Hausa EAP535; сохранить права изображений, фактическую полноту и реальные IIIF manifests, если они доступны.</w:t>
      </w:r>
    </w:p>
    <w:p>
      <w:pPr>
        <w:pStyle w:val="Heading2"/>
      </w:pPr>
      <w:r>
        <w:t>5 · Разобрать новый архив Fuuta Jalon</w:t>
      </w:r>
    </w:p>
    <w:p>
      <w:r>
        <w:t>Обойти EAP1430 по коллекциям, отделить Arabic от Pular/Ajami и каталогизировать новые тексты. Официальные 52 415 страниц — задача последующего обследования, а не уже проверенный ресурс.</w:t>
      </w:r>
    </w:p>
    <w:p>
      <w:pPr>
        <w:pStyle w:val="Heading2"/>
      </w:pPr>
      <w:r>
        <w:t>6 · Проверить лицензирование машинного пакета</w:t>
      </w:r>
    </w:p>
    <w:p>
      <w:r>
        <w:t>Изучить LICENSE/README и provenance каждого языкового ZIP, связь с BU, Arewa House и HMML; отделить manual от automatic и лицензию статьи от лицензии данных.</w:t>
      </w:r>
    </w:p>
    <w:p>
      <w:pPr>
        <w:pStyle w:val="Heading2"/>
      </w:pPr>
      <w:r>
        <w:t>7 · Уточнить входящие тексты и ранние свидетельства</w:t>
      </w:r>
    </w:p>
    <w:p>
      <w:r>
        <w:t>Найти чистые арабские версии Bamba, полный Konduga и конкретные tafsir-источники его глосс; отдельно проверять самые ранние колофоны Hausa/Fula/Wolof.</w:t>
      </w:r>
    </w:p>
    <w:p>
      <w:pPr>
        <w:pStyle w:val="Heading2"/>
      </w:pPr>
      <w:r>
        <w:t>8 · Достроить библиотечные и переводные маршруты</w:t>
      </w:r>
    </w:p>
    <w:p>
      <w:r>
        <w:t>Проверить SOAS/Boyd, альтернативный Bagauda, русские академические антологии и item-level Readers in Ajami. Покупки, регистрации и обращения от имени пользователя не выполнялись.</w:t>
      </w:r>
    </w:p>
    <w:p>
      <w:r>
        <w:t>Охват не назван исчерпывающим: после завершения проверенного NEH-среза новые кандидаты всё ещё появлялись в больших архивах. Массовое чтение EAP1430, закрытых viewers и больших ZIP не завершено. В gaps сохранены конкретные продолжения, чтобы ограничение исследования не выглядело как отсутствие корпуса.</w:t>
      </w:r>
      <w:r>
        <w:t xml:space="preserve"> </w:t>
      </w:r>
      <w:hyperlink r:id="rId24">
        <w:r>
          <w:rPr>
            <w:color w:val="185D73"/>
          </w:rPr>
          <w:t>[22]</w:t>
        </w:r>
      </w:hyperlink>
      <w:r>
        <w:t xml:space="preserve"> </w:t>
      </w:r>
      <w:hyperlink r:id="rId35">
        <w:r>
          <w:rPr>
            <w:color w:val="185D73"/>
          </w:rPr>
          <w:t>[24]</w:t>
        </w:r>
      </w:hyperlink>
      <w:r>
        <w:t xml:space="preserve"> </w:t>
      </w:r>
      <w:hyperlink r:id="rId36">
        <w:r>
          <w:rPr>
            <w:color w:val="185D73"/>
          </w:rPr>
          <w:t>[26]</w:t>
        </w:r>
      </w:hyperlink>
      <w:r>
        <w:t xml:space="preserve"> </w:t>
      </w:r>
      <w:hyperlink r:id="rId37">
        <w:r>
          <w:rPr>
            <w:color w:val="185D73"/>
          </w:rPr>
          <w:t>[28]</w:t>
        </w:r>
      </w:hyperlink>
    </w:p>
    <w:p>
      <w:pPr>
        <w:pStyle w:val="Heading1"/>
      </w:pPr>
      <w:r>
        <w:t>7. Итоговая оценка</w:t>
      </w:r>
    </w:p>
    <w:p>
      <w:r>
        <w:t>Покрытие хорошо для первого содержательного входа в три целевые письменные зоны и особенно сильно для параллельного чтения оригинала, латинской транскрипции и EN/FR. Оно существенно расширяет DR за счёт отдельных дидактических, исторических, женских, документальных и печатных текстов, не превращаясь в общую библиографию Западной Африки.</w:t>
      </w:r>
    </w:p>
    <w:p>
      <w:r>
        <w:t>Оригиналы представлены прежде всего опубликованными свидетелями и отрывками; полная рукописная традиция не охвачена. Переводы доступны лучше всего в редакторском срезе NEH, тогда как полные критические собрания и некоторые центральные AAL-якоря остаются ограниченными. Наиболее свободный слой — конкретные Met OA-изображения и BL-метаданные; наиболее полезный некоммерческий текстовый слой — NEH. Главные ограничения сосредоточены в правах полных современных изданий, изображениях крупных архивов и HTR-пакете.</w:t>
      </w:r>
    </w:p>
    <w:p>
      <w:r>
        <w:t>Пакет пригоден для передачи Codex как исследовательский реестр: сохранены стабильные шифры, версии, языки, маршруты доступа, полнота, четыре уровня прав и условия собственных переводов. Он не является машинным списком безусловных разрешений. Любое автоматическое использование должно учитывать одновременно tos_use, rights_scope, coverage, verification_status и notes. Строка T2-53 и статус B оставлены без изменения.</w:t>
      </w:r>
    </w:p>
    <w:p>
      <w:pPr>
        <w:pStyle w:val="Heading2"/>
      </w:pPr>
      <w:r>
        <w:t>Опорные источники</w:t>
      </w:r>
    </w:p>
    <w:p>
      <w:pPr>
        <w:pStyle w:val="Caption"/>
      </w:pPr>
      <w:r>
        <w:t>Ниже — источники выводов отчёта. Полные item-level адреса для каждой находки и её правового обоснования находятся в XLSX. Названия в списке кликабельны; все веб-проверки относятся к 05.09.2026.</w:t>
      </w:r>
    </w:p>
    <w:p>
      <w:pPr>
        <w:spacing w:after="100" w:line="245" w:lineRule="auto"/>
      </w:pPr>
      <w:r>
        <w:rPr>
          <w:b/>
          <w:sz w:val="18"/>
        </w:rPr>
        <w:t xml:space="preserve">[1] </w:t>
      </w:r>
      <w:r>
        <w:rPr>
          <w:sz w:val="18"/>
        </w:rPr>
        <w:t>Исходный DR: «ToS Deep Research: T2-53 — Западноафриканские Ajami-зоны как письменный мост». Прикреплённый DOCX; разделы идентификации, корпусов и источников.</w:t>
      </w:r>
    </w:p>
    <w:p>
      <w:pPr>
        <w:spacing w:after="100" w:line="245" w:lineRule="auto"/>
      </w:pPr>
      <w:r>
        <w:rPr>
          <w:b/>
          <w:sz w:val="18"/>
        </w:rPr>
        <w:t xml:space="preserve">[2] </w:t>
      </w:r>
      <w:hyperlink r:id="rId11">
        <w:r>
          <w:rPr>
            <w:color w:val="185D73"/>
            <w:sz w:val="18"/>
          </w:rPr>
          <w:t>Boston University. NEH Ajami: Hausa Manuscripts — 20 текстовых досье.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[3] </w:t>
      </w:r>
      <w:hyperlink r:id="rId12">
        <w:r>
          <w:rPr>
            <w:color w:val="185D73"/>
            <w:sz w:val="18"/>
          </w:rPr>
          <w:t>Boston University. NEH Ajami: Fula Manuscripts — 20 текстовых досье.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[4] </w:t>
      </w:r>
      <w:hyperlink r:id="rId13">
        <w:r>
          <w:rPr>
            <w:color w:val="185D73"/>
            <w:sz w:val="18"/>
          </w:rPr>
          <w:t>Boston University. NEH Ajami: Wolof Manuscripts — 20 текстовых досье.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[5] </w:t>
      </w:r>
      <w:hyperlink r:id="rId14">
        <w:r>
          <w:rPr>
            <w:color w:val="185D73"/>
            <w:sz w:val="18"/>
          </w:rPr>
          <w:t>NEH Ajami. Mantugol Nelaaɗo 1: идентификация отрывка Oogirde Malal, ресурсы и CC BY-NC 4.0.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[6] </w:t>
      </w:r>
      <w:hyperlink r:id="rId25">
        <w:r>
          <w:rPr>
            <w:color w:val="185D73"/>
            <w:sz w:val="18"/>
          </w:rPr>
          <w:t>NEH Ajami. Godaben Gaskiya: Nana Asma’u, Hunwick 95, ресурсы и CC BY-NC 4.0.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[7] </w:t>
      </w:r>
      <w:hyperlink r:id="rId15">
        <w:r>
          <w:rPr>
            <w:color w:val="185D73"/>
            <w:sz w:val="18"/>
          </w:rPr>
          <w:t>NEH Ajami. Soxna Asta Waalo Mbakke: источник 2015 года и ссылка на Dalāʾil al-khayrāt.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[8] </w:t>
      </w:r>
      <w:hyperlink r:id="rId16">
        <w:r>
          <w:rPr>
            <w:color w:val="185D73"/>
            <w:sz w:val="18"/>
          </w:rPr>
          <w:t>British Library. Ay Qasiday Wolof ak Arab, EAP334/13/2; каталог и языковой состав.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[9] </w:t>
      </w:r>
      <w:hyperlink r:id="rId17">
        <w:r>
          <w:rPr>
            <w:color w:val="185D73"/>
            <w:sz w:val="18"/>
          </w:rPr>
          <w:t>British Library. Majmu’a al-Wolofiyya, EAP334/6/4; каталог и CC BY для текста карточки.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[10] </w:t>
      </w:r>
      <w:hyperlink r:id="rId18">
        <w:r>
          <w:rPr>
            <w:color w:val="185D73"/>
            <w:sz w:val="18"/>
          </w:rPr>
          <w:t>British Library. Alxuraan bu ñu tekki ci Wolof, EAP334/6/5; Deme и копия 1961 года.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[11] </w:t>
      </w:r>
      <w:hyperlink r:id="rId22">
        <w:r>
          <w:rPr>
            <w:color w:val="185D73"/>
            <w:sz w:val="18"/>
          </w:rPr>
          <w:t>Michigan State University Press. Collected Works of Nana Asma’u. Boyd &amp; Mack, 1997; ISBN 9780870134753.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[12] </w:t>
      </w:r>
      <w:hyperlink r:id="rId26">
        <w:r>
          <w:rPr>
            <w:color w:val="185D73"/>
            <w:sz w:val="18"/>
          </w:rPr>
          <w:t>Library of Michigan. Официальное описание географического доступа ReadMichigan, 25.01.2022.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[13] </w:t>
      </w:r>
      <w:hyperlink r:id="rId23">
        <w:r>
          <w:rPr>
            <w:color w:val="185D73"/>
            <w:sz w:val="18"/>
          </w:rPr>
          <w:t>Bibliothèques de Grenoble. Le Filon du bonheur éternel / Oogirde Malal. Éd. Alfa Ibrahima Sow, 1971.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[14] </w:t>
      </w:r>
      <w:hyperlink r:id="rId27">
        <w:r>
          <w:rPr>
            <w:color w:val="185D73"/>
            <w:sz w:val="18"/>
          </w:rPr>
          <w:t>Cambridge / BSOAS. Hiskett, The Song of Bagauda, I (1964), DOI 10.1017/S0041977X00118373; части II–III — R268–R269.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[15] </w:t>
      </w:r>
      <w:hyperlink r:id="rId28">
        <w:r>
          <w:rPr>
            <w:color w:val="185D73"/>
            <w:sz w:val="18"/>
          </w:rPr>
          <w:t>Cambridge / BSOAS. Hiskett, The Arab Star-Calendar and Planetary System in Hausa Verse (1967), DOI 10.1017/S0041977X00099183.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[16] </w:t>
      </w:r>
      <w:hyperlink r:id="rId29">
        <w:r>
          <w:rPr>
            <w:color w:val="185D73"/>
            <w:sz w:val="18"/>
          </w:rPr>
          <w:t>Internet Archive / University of California. Robinson, Specimens of Hausa Literature (1896); US rights statement.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[17] </w:t>
      </w:r>
      <w:hyperlink r:id="rId30">
        <w:r>
          <w:rPr>
            <w:color w:val="185D73"/>
            <w:sz w:val="18"/>
          </w:rPr>
          <w:t>Internet Archive / Robarts, University of Toronto. Rattray, Hausa Folk-Lore, vol. 1 (1913); том 2 — R271.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[18] </w:t>
      </w:r>
      <w:hyperlink r:id="rId19">
        <w:r>
          <w:rPr>
            <w:color w:val="185D73"/>
            <w:sz w:val="18"/>
          </w:rPr>
          <w:t>Metropolitan Museum of Art. Dalāʾil al-khayrāt, 1625–26, accession 2017.301; item Public Domain.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[19] </w:t>
      </w:r>
      <w:hyperlink r:id="rId31">
        <w:r>
          <w:rPr>
            <w:color w:val="185D73"/>
            <w:sz w:val="18"/>
          </w:rPr>
          <w:t>Metropolitan Museum of Art. Open Access: CC0 для OA-изображений и базовых данных.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[20] </w:t>
      </w:r>
      <w:hyperlink r:id="rId20">
        <w:r>
          <w:rPr>
            <w:color w:val="185D73"/>
            <w:sz w:val="18"/>
          </w:rPr>
          <w:t>CSMC, Universität Hamburg. The Oldest Dated Manuscript of the Qur’an from Sub-Saharan Africa: Konduga и Old Kanembu.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[21] </w:t>
      </w:r>
      <w:hyperlink r:id="rId21">
        <w:r>
          <w:rPr>
            <w:color w:val="185D73"/>
            <w:sz w:val="18"/>
          </w:rPr>
          <w:t>Tanzil. Text License: заявленная CC BY 3.0 и дополнительные условия неизменности текста.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[22] </w:t>
      </w:r>
      <w:hyperlink r:id="rId24">
        <w:r>
          <w:rPr>
            <w:color w:val="185D73"/>
            <w:sz w:val="18"/>
          </w:rPr>
          <w:t>Zenodo. Ajami Handwritten Text Recognition Dataset, v2, 30.05.2026. DOI 10.5281/zenodo.20392539.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[23] </w:t>
      </w:r>
      <w:hyperlink r:id="rId34">
        <w:r>
          <w:rPr>
            <w:color w:val="185D73"/>
            <w:sz w:val="18"/>
          </w:rPr>
          <w:t>LREC 2026. A Dataset of Wolof Ajami Manuscripts for HTR and OCR. DOI 10.63317/4pz98ojeeqpw.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[24] </w:t>
      </w:r>
      <w:hyperlink r:id="rId35">
        <w:r>
          <w:rPr>
            <w:color w:val="185D73"/>
            <w:sz w:val="18"/>
          </w:rPr>
          <w:t>Boston University. Завершение EAP1430: 49 коллекций и 52 415 страниц, 17.02.2026.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[25] </w:t>
      </w:r>
      <w:hyperlink r:id="rId32">
        <w:r>
          <w:rPr>
            <w:color w:val="185D73"/>
            <w:sz w:val="18"/>
          </w:rPr>
          <w:t>Creative Commons. CC BY-NC 4.0: копирование, адаптация, атрибуция и некоммерческое использование.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[26] </w:t>
      </w:r>
      <w:hyperlink r:id="rId36">
        <w:r>
          <w:rPr>
            <w:color w:val="185D73"/>
            <w:sz w:val="18"/>
          </w:rPr>
          <w:t>Northwestern University Libraries. Digital Collections: Arabic Manuscripts from West Africa.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[27] </w:t>
      </w:r>
      <w:hyperlink r:id="rId33">
        <w:r>
          <w:rPr>
            <w:color w:val="185D73"/>
            <w:sz w:val="18"/>
          </w:rPr>
          <w:t>British Library. Hausa poetry by S. Zazzau dan Sidi, EAP535/1/2/2/17, 1910.</w:t>
        </w:r>
      </w:hyperlink>
    </w:p>
    <w:p>
      <w:pPr>
        <w:spacing w:after="100" w:line="245" w:lineRule="auto"/>
      </w:pPr>
      <w:r>
        <w:rPr>
          <w:b/>
          <w:sz w:val="18"/>
        </w:rPr>
        <w:t xml:space="preserve">[28] </w:t>
      </w:r>
      <w:hyperlink r:id="rId37">
        <w:r>
          <w:rPr>
            <w:color w:val="185D73"/>
            <w:sz w:val="18"/>
          </w:rPr>
          <w:t>Boston University. Readers in Ajami — описание педагогического проекта.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T2-53  •  05.09.2026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  <w:pBdr>
        <w:bottom w:val="single" w:sz="5" w:color="88A3AA" w:space="5"/>
      </w:pBdr>
    </w:pPr>
    <w:r>
      <w:t>ДРЕВО СОФИИ  /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DejaVu Sans" w:hAnsi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85D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285D5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DejaVu Sans" w:hAnsi="DejaVu Sans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DejaVu Sans" w:hAnsi="DejaVu Sans"/>
      <w:i/>
      <w:iCs/>
      <w:color w:val="4260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DejaVu Sans" w:hAnsi="DejaVu Sans"/>
      <w:b/>
      <w:bCs/>
      <w:color w:val="5266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ites.bu.edu/nehajami/the-four-languages/hausa/hausa-manuscripts/" TargetMode="External"/><Relationship Id="rId12" Type="http://schemas.openxmlformats.org/officeDocument/2006/relationships/hyperlink" Target="https://sites.bu.edu/nehajami/the-four-languages/fula/fula-manuscripts/" TargetMode="External"/><Relationship Id="rId13" Type="http://schemas.openxmlformats.org/officeDocument/2006/relationships/hyperlink" Target="https://sites.bu.edu/nehajami/the-four-languages/wolof/wolof-manuscripts/" TargetMode="External"/><Relationship Id="rId14" Type="http://schemas.openxmlformats.org/officeDocument/2006/relationships/hyperlink" Target="https://sites.bu.edu/nehajami/the-four-languages/fula/fula-manuscripts/mantugol-nelaado-1/" TargetMode="External"/><Relationship Id="rId15" Type="http://schemas.openxmlformats.org/officeDocument/2006/relationships/hyperlink" Target="https://sites.bu.edu/nehajami/the-four-languages/wolof/wolof-manuscripts/soxna-asta-waalo-mbakke/" TargetMode="External"/><Relationship Id="rId16" Type="http://schemas.openxmlformats.org/officeDocument/2006/relationships/hyperlink" Target="https://searcharchives.bl.uk/catalog/040-002501007" TargetMode="External"/><Relationship Id="rId17" Type="http://schemas.openxmlformats.org/officeDocument/2006/relationships/hyperlink" Target="https://searcharchives.bl.uk/catalog/040-002500989" TargetMode="External"/><Relationship Id="rId18" Type="http://schemas.openxmlformats.org/officeDocument/2006/relationships/hyperlink" Target="https://searcharchives.bl.uk/catalog/040-002500990" TargetMode="External"/><Relationship Id="rId19" Type="http://schemas.openxmlformats.org/officeDocument/2006/relationships/hyperlink" Target="https://www.metmuseum.org/art/collection/search/752280" TargetMode="External"/><Relationship Id="rId20" Type="http://schemas.openxmlformats.org/officeDocument/2006/relationships/hyperlink" Target="https://www.csmc.uni-hamburg.de/publications/aom/mom/19-en.html" TargetMode="External"/><Relationship Id="rId21" Type="http://schemas.openxmlformats.org/officeDocument/2006/relationships/hyperlink" Target="https://tanzil.net/docs/text_license" TargetMode="External"/><Relationship Id="rId22" Type="http://schemas.openxmlformats.org/officeDocument/2006/relationships/hyperlink" Target="https://msupress.org/9780870134753/collected-works-of-nana-asmau/" TargetMode="External"/><Relationship Id="rId23" Type="http://schemas.openxmlformats.org/officeDocument/2006/relationships/hyperlink" Target="https://bm-grenoble.fr/detailstatic.aspx?RSC_BASE=SYRACUSE&amp;RSC_DOCID=492890&amp;TITLE=le-filon-du-bonheur-eternel-oogirde-malal-par-tierno-mouhammadou-samba-mombeya-edite-par-alfa-ibrahi&amp;_lg=fr-FR" TargetMode="External"/><Relationship Id="rId24" Type="http://schemas.openxmlformats.org/officeDocument/2006/relationships/hyperlink" Target="https://zenodo.org/records/20392539" TargetMode="External"/><Relationship Id="rId25" Type="http://schemas.openxmlformats.org/officeDocument/2006/relationships/hyperlink" Target="https://sites.bu.edu/nehajami/the-four-languages/hausa/hausa-manuscripts/hunwick-95-1-godaben-gaskiya/" TargetMode="External"/><Relationship Id="rId26" Type="http://schemas.openxmlformats.org/officeDocument/2006/relationships/hyperlink" Target="https://www.michigan.gov/libraryofmichigan/about/library-press-releases/lm-launches-unique-statewide-ebook-project-with-university-presses" TargetMode="External"/><Relationship Id="rId27" Type="http://schemas.openxmlformats.org/officeDocument/2006/relationships/hyperlink" Target="https://www.cambridge.org/core/journals/bulletin-of-the-school-of-oriental-and-african-studies/article/abs/song-of-bagauda-a-hausa-king-list-and-homily-in-versei/C8CB788001097F422CF5A173816615BC" TargetMode="External"/><Relationship Id="rId28" Type="http://schemas.openxmlformats.org/officeDocument/2006/relationships/hyperlink" Target="https://www.cambridge.org/core/journals/bulletin-of-the-school-of-oriental-and-african-studies/article/abs/arab-starcalendar-and-planetary-system-in-hausa-verse/AA36078C8CF416FC8ABE7C823EAAD548" TargetMode="External"/><Relationship Id="rId29" Type="http://schemas.openxmlformats.org/officeDocument/2006/relationships/hyperlink" Target="https://archive.org/details/specimensofhausa00robirich" TargetMode="External"/><Relationship Id="rId30" Type="http://schemas.openxmlformats.org/officeDocument/2006/relationships/hyperlink" Target="https://archive.org/details/hausafolklorecus01rattuoft" TargetMode="External"/><Relationship Id="rId31" Type="http://schemas.openxmlformats.org/officeDocument/2006/relationships/hyperlink" Target="https://www.metmuseum.org/hubs/open-access" TargetMode="External"/><Relationship Id="rId32" Type="http://schemas.openxmlformats.org/officeDocument/2006/relationships/hyperlink" Target="https://creativecommons.org/licenses/by-nc/4.0/" TargetMode="External"/><Relationship Id="rId33" Type="http://schemas.openxmlformats.org/officeDocument/2006/relationships/hyperlink" Target="https://searcharchives.bl.uk/catalog/040-002750874" TargetMode="External"/><Relationship Id="rId34" Type="http://schemas.openxmlformats.org/officeDocument/2006/relationships/hyperlink" Target="https://lrec.elra.info/lrec2026-main-253" TargetMode="External"/><Relationship Id="rId35" Type="http://schemas.openxmlformats.org/officeDocument/2006/relationships/hyperlink" Target="https://sites.bu.edu/nehajami/2026/02/17/completing-the-largest-digital-archive-of-fuuta-jalon-scholars-arabic-and-ajami-manuscripts/" TargetMode="External"/><Relationship Id="rId36" Type="http://schemas.openxmlformats.org/officeDocument/2006/relationships/hyperlink" Target="https://www.library.northwestern.edu/libraries-collections/distinctive-special-collections/herskovits-library/collection/digital-collections.html" TargetMode="External"/><Relationship Id="rId37" Type="http://schemas.openxmlformats.org/officeDocument/2006/relationships/hyperlink" Target="https://sites.bu.edu/ri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T2-53</dc:title>
  <dc:subject>Западноафриканские Ajami-зоны как письменный мост</dc:subject>
  <dc:creator>ToS / Древо Софии</dc:creator>
  <cp:keywords>T2-53; Ajami; Hausa; Pular; Fulfulde; Wolofal; corpus; rights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