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T2-45 • Даосская канонизация,</w:t>
        <w:br/>
        <w:t>ритуальная космология и внутренние алхимии</w:t>
      </w:r>
    </w:p>
    <w:p>
      <w:pPr>
        <w:pStyle w:val="Caption"/>
      </w:pPr>
      <w:r>
        <w:t>Карта чтения, скачивания, переводов, свидетелей и условий повторного использования.</w:t>
      </w:r>
    </w:p>
    <w:p>
      <w:pPr>
        <w:pStyle w:val="Heading1"/>
      </w:pPr>
      <w:r>
        <w:t>1. Паспорт</w:t>
      </w:r>
    </w:p>
    <w:tbl>
      <w:tblPr>
        <w:tblW w:type="auto" w:w="0"/>
        <w:jc w:val="center"/>
        <w:tblLayout w:type="fixed"/>
        <w:tblLook w:firstColumn="1" w:firstRow="1" w:lastColumn="0" w:lastRow="0" w:noHBand="0" w:noVBand="1" w:val="04A0"/>
      </w:tblPr>
      <w:tblGrid>
        <w:gridCol w:w="2154"/>
        <w:gridCol w:w="7597"/>
      </w:tblGrid>
      <w:tr>
        <w:trPr>
          <w:tblHeader/>
        </w:trPr>
        <w:tc>
          <w:tcPr>
            <w:tcW w:type="dxa" w:w="4876"/>
            <w:shd w:fill="213B4A"/>
            <w:vAlign w:val="top"/>
          </w:tcPr>
          <w:p>
            <w:pPr>
              <w:spacing w:after="80" w:line="245" w:lineRule="auto"/>
            </w:pPr>
            <w:r>
              <w:rPr>
                <w:b/>
                <w:color w:val="FFFFFF"/>
                <w:sz w:val="20"/>
              </w:rPr>
              <w:t>Параметр</w:t>
            </w:r>
          </w:p>
        </w:tc>
        <w:tc>
          <w:tcPr>
            <w:tcW w:type="dxa" w:w="4876"/>
            <w:shd w:fill="213B4A"/>
            <w:vAlign w:val="top"/>
          </w:tcPr>
          <w:p>
            <w:pPr>
              <w:spacing w:after="80" w:line="245" w:lineRule="auto"/>
            </w:pPr>
            <w:r>
              <w:rPr>
                <w:b/>
                <w:color w:val="FFFFFF"/>
                <w:sz w:val="20"/>
              </w:rPr>
              <w:t>Зафиксированное значение</w:t>
            </w:r>
          </w:p>
        </w:tc>
      </w:tr>
      <w:tr>
        <w:trPr>
          <w:cantSplit/>
        </w:trPr>
        <w:tc>
          <w:tcPr>
            <w:tcW w:type="dxa" w:w="2154"/>
            <w:shd w:fill="F0F5F6"/>
            <w:vAlign w:val="top"/>
          </w:tcPr>
          <w:p>
            <w:pPr>
              <w:spacing w:after="80" w:line="245" w:lineRule="auto"/>
            </w:pPr>
            <w:r>
              <w:rPr>
                <w:sz w:val="20"/>
              </w:rPr>
              <w:t>Мастер-строка</w:t>
            </w:r>
          </w:p>
        </w:tc>
        <w:tc>
          <w:tcPr>
            <w:tcW w:type="dxa" w:w="7597"/>
            <w:shd w:fill="F0F5F6"/>
            <w:vAlign w:val="top"/>
          </w:tcPr>
          <w:p>
            <w:pPr>
              <w:spacing w:after="80" w:line="245" w:lineRule="auto"/>
            </w:pPr>
            <w:r>
              <w:rPr>
                <w:sz w:val="20"/>
              </w:rPr>
              <w:t>Таблица II · T2-45 · исходный статус B · уверенность 3/5. Не изменены.</w:t>
            </w:r>
          </w:p>
        </w:tc>
      </w:tr>
      <w:tr>
        <w:trPr>
          <w:cantSplit/>
        </w:trPr>
        <w:tc>
          <w:tcPr>
            <w:tcW w:type="dxa" w:w="2154"/>
            <w:vAlign w:val="top"/>
          </w:tcPr>
          <w:p>
            <w:pPr>
              <w:spacing w:after="80" w:line="245" w:lineRule="auto"/>
            </w:pPr>
            <w:r>
              <w:rPr>
                <w:sz w:val="20"/>
              </w:rPr>
              <w:t>Временной фокус</w:t>
            </w:r>
          </w:p>
        </w:tc>
        <w:tc>
          <w:tcPr>
            <w:tcW w:type="dxa" w:w="7597"/>
            <w:vAlign w:val="top"/>
          </w:tcPr>
          <w:p>
            <w:pPr>
              <w:spacing w:after="80" w:line="245" w:lineRule="auto"/>
            </w:pPr>
            <w:r>
              <w:rPr>
                <w:sz w:val="20"/>
              </w:rPr>
              <w:t>Формирование IV–X вв.; фиксация V–XIII вв.; канонизация/комментарий X–XV вв. Рабочее историческое ядро DR: IV–XV вв.</w:t>
            </w:r>
          </w:p>
        </w:tc>
      </w:tr>
      <w:tr>
        <w:trPr>
          <w:cantSplit/>
        </w:trPr>
        <w:tc>
          <w:tcPr>
            <w:tcW w:type="dxa" w:w="2154"/>
            <w:shd w:fill="F0F5F6"/>
            <w:vAlign w:val="top"/>
          </w:tcPr>
          <w:p>
            <w:pPr>
              <w:spacing w:after="80" w:line="245" w:lineRule="auto"/>
            </w:pPr>
            <w:r>
              <w:rPr>
                <w:sz w:val="20"/>
              </w:rPr>
              <w:t>Исходный документ</w:t>
            </w:r>
          </w:p>
        </w:tc>
        <w:tc>
          <w:tcPr>
            <w:tcW w:type="dxa" w:w="7597"/>
            <w:shd w:fill="F0F5F6"/>
            <w:vAlign w:val="top"/>
          </w:tcPr>
          <w:p>
            <w:pPr>
              <w:spacing w:after="80" w:line="245" w:lineRule="auto"/>
            </w:pPr>
            <w:r>
              <w:rPr>
                <w:sz w:val="20"/>
              </w:rPr>
              <w:t>ToS Deep Research_ T2-45 — Даосская канонизация, ритуальная космология и внутренние алхимии(1).docx; паспорт и корпусные таблицы, с. 1–5, 11–17, 48–53.</w:t>
            </w:r>
          </w:p>
        </w:tc>
      </w:tr>
      <w:tr>
        <w:trPr>
          <w:cantSplit/>
        </w:trPr>
        <w:tc>
          <w:tcPr>
            <w:tcW w:type="dxa" w:w="2154"/>
            <w:vAlign w:val="top"/>
          </w:tcPr>
          <w:p>
            <w:pPr>
              <w:spacing w:after="80" w:line="245" w:lineRule="auto"/>
            </w:pPr>
            <w:r>
              <w:rPr>
                <w:sz w:val="20"/>
              </w:rPr>
              <w:t>Проверка</w:t>
            </w:r>
          </w:p>
        </w:tc>
        <w:tc>
          <w:tcPr>
            <w:tcW w:type="dxa" w:w="7597"/>
            <w:vAlign w:val="top"/>
          </w:tcPr>
          <w:p>
            <w:pPr>
              <w:spacing w:after="80" w:line="245" w:lineRule="auto"/>
            </w:pPr>
            <w:r>
              <w:rPr>
                <w:sz w:val="20"/>
              </w:rPr>
              <w:t>04.09.2026. Статусы относятся к наблюдавшемуся доступу, а не к гарантии его будущей доступности.</w:t>
            </w:r>
          </w:p>
        </w:tc>
      </w:tr>
      <w:tr>
        <w:trPr>
          <w:cantSplit/>
        </w:trPr>
        <w:tc>
          <w:tcPr>
            <w:tcW w:type="dxa" w:w="2154"/>
            <w:shd w:fill="F0F5F6"/>
            <w:vAlign w:val="top"/>
          </w:tcPr>
          <w:p>
            <w:pPr>
              <w:spacing w:after="80" w:line="245" w:lineRule="auto"/>
            </w:pPr>
            <w:r>
              <w:rPr>
                <w:sz w:val="20"/>
              </w:rPr>
              <w:t>Пакет</w:t>
            </w:r>
          </w:p>
        </w:tc>
        <w:tc>
          <w:tcPr>
            <w:tcW w:type="dxa" w:w="7597"/>
            <w:shd w:fill="F0F5F6"/>
            <w:vAlign w:val="top"/>
          </w:tcPr>
          <w:p>
            <w:pPr>
              <w:spacing w:after="80" w:line="245" w:lineRule="auto"/>
            </w:pPr>
            <w:r>
              <w:rPr>
                <w:sz w:val="20"/>
              </w:rPr>
              <w:t>69 записей на листе registry; 21 запись на листе gaps. Во всех предметных записях сохранён tos_row_id = T2-45.</w:t>
            </w:r>
          </w:p>
        </w:tc>
      </w:tr>
    </w:tbl>
    <w:p>
      <w:r>
        <w:t>Ядром считались не «даосизм вообще» и не только Laozi/Zhuangzi, а канонические сборки, откровенческие корпуса Shangqing и Lingbao, ритуальные регламенты, сунско-юаньская внутренняя алхимия и ранний Quanzhen. Это исходная рамка DR; найденные ниже поздние комментарии и издания её расширяют, но не передатируют мастер-строку.</w:t>
      </w:r>
    </w:p>
    <w:p>
      <w:r>
        <w:t>Поиск велся по китайским заглавиям в традиционном и упрощённом письме, пиньиню и старым романизациям; на английском и русском, с отдельными французскими и японскими библиографическими запросами. Искались произведения, переводы, критические и старые издания, рукописные/печатные свидетели, фотографии, каталоги и машиночитаемые данные.</w:t>
      </w:r>
    </w:p>
    <w:p>
      <w:r>
        <w:t>Для доступа использованы официальные издатели, ИВР РАН, университетские библиотеки, GitHub самого Kanseki Repository, CRTA, Project Gutenberg, институциональный скан Internet Archive и Wellcome. Идентификация опиралась на каталожные номера DZ/KR, ISBN, титулы и издательские карточки. Для прав — на применимые заявления проекта, лицензии конкретных данных/изображений и уведомления в PDF.</w:t>
      </w:r>
      <w:r>
        <w:t xml:space="preserve">  [</w:t>
      </w:r>
      <w:hyperlink r:id="rId11">
        <w:r>
          <w:rPr>
            <w:color w:val="156181"/>
            <w:u w:val="single"/>
          </w:rPr>
          <w:t>R001</w:t>
        </w:r>
      </w:hyperlink>
      <w:r>
        <w:t xml:space="preserve">; </w:t>
      </w:r>
      <w:hyperlink r:id="rId12">
        <w:r>
          <w:rPr>
            <w:color w:val="156181"/>
            <w:u w:val="single"/>
          </w:rPr>
          <w:t>R003</w:t>
        </w:r>
      </w:hyperlink>
      <w:r>
        <w:t xml:space="preserve">; </w:t>
      </w:r>
      <w:hyperlink r:id="rId13">
        <w:r>
          <w:rPr>
            <w:color w:val="156181"/>
            <w:u w:val="single"/>
          </w:rPr>
          <w:t>R004</w:t>
        </w:r>
      </w:hyperlink>
      <w:r>
        <w:t xml:space="preserve">; </w:t>
      </w:r>
      <w:hyperlink r:id="rId14">
        <w:r>
          <w:rPr>
            <w:color w:val="156181"/>
            <w:u w:val="single"/>
          </w:rPr>
          <w:t>R032</w:t>
        </w:r>
      </w:hyperlink>
      <w:r>
        <w:t xml:space="preserve">; </w:t>
      </w:r>
      <w:hyperlink r:id="rId15">
        <w:r>
          <w:rPr>
            <w:color w:val="156181"/>
            <w:u w:val="single"/>
          </w:rPr>
          <w:t>R033</w:t>
        </w:r>
      </w:hyperlink>
      <w:r>
        <w:t xml:space="preserve">; </w:t>
      </w:r>
      <w:hyperlink r:id="rId16">
        <w:r>
          <w:rPr>
            <w:color w:val="156181"/>
            <w:u w:val="single"/>
          </w:rPr>
          <w:t>R034</w:t>
        </w:r>
      </w:hyperlink>
      <w:r>
        <w:t>]</w:t>
      </w:r>
    </w:p>
    <w:p>
      <w:r>
        <w:t>Обнаруженные, но не подтверждённые кандидаты сохранены в gaps: в частности, точная идентичность Pelliot chinois 2440 и состав двух NTU-наборов. Поисковая выдача не стала доказательством их доступности или лицензии. Wikipedia не используется в реестре как источник; Wikimedia Commons использован отдельно, для item-level лицензии одной фотографии.</w:t>
      </w:r>
    </w:p>
    <w:p>
      <w:pPr>
        <w:pStyle w:val="Caption"/>
      </w:pPr>
      <w:r>
        <w:t>Как читать ссылки: R005 означает T2-45-R005 на листе registry; G007 — T2-45-G007 на листе gaps. Ссылки R в отчёте ведут на соответствующий вход. Поля rights_scope, coverage и notes ограничивают действие каждого положительного тега; сам тег не заменяет эти поля.</w:t>
      </w:r>
    </w:p>
    <w:p>
      <w:pPr>
        <w:pStyle w:val="Heading1"/>
        <w:pageBreakBefore/>
      </w:pPr>
      <w:r>
        <w:t>2. Охват корпуса</w:t>
      </w:r>
    </w:p>
    <w:p>
      <w:pPr>
        <w:pStyle w:val="Heading2"/>
      </w:pPr>
      <w:r>
        <w:t>2.1. Что из DR получило предметный вход</w:t>
      </w:r>
    </w:p>
    <w:tbl>
      <w:tblPr>
        <w:tblW w:type="auto" w:w="0"/>
        <w:jc w:val="center"/>
        <w:tblLayout w:type="fixed"/>
        <w:tblLook w:firstColumn="1" w:firstRow="1" w:lastColumn="0" w:lastRow="0" w:noHBand="0" w:noVBand="1" w:val="04A0"/>
      </w:tblPr>
      <w:tblGrid>
        <w:gridCol w:w="2409"/>
        <w:gridCol w:w="5414"/>
        <w:gridCol w:w="1928"/>
      </w:tblGrid>
      <w:tr>
        <w:trPr>
          <w:tblHeader/>
        </w:trPr>
        <w:tc>
          <w:tcPr>
            <w:tcW w:type="dxa" w:w="3251"/>
            <w:shd w:fill="213B4A"/>
            <w:vAlign w:val="top"/>
          </w:tcPr>
          <w:p>
            <w:pPr>
              <w:spacing w:after="80" w:line="245" w:lineRule="auto"/>
            </w:pPr>
            <w:r>
              <w:rPr>
                <w:b/>
                <w:color w:val="FFFFFF"/>
                <w:sz w:val="20"/>
              </w:rPr>
              <w:t>Группа исходного DR</w:t>
            </w:r>
          </w:p>
        </w:tc>
        <w:tc>
          <w:tcPr>
            <w:tcW w:type="dxa" w:w="3251"/>
            <w:shd w:fill="213B4A"/>
            <w:vAlign w:val="top"/>
          </w:tcPr>
          <w:p>
            <w:pPr>
              <w:spacing w:after="80" w:line="245" w:lineRule="auto"/>
            </w:pPr>
            <w:r>
              <w:rPr>
                <w:b/>
                <w:color w:val="FFFFFF"/>
                <w:sz w:val="20"/>
              </w:rPr>
              <w:t>Результат</w:t>
            </w:r>
          </w:p>
        </w:tc>
        <w:tc>
          <w:tcPr>
            <w:tcW w:type="dxa" w:w="3251"/>
            <w:shd w:fill="213B4A"/>
            <w:vAlign w:val="top"/>
          </w:tcPr>
          <w:p>
            <w:pPr>
              <w:spacing w:after="80" w:line="245" w:lineRule="auto"/>
            </w:pPr>
            <w:r>
              <w:rPr>
                <w:b/>
                <w:color w:val="FFFFFF"/>
                <w:sz w:val="20"/>
              </w:rPr>
              <w:t>Записи</w:t>
            </w:r>
          </w:p>
        </w:tc>
      </w:tr>
      <w:tr>
        <w:trPr>
          <w:cantSplit/>
        </w:trPr>
        <w:tc>
          <w:tcPr>
            <w:tcW w:type="dxa" w:w="2409"/>
            <w:shd w:fill="F0F5F6"/>
            <w:vAlign w:val="top"/>
          </w:tcPr>
          <w:p>
            <w:pPr>
              <w:spacing w:after="80" w:line="245" w:lineRule="auto"/>
            </w:pPr>
            <w:r>
              <w:rPr>
                <w:sz w:val="20"/>
              </w:rPr>
              <w:t>Daozang / Xu Daozang; поздняя каноническая сохранность</w:t>
            </w:r>
          </w:p>
        </w:tc>
        <w:tc>
          <w:tcPr>
            <w:tcW w:type="dxa" w:w="5414"/>
            <w:shd w:fill="F0F5F6"/>
            <w:vAlign w:val="top"/>
          </w:tcPr>
          <w:p>
            <w:pPr>
              <w:spacing w:after="80" w:line="245" w:lineRule="auto"/>
            </w:pPr>
            <w:r>
              <w:rPr>
                <w:sz w:val="20"/>
              </w:rPr>
              <w:t>CRTA — указатель; Diaolong — институциональный маршрут. Полный свободный image bulk Sanjiaben/дополнения 1607 не проверен.</w:t>
            </w:r>
          </w:p>
        </w:tc>
        <w:tc>
          <w:tcPr>
            <w:tcW w:type="dxa" w:w="1928"/>
            <w:shd w:fill="F0F5F6"/>
            <w:vAlign w:val="top"/>
          </w:tcPr>
          <w:p>
            <w:pPr>
              <w:spacing w:after="80" w:line="245" w:lineRule="auto"/>
            </w:pPr>
            <w:r>
              <w:rPr>
                <w:sz w:val="20"/>
              </w:rPr>
              <w:t>R001–004, R060; G003</w:t>
            </w:r>
          </w:p>
        </w:tc>
      </w:tr>
      <w:tr>
        <w:trPr>
          <w:cantSplit/>
        </w:trPr>
        <w:tc>
          <w:tcPr>
            <w:tcW w:type="dxa" w:w="2409"/>
            <w:vAlign w:val="top"/>
          </w:tcPr>
          <w:p>
            <w:pPr>
              <w:spacing w:after="80" w:line="245" w:lineRule="auto"/>
            </w:pPr>
            <w:r>
              <w:rPr>
                <w:sz w:val="20"/>
              </w:rPr>
              <w:t>Shangqing; Dadong zhenjing; Zhen’gao</w:t>
            </w:r>
          </w:p>
        </w:tc>
        <w:tc>
          <w:tcPr>
            <w:tcW w:type="dxa" w:w="5414"/>
            <w:vAlign w:val="top"/>
          </w:tcPr>
          <w:p>
            <w:pPr>
              <w:spacing w:after="80" w:line="245" w:lineRule="auto"/>
            </w:pPr>
            <w:r>
              <w:rPr>
                <w:sz w:val="20"/>
              </w:rPr>
              <w:t>Китайские тексты Dadong и Zhen’gao; современные переводы избранного; добавлены Suling и два текста в книге Miller.</w:t>
            </w:r>
          </w:p>
        </w:tc>
        <w:tc>
          <w:tcPr>
            <w:tcW w:type="dxa" w:w="1928"/>
            <w:vAlign w:val="top"/>
          </w:tcPr>
          <w:p>
            <w:pPr>
              <w:spacing w:after="80" w:line="245" w:lineRule="auto"/>
            </w:pPr>
            <w:r>
              <w:rPr>
                <w:sz w:val="20"/>
              </w:rPr>
              <w:t>R006–007, R031, R043, R053; G014–016</w:t>
            </w:r>
          </w:p>
        </w:tc>
      </w:tr>
      <w:tr>
        <w:trPr>
          <w:cantSplit/>
        </w:trPr>
        <w:tc>
          <w:tcPr>
            <w:tcW w:type="dxa" w:w="2409"/>
            <w:shd w:fill="F0F5F6"/>
            <w:vAlign w:val="top"/>
          </w:tcPr>
          <w:p>
            <w:pPr>
              <w:spacing w:after="80" w:line="245" w:lineRule="auto"/>
            </w:pPr>
            <w:r>
              <w:rPr>
                <w:sz w:val="20"/>
              </w:rPr>
              <w:t>Ранний Lingbao и Durenjing</w:t>
            </w:r>
          </w:p>
        </w:tc>
        <w:tc>
          <w:tcPr>
            <w:tcW w:type="dxa" w:w="5414"/>
            <w:shd w:fill="F0F5F6"/>
            <w:vAlign w:val="top"/>
          </w:tcPr>
          <w:p>
            <w:pPr>
              <w:spacing w:after="80" w:line="245" w:lineRule="auto"/>
            </w:pPr>
            <w:r>
              <w:rPr>
                <w:sz w:val="20"/>
              </w:rPr>
              <w:t>61-цзюаневая полученная редакция Duren, две комментарийные линии, предписания и ритуал посвящения; не весь ранний Lingbao.</w:t>
            </w:r>
          </w:p>
        </w:tc>
        <w:tc>
          <w:tcPr>
            <w:tcW w:type="dxa" w:w="1928"/>
            <w:shd w:fill="F0F5F6"/>
            <w:vAlign w:val="top"/>
          </w:tcPr>
          <w:p>
            <w:pPr>
              <w:spacing w:after="80" w:line="245" w:lineRule="auto"/>
            </w:pPr>
            <w:r>
              <w:rPr>
                <w:sz w:val="20"/>
              </w:rPr>
              <w:t>R005, R029, R030, R056–059</w:t>
            </w:r>
          </w:p>
        </w:tc>
      </w:tr>
      <w:tr>
        <w:trPr>
          <w:cantSplit/>
        </w:trPr>
        <w:tc>
          <w:tcPr>
            <w:tcW w:type="dxa" w:w="2409"/>
            <w:vAlign w:val="top"/>
          </w:tcPr>
          <w:p>
            <w:pPr>
              <w:spacing w:after="80" w:line="245" w:lineRule="auto"/>
            </w:pPr>
            <w:r>
              <w:rPr>
                <w:sz w:val="20"/>
              </w:rPr>
              <w:t>Sandong jingshu mulu; утраченные каноны</w:t>
            </w:r>
          </w:p>
        </w:tc>
        <w:tc>
          <w:tcPr>
            <w:tcW w:type="dxa" w:w="5414"/>
            <w:vAlign w:val="top"/>
          </w:tcPr>
          <w:p>
            <w:pPr>
              <w:spacing w:after="80" w:line="245" w:lineRule="auto"/>
            </w:pPr>
            <w:r>
              <w:rPr>
                <w:sz w:val="20"/>
              </w:rPr>
              <w:t>Полного оригинала не найдено; это проблема сохранности, не отсутствие исторического объекта. Yunji — источник передачи, не копия целого.</w:t>
            </w:r>
          </w:p>
        </w:tc>
        <w:tc>
          <w:tcPr>
            <w:tcW w:type="dxa" w:w="1928"/>
            <w:vAlign w:val="top"/>
          </w:tcPr>
          <w:p>
            <w:pPr>
              <w:spacing w:after="80" w:line="245" w:lineRule="auto"/>
            </w:pPr>
            <w:r>
              <w:rPr>
                <w:sz w:val="20"/>
              </w:rPr>
              <w:t>G001–002; R009</w:t>
            </w:r>
          </w:p>
        </w:tc>
      </w:tr>
      <w:tr>
        <w:trPr>
          <w:cantSplit/>
        </w:trPr>
        <w:tc>
          <w:tcPr>
            <w:tcW w:type="dxa" w:w="2409"/>
            <w:shd w:fill="F0F5F6"/>
            <w:vAlign w:val="top"/>
          </w:tcPr>
          <w:p>
            <w:pPr>
              <w:spacing w:after="80" w:line="245" w:lineRule="auto"/>
            </w:pPr>
            <w:r>
              <w:rPr>
                <w:sz w:val="20"/>
              </w:rPr>
              <w:t>Sandong zhongjie wen</w:t>
            </w:r>
          </w:p>
        </w:tc>
        <w:tc>
          <w:tcPr>
            <w:tcW w:type="dxa" w:w="5414"/>
            <w:shd w:fill="F0F5F6"/>
            <w:vAlign w:val="top"/>
          </w:tcPr>
          <w:p>
            <w:pPr>
              <w:spacing w:after="80" w:line="245" w:lineRule="auto"/>
            </w:pPr>
            <w:r>
              <w:rPr>
                <w:sz w:val="20"/>
              </w:rPr>
              <w:t>Два дошедших цзюаня, а не реконструированный полный нормативный корпус.</w:t>
            </w:r>
          </w:p>
        </w:tc>
        <w:tc>
          <w:tcPr>
            <w:tcW w:type="dxa" w:w="1928"/>
            <w:shd w:fill="F0F5F6"/>
            <w:vAlign w:val="top"/>
          </w:tcPr>
          <w:p>
            <w:pPr>
              <w:spacing w:after="80" w:line="245" w:lineRule="auto"/>
            </w:pPr>
            <w:r>
              <w:rPr>
                <w:sz w:val="20"/>
              </w:rPr>
              <w:t>R008</w:t>
            </w:r>
          </w:p>
        </w:tc>
      </w:tr>
      <w:tr>
        <w:trPr>
          <w:cantSplit/>
        </w:trPr>
        <w:tc>
          <w:tcPr>
            <w:tcW w:type="dxa" w:w="2409"/>
            <w:vAlign w:val="top"/>
          </w:tcPr>
          <w:p>
            <w:pPr>
              <w:spacing w:after="80" w:line="245" w:lineRule="auto"/>
            </w:pPr>
            <w:r>
              <w:rPr>
                <w:sz w:val="20"/>
              </w:rPr>
              <w:t>Yunji qiqian</w:t>
            </w:r>
          </w:p>
        </w:tc>
        <w:tc>
          <w:tcPr>
            <w:tcW w:type="dxa" w:w="5414"/>
            <w:vAlign w:val="top"/>
          </w:tcPr>
          <w:p>
            <w:pPr>
              <w:spacing w:after="80" w:line="245" w:lineRule="auto"/>
            </w:pPr>
            <w:r>
              <w:rPr>
                <w:sz w:val="20"/>
              </w:rPr>
              <w:t>Китайская цифровая передача 122 цзюаней; поздняя компиляция ранних материалов.</w:t>
            </w:r>
          </w:p>
        </w:tc>
        <w:tc>
          <w:tcPr>
            <w:tcW w:type="dxa" w:w="1928"/>
            <w:vAlign w:val="top"/>
          </w:tcPr>
          <w:p>
            <w:pPr>
              <w:spacing w:after="80" w:line="245" w:lineRule="auto"/>
            </w:pPr>
            <w:r>
              <w:rPr>
                <w:sz w:val="20"/>
              </w:rPr>
              <w:t>R009</w:t>
            </w:r>
          </w:p>
        </w:tc>
      </w:tr>
      <w:tr>
        <w:trPr>
          <w:cantSplit/>
        </w:trPr>
        <w:tc>
          <w:tcPr>
            <w:tcW w:type="dxa" w:w="2409"/>
            <w:shd w:fill="F0F5F6"/>
            <w:vAlign w:val="top"/>
          </w:tcPr>
          <w:p>
            <w:pPr>
              <w:spacing w:after="80" w:line="245" w:lineRule="auto"/>
            </w:pPr>
            <w:r>
              <w:rPr>
                <w:sz w:val="20"/>
              </w:rPr>
              <w:t>Zhong-Lü chuandao ji</w:t>
            </w:r>
          </w:p>
        </w:tc>
        <w:tc>
          <w:tcPr>
            <w:tcW w:type="dxa" w:w="5414"/>
            <w:shd w:fill="F0F5F6"/>
            <w:vAlign w:val="top"/>
          </w:tcPr>
          <w:p>
            <w:pPr>
              <w:spacing w:after="80" w:line="245" w:lineRule="auto"/>
            </w:pPr>
            <w:r>
              <w:rPr>
                <w:sz w:val="20"/>
              </w:rPr>
              <w:t>Китайский текст; переводы Kohn и Wong. Lingbao bifa добавлен как второй прямой член Zhong-Lü-семьи.</w:t>
            </w:r>
          </w:p>
        </w:tc>
        <w:tc>
          <w:tcPr>
            <w:tcW w:type="dxa" w:w="1928"/>
            <w:shd w:fill="F0F5F6"/>
            <w:vAlign w:val="top"/>
          </w:tcPr>
          <w:p>
            <w:pPr>
              <w:spacing w:after="80" w:line="245" w:lineRule="auto"/>
            </w:pPr>
            <w:r>
              <w:rPr>
                <w:sz w:val="20"/>
              </w:rPr>
              <w:t>R010, R040, R042, R047</w:t>
            </w:r>
          </w:p>
        </w:tc>
      </w:tr>
      <w:tr>
        <w:trPr>
          <w:cantSplit/>
        </w:trPr>
        <w:tc>
          <w:tcPr>
            <w:tcW w:type="dxa" w:w="2409"/>
            <w:vAlign w:val="top"/>
          </w:tcPr>
          <w:p>
            <w:pPr>
              <w:spacing w:after="80" w:line="245" w:lineRule="auto"/>
            </w:pPr>
            <w:r>
              <w:rPr>
                <w:sz w:val="20"/>
              </w:rPr>
              <w:t>Wuzhen pian и комментарии</w:t>
            </w:r>
          </w:p>
        </w:tc>
        <w:tc>
          <w:tcPr>
            <w:tcW w:type="dxa" w:w="5414"/>
            <w:vAlign w:val="top"/>
          </w:tcPr>
          <w:p>
            <w:pPr>
              <w:spacing w:after="80" w:line="245" w:lineRule="auto"/>
            </w:pPr>
            <w:r>
              <w:rPr>
                <w:sz w:val="20"/>
              </w:rPr>
              <w:t>Китайские редакции Weng Baoguang и Zhu Yuanyu; Tao Susi — каталог; Pregadio — 16 стихов; русский Торчинов; Cleary и сборное издание.</w:t>
            </w:r>
          </w:p>
        </w:tc>
        <w:tc>
          <w:tcPr>
            <w:tcW w:type="dxa" w:w="1928"/>
            <w:vAlign w:val="top"/>
          </w:tcPr>
          <w:p>
            <w:pPr>
              <w:spacing w:after="80" w:line="245" w:lineRule="auto"/>
            </w:pPr>
            <w:r>
              <w:rPr>
                <w:sz w:val="20"/>
              </w:rPr>
              <w:t>R013, R022–023, R063, R065–066, R068–069</w:t>
            </w:r>
          </w:p>
        </w:tc>
      </w:tr>
      <w:tr>
        <w:trPr>
          <w:cantSplit/>
        </w:trPr>
        <w:tc>
          <w:tcPr>
            <w:tcW w:type="dxa" w:w="2409"/>
            <w:shd w:fill="F0F5F6"/>
            <w:vAlign w:val="top"/>
          </w:tcPr>
          <w:p>
            <w:pPr>
              <w:spacing w:after="80" w:line="245" w:lineRule="auto"/>
            </w:pPr>
            <w:r>
              <w:rPr>
                <w:sz w:val="20"/>
              </w:rPr>
              <w:t>Chongyang quanzhen ji / ранний Quanzhen</w:t>
            </w:r>
          </w:p>
        </w:tc>
        <w:tc>
          <w:tcPr>
            <w:tcW w:type="dxa" w:w="5414"/>
            <w:shd w:fill="F0F5F6"/>
            <w:vAlign w:val="top"/>
          </w:tcPr>
          <w:p>
            <w:pPr>
              <w:spacing w:after="80" w:line="245" w:lineRule="auto"/>
            </w:pPr>
            <w:r>
              <w:rPr>
                <w:sz w:val="20"/>
              </w:rPr>
              <w:t>13-цзюаневая цифровая передача, поздняя редакция Jiyao; отдельные наставления Wang Chongyang и антология Komjathy.</w:t>
            </w:r>
          </w:p>
        </w:tc>
        <w:tc>
          <w:tcPr>
            <w:tcW w:type="dxa" w:w="1928"/>
            <w:shd w:fill="F0F5F6"/>
            <w:vAlign w:val="top"/>
          </w:tcPr>
          <w:p>
            <w:pPr>
              <w:spacing w:after="80" w:line="245" w:lineRule="auto"/>
            </w:pPr>
            <w:r>
              <w:rPr>
                <w:sz w:val="20"/>
              </w:rPr>
              <w:t>R011, R018, R055, R064</w:t>
            </w:r>
          </w:p>
        </w:tc>
      </w:tr>
      <w:tr>
        <w:trPr>
          <w:cantSplit/>
        </w:trPr>
        <w:tc>
          <w:tcPr>
            <w:tcW w:type="dxa" w:w="2409"/>
            <w:vAlign w:val="top"/>
          </w:tcPr>
          <w:p>
            <w:pPr>
              <w:spacing w:after="80" w:line="245" w:lineRule="auto"/>
            </w:pPr>
            <w:r>
              <w:rPr>
                <w:sz w:val="20"/>
              </w:rPr>
              <w:t>Zhonghe ji</w:t>
            </w:r>
          </w:p>
        </w:tc>
        <w:tc>
          <w:tcPr>
            <w:tcW w:type="dxa" w:w="5414"/>
            <w:vAlign w:val="top"/>
          </w:tcPr>
          <w:p>
            <w:pPr>
              <w:spacing w:after="80" w:line="245" w:lineRule="auto"/>
            </w:pPr>
            <w:r>
              <w:rPr>
                <w:sz w:val="20"/>
              </w:rPr>
              <w:t>Китайская транскрипция; английский Cleary и альтернативный сборный издательский маршрут.</w:t>
            </w:r>
          </w:p>
        </w:tc>
        <w:tc>
          <w:tcPr>
            <w:tcW w:type="dxa" w:w="1928"/>
            <w:vAlign w:val="top"/>
          </w:tcPr>
          <w:p>
            <w:pPr>
              <w:spacing w:after="80" w:line="245" w:lineRule="auto"/>
            </w:pPr>
            <w:r>
              <w:rPr>
                <w:sz w:val="20"/>
              </w:rPr>
              <w:t>R012, R041, R069</w:t>
            </w:r>
          </w:p>
        </w:tc>
      </w:tr>
      <w:tr>
        <w:trPr>
          <w:cantSplit/>
        </w:trPr>
        <w:tc>
          <w:tcPr>
            <w:tcW w:type="dxa" w:w="2409"/>
            <w:shd w:fill="F0F5F6"/>
            <w:vAlign w:val="top"/>
          </w:tcPr>
          <w:p>
            <w:pPr>
              <w:spacing w:after="80" w:line="245" w:lineRule="auto"/>
            </w:pPr>
            <w:r>
              <w:rPr>
                <w:sz w:val="20"/>
              </w:rPr>
              <w:t>Ritual text ecologies</w:t>
            </w:r>
          </w:p>
        </w:tc>
        <w:tc>
          <w:tcPr>
            <w:tcW w:type="dxa" w:w="5414"/>
            <w:shd w:fill="F0F5F6"/>
            <w:vAlign w:val="top"/>
          </w:tcPr>
          <w:p>
            <w:pPr>
              <w:spacing w:after="80" w:line="245" w:lineRule="auto"/>
            </w:pPr>
            <w:r>
              <w:rPr>
                <w:sz w:val="20"/>
              </w:rPr>
              <w:t>Добавлены Daofa huiyuan, Fengdao kejie, Lingbao shoudu yi; открытый словесный слой не заменяет ритуальные изображения.</w:t>
            </w:r>
          </w:p>
        </w:tc>
        <w:tc>
          <w:tcPr>
            <w:tcW w:type="dxa" w:w="1928"/>
            <w:shd w:fill="F0F5F6"/>
            <w:vAlign w:val="top"/>
          </w:tcPr>
          <w:p>
            <w:pPr>
              <w:spacing w:after="80" w:line="245" w:lineRule="auto"/>
            </w:pPr>
            <w:r>
              <w:rPr>
                <w:sz w:val="20"/>
              </w:rPr>
              <w:t>R026, R050, R054, R059</w:t>
            </w:r>
          </w:p>
        </w:tc>
      </w:tr>
      <w:tr>
        <w:trPr>
          <w:cantSplit/>
        </w:trPr>
        <w:tc>
          <w:tcPr>
            <w:tcW w:type="dxa" w:w="2409"/>
            <w:vAlign w:val="top"/>
          </w:tcPr>
          <w:p>
            <w:pPr>
              <w:spacing w:after="80" w:line="245" w:lineRule="auto"/>
            </w:pPr>
            <w:r>
              <w:rPr>
                <w:sz w:val="20"/>
              </w:rPr>
              <w:t>Дуньхуанские свидетели</w:t>
            </w:r>
          </w:p>
        </w:tc>
        <w:tc>
          <w:tcPr>
            <w:tcW w:type="dxa" w:w="5414"/>
            <w:vAlign w:val="top"/>
          </w:tcPr>
          <w:p>
            <w:pPr>
              <w:spacing w:after="80" w:line="245" w:lineRule="auto"/>
            </w:pPr>
            <w:r>
              <w:rPr>
                <w:sz w:val="20"/>
              </w:rPr>
              <w:t>Предметные кандидаты найдены, но item-level изображения/права не подтверждены из-за блокировок. Это слабейшая часть покрытия.</w:t>
            </w:r>
          </w:p>
        </w:tc>
        <w:tc>
          <w:tcPr>
            <w:tcW w:type="dxa" w:w="1928"/>
            <w:vAlign w:val="top"/>
          </w:tcPr>
          <w:p>
            <w:pPr>
              <w:spacing w:after="80" w:line="245" w:lineRule="auto"/>
            </w:pPr>
            <w:r>
              <w:rPr>
                <w:sz w:val="20"/>
              </w:rPr>
              <w:t>G007–009</w:t>
            </w:r>
          </w:p>
        </w:tc>
      </w:tr>
    </w:tbl>
    <w:p>
      <w:r>
        <w:t>Основания для идентификации и объёма: корпусный каталог CRTA, заголовки и состав выбранных веток Kanseki, официальные страницы переводов. Полная побуквенная сверка 28 цифровых транскрипций с печатными томами не выполнялась.</w:t>
      </w:r>
      <w:r>
        <w:t xml:space="preserve">  [</w:t>
      </w:r>
      <w:hyperlink r:id="rId11">
        <w:r>
          <w:rPr>
            <w:color w:val="156181"/>
            <w:u w:val="single"/>
          </w:rPr>
          <w:t>R001</w:t>
        </w:r>
      </w:hyperlink>
      <w:r>
        <w:t xml:space="preserve">; </w:t>
      </w:r>
      <w:hyperlink r:id="rId17">
        <w:r>
          <w:rPr>
            <w:color w:val="156181"/>
            <w:u w:val="single"/>
          </w:rPr>
          <w:t>R005</w:t>
        </w:r>
      </w:hyperlink>
      <w:r>
        <w:t xml:space="preserve">; </w:t>
      </w:r>
      <w:hyperlink r:id="rId18">
        <w:r>
          <w:rPr>
            <w:color w:val="156181"/>
            <w:u w:val="single"/>
          </w:rPr>
          <w:t>R006</w:t>
        </w:r>
      </w:hyperlink>
      <w:r>
        <w:t xml:space="preserve">; </w:t>
      </w:r>
      <w:hyperlink r:id="rId19">
        <w:r>
          <w:rPr>
            <w:color w:val="156181"/>
            <w:u w:val="single"/>
          </w:rPr>
          <w:t>R008</w:t>
        </w:r>
      </w:hyperlink>
      <w:r>
        <w:t xml:space="preserve">; </w:t>
      </w:r>
      <w:hyperlink r:id="rId20">
        <w:r>
          <w:rPr>
            <w:color w:val="156181"/>
            <w:u w:val="single"/>
          </w:rPr>
          <w:t>R009</w:t>
        </w:r>
      </w:hyperlink>
      <w:r>
        <w:t xml:space="preserve">; </w:t>
      </w:r>
      <w:hyperlink r:id="rId21">
        <w:r>
          <w:rPr>
            <w:color w:val="156181"/>
            <w:u w:val="single"/>
          </w:rPr>
          <w:t>R010</w:t>
        </w:r>
      </w:hyperlink>
      <w:r>
        <w:t xml:space="preserve">; </w:t>
      </w:r>
      <w:hyperlink r:id="rId22">
        <w:r>
          <w:rPr>
            <w:color w:val="156181"/>
            <w:u w:val="single"/>
          </w:rPr>
          <w:t>R011</w:t>
        </w:r>
      </w:hyperlink>
      <w:r>
        <w:t xml:space="preserve">; </w:t>
      </w:r>
      <w:hyperlink r:id="rId23">
        <w:r>
          <w:rPr>
            <w:color w:val="156181"/>
            <w:u w:val="single"/>
          </w:rPr>
          <w:t>R012</w:t>
        </w:r>
      </w:hyperlink>
      <w:r>
        <w:t xml:space="preserve">; </w:t>
      </w:r>
      <w:hyperlink r:id="rId24">
        <w:r>
          <w:rPr>
            <w:color w:val="156181"/>
            <w:u w:val="single"/>
          </w:rPr>
          <w:t>R040</w:t>
        </w:r>
      </w:hyperlink>
      <w:r>
        <w:t xml:space="preserve">; </w:t>
      </w:r>
      <w:hyperlink r:id="rId25">
        <w:r>
          <w:rPr>
            <w:color w:val="156181"/>
            <w:u w:val="single"/>
          </w:rPr>
          <w:t>R053</w:t>
        </w:r>
      </w:hyperlink>
      <w:r>
        <w:t xml:space="preserve">; </w:t>
      </w:r>
      <w:hyperlink r:id="rId26">
        <w:r>
          <w:rPr>
            <w:color w:val="156181"/>
            <w:u w:val="single"/>
          </w:rPr>
          <w:t>R055</w:t>
        </w:r>
      </w:hyperlink>
      <w:r>
        <w:t>]</w:t>
      </w:r>
    </w:p>
    <w:p>
      <w:pPr>
        <w:pStyle w:val="Heading2"/>
      </w:pPr>
      <w:r>
        <w:t>2.2. Расширение назад: конкретные входящие источники</w:t>
      </w:r>
    </w:p>
    <w:p>
      <w:r>
        <w:t>Daodejing и Zhuangzi включены ограниченно — по одному старому английскому переводу как входящее наследие, указанное DR. Это не повторное исследование раннего Lao-Zhuang. Taiping jing добавлен как ранний религиозно-космологический массив: доступна его дошедшая часть, а перевод Hendrischke охватывает лишь выбранный участок. Xiang’er рассматривается как важный свидетель линии Небесных наставников, но его изображение оставлено в G007.</w:t>
      </w:r>
      <w:r>
        <w:t xml:space="preserve">  [</w:t>
      </w:r>
      <w:hyperlink r:id="rId27">
        <w:r>
          <w:rPr>
            <w:color w:val="156181"/>
            <w:u w:val="single"/>
          </w:rPr>
          <w:t>R035</w:t>
        </w:r>
      </w:hyperlink>
      <w:r>
        <w:t xml:space="preserve">; </w:t>
      </w:r>
      <w:hyperlink r:id="rId28">
        <w:r>
          <w:rPr>
            <w:color w:val="156181"/>
            <w:u w:val="single"/>
          </w:rPr>
          <w:t>R036</w:t>
        </w:r>
      </w:hyperlink>
      <w:r>
        <w:t xml:space="preserve">; </w:t>
      </w:r>
      <w:hyperlink r:id="rId29">
        <w:r>
          <w:rPr>
            <w:color w:val="156181"/>
            <w:u w:val="single"/>
          </w:rPr>
          <w:t>R049</w:t>
        </w:r>
      </w:hyperlink>
      <w:r>
        <w:t xml:space="preserve">; </w:t>
      </w:r>
      <w:hyperlink r:id="rId30">
        <w:r>
          <w:rPr>
            <w:color w:val="156181"/>
            <w:u w:val="single"/>
          </w:rPr>
          <w:t>R052</w:t>
        </w:r>
      </w:hyperlink>
      <w:r>
        <w:t xml:space="preserve">; </w:t>
      </w:r>
      <w:hyperlink r:id="rId31">
        <w:r>
          <w:rPr>
            <w:color w:val="156181"/>
            <w:u w:val="single"/>
          </w:rPr>
          <w:t>R030</w:t>
        </w:r>
      </w:hyperlink>
      <w:r>
        <w:t>]</w:t>
      </w:r>
    </w:p>
    <w:p>
      <w:r>
        <w:t>Huangting waijing и Lingbao wufu xu дают более ранние телесно-медитативные и талисманические слои; Huangting neijing связывает их с письменностью внутреннего тела. Baopuzi neipian и Jiudan jing включены не как вся история китайской алхимии, а как источники алхимической лексики, практик и легитимации, существенные для позднейшего neidan.</w:t>
      </w:r>
      <w:r>
        <w:t xml:space="preserve">  [</w:t>
      </w:r>
      <w:hyperlink r:id="rId32">
        <w:r>
          <w:rPr>
            <w:color w:val="156181"/>
            <w:u w:val="single"/>
          </w:rPr>
          <w:t>R024</w:t>
        </w:r>
      </w:hyperlink>
      <w:r>
        <w:t xml:space="preserve">; </w:t>
      </w:r>
      <w:hyperlink r:id="rId33">
        <w:r>
          <w:rPr>
            <w:color w:val="156181"/>
            <w:u w:val="single"/>
          </w:rPr>
          <w:t>R025</w:t>
        </w:r>
      </w:hyperlink>
      <w:r>
        <w:t xml:space="preserve">; </w:t>
      </w:r>
      <w:hyperlink r:id="rId34">
        <w:r>
          <w:rPr>
            <w:color w:val="156181"/>
            <w:u w:val="single"/>
          </w:rPr>
          <w:t>R048</w:t>
        </w:r>
      </w:hyperlink>
      <w:r>
        <w:t xml:space="preserve">; </w:t>
      </w:r>
      <w:hyperlink r:id="rId35">
        <w:r>
          <w:rPr>
            <w:color w:val="156181"/>
            <w:u w:val="single"/>
          </w:rPr>
          <w:t>R058</w:t>
        </w:r>
      </w:hyperlink>
      <w:r>
        <w:t xml:space="preserve">; </w:t>
      </w:r>
      <w:hyperlink r:id="rId36">
        <w:r>
          <w:rPr>
            <w:color w:val="156181"/>
            <w:u w:val="single"/>
          </w:rPr>
          <w:t>R019</w:t>
        </w:r>
      </w:hyperlink>
      <w:r>
        <w:t>]</w:t>
      </w:r>
    </w:p>
    <w:p>
      <w:r>
        <w:t>Cantong qi имеет собственную длительную и спорную стратиграфию; ранняя традиционная атрибуция не приравнена к дате всей полученной версии. Реестр соединяет современный перевод Pregadio и историческую редакционно-комментаторскую передачу Peng Xiao. Отношение здесь двойное: ранний авторитет для neidan и позднейшая форма его чтения.</w:t>
      </w:r>
      <w:r>
        <w:t xml:space="preserve">  [</w:t>
      </w:r>
      <w:hyperlink r:id="rId37">
        <w:r>
          <w:rPr>
            <w:color w:val="156181"/>
            <w:u w:val="single"/>
          </w:rPr>
          <w:t>R014</w:t>
        </w:r>
      </w:hyperlink>
      <w:r>
        <w:t xml:space="preserve">; </w:t>
      </w:r>
      <w:hyperlink r:id="rId38">
        <w:r>
          <w:rPr>
            <w:color w:val="156181"/>
            <w:u w:val="single"/>
          </w:rPr>
          <w:t>R046</w:t>
        </w:r>
      </w:hyperlink>
      <w:r>
        <w:t>]</w:t>
      </w:r>
    </w:p>
    <w:p>
      <w:pPr>
        <w:pStyle w:val="Heading2"/>
      </w:pPr>
      <w:r>
        <w:t>2.3. Расширение вперёд: комментарии, канонические перепечатки, рецепция</w:t>
      </w:r>
    </w:p>
    <w:p>
      <w:r>
        <w:t>За XV век вынесены не произвольные «похожие» сочинения, а прямые линии передачи: Xu Daozang 1607; комментарий Peng Haogu к Jindan sibai zi; Zhu Yuanyu и Tao Susi к Wuzhen pian; Liu Yiming в переводах Wuzhen и Xiuzhen houbian; цинская редакция Chongyang quanzhen ji в Jiyao 1906. Это соответственно каноническое дополнение, комментарии к ядру и повторная сборка раннего корпуса.</w:t>
      </w:r>
      <w:r>
        <w:t xml:space="preserve">  [</w:t>
      </w:r>
      <w:hyperlink r:id="rId11">
        <w:r>
          <w:rPr>
            <w:color w:val="156181"/>
            <w:u w:val="single"/>
          </w:rPr>
          <w:t>R001</w:t>
        </w:r>
      </w:hyperlink>
      <w:r>
        <w:t xml:space="preserve">; </w:t>
      </w:r>
      <w:hyperlink r:id="rId39">
        <w:r>
          <w:rPr>
            <w:color w:val="156181"/>
            <w:u w:val="single"/>
          </w:rPr>
          <w:t>R016</w:t>
        </w:r>
      </w:hyperlink>
      <w:r>
        <w:t xml:space="preserve">; </w:t>
      </w:r>
      <w:hyperlink r:id="rId40">
        <w:r>
          <w:rPr>
            <w:color w:val="156181"/>
            <w:u w:val="single"/>
          </w:rPr>
          <w:t>R023</w:t>
        </w:r>
      </w:hyperlink>
      <w:r>
        <w:t xml:space="preserve">; </w:t>
      </w:r>
      <w:hyperlink r:id="rId41">
        <w:r>
          <w:rPr>
            <w:color w:val="156181"/>
            <w:u w:val="single"/>
          </w:rPr>
          <w:t>R063</w:t>
        </w:r>
      </w:hyperlink>
      <w:r>
        <w:t xml:space="preserve">; </w:t>
      </w:r>
      <w:hyperlink r:id="rId42">
        <w:r>
          <w:rPr>
            <w:color w:val="156181"/>
            <w:u w:val="single"/>
          </w:rPr>
          <w:t>R062</w:t>
        </w:r>
      </w:hyperlink>
      <w:r>
        <w:t xml:space="preserve">; </w:t>
      </w:r>
      <w:hyperlink r:id="rId43">
        <w:r>
          <w:rPr>
            <w:color w:val="156181"/>
            <w:u w:val="single"/>
          </w:rPr>
          <w:t>R064</w:t>
        </w:r>
      </w:hyperlink>
      <w:r>
        <w:t xml:space="preserve">; </w:t>
      </w:r>
      <w:hyperlink r:id="rId44">
        <w:r>
          <w:rPr>
            <w:color w:val="156181"/>
            <w:u w:val="single"/>
          </w:rPr>
          <w:t>R068</w:t>
        </w:r>
      </w:hyperlink>
      <w:r>
        <w:t>]</w:t>
      </w:r>
    </w:p>
    <w:p>
      <w:r>
        <w:t>Xingming guizhi включён через один исторический лист с изображением Puzhao tu: это позднее развитие языка xing–ming и телесной образности, а не полный цифровой экземпляр. Jinhua zongzhi включён через авторизованную английскую выборку из позднего Longmen/Jingai-контекста. Его нельзя датировать временем легендарного Lü Dongbin или объявлять единой неизменной редакцией.</w:t>
      </w:r>
      <w:r>
        <w:t xml:space="preserve">  [</w:t>
      </w:r>
      <w:hyperlink r:id="rId15">
        <w:r>
          <w:rPr>
            <w:color w:val="156181"/>
            <w:u w:val="single"/>
          </w:rPr>
          <w:t>R033</w:t>
        </w:r>
      </w:hyperlink>
      <w:r>
        <w:t xml:space="preserve">; </w:t>
      </w:r>
      <w:hyperlink r:id="rId45">
        <w:r>
          <w:rPr>
            <w:color w:val="156181"/>
            <w:u w:val="single"/>
          </w:rPr>
          <w:t>R067</w:t>
        </w:r>
      </w:hyperlink>
      <w:r>
        <w:t>]</w:t>
      </w:r>
    </w:p>
    <w:p>
      <w:r>
        <w:t>Современные переводы и цифровые транскрипции относятся к истории доступа и сохранения, не к датам возникновения древних учений. Daozang jiyao Project подтверждает исследовательскую работу над поздними сборками; описание запланированного издания и разметки не принимается за доказательство уже доступного полного TEI-релиза.</w:t>
      </w:r>
      <w:r>
        <w:t xml:space="preserve">  [</w:t>
      </w:r>
      <w:hyperlink r:id="rId46">
        <w:r>
          <w:rPr>
            <w:color w:val="156181"/>
            <w:u w:val="single"/>
          </w:rPr>
          <w:t>R061</w:t>
        </w:r>
      </w:hyperlink>
      <w:r>
        <w:t xml:space="preserve">; </w:t>
      </w:r>
      <w:hyperlink r:id="rId16">
        <w:r>
          <w:rPr>
            <w:color w:val="156181"/>
            <w:u w:val="single"/>
          </w:rPr>
          <w:t>R034</w:t>
        </w:r>
      </w:hyperlink>
      <w:r>
        <w:t>]</w:t>
      </w:r>
    </w:p>
    <w:p>
      <w:pPr>
        <w:pStyle w:val="Heading2"/>
      </w:pPr>
      <w:r>
        <w:t>2.4. Количественный итог и границы счёта</w:t>
      </w:r>
    </w:p>
    <w:p>
      <w:r>
        <w:t>В XLSX — 69 практически отличимых маршрутов: 63 предметных и 6 инфраструктурных/вторично-навигационных. Предметный слой даёт около 40 поимённо идентифицированных произведений и корпусных семей; несколько широких антологий дополнительно содержат тексты, ещё не разложенные по всем китайским заглавиям. Разные комментарии и переводы Wuzhen или Duren здесь не считаются новыми базовыми произведениями. Вложенные тексты и включающий их канон также не образуют непересекающийся исторический подсчёт.</w:t>
      </w:r>
    </w:p>
    <w:p>
      <w:r>
        <w:t>Имеются 28 item-level репозиториев китайских транскрипций, 23 маршрута покупки и 2 институциональных маршрута. Поля допускают пересечение режимов: например, покупка книги и бесплатный preview стоят в одной записи. 39 записей содержат режим скачивания, но в это число входят отдельные фрагменты, каталог и документированный, ещё не скачанный CRTA dump — не 39 полных книг.</w:t>
      </w:r>
    </w:p>
    <w:p>
      <w:r>
        <w:t>Разметка релевантности: core — 24 записи; same_corpus_or_tradition — 15; antecedent — 9; commentary_or_reception и transmission_or_preservation — по 6; continuation — 3; infrastructure — 5; secondary_navigation — 1. Категории supporting и boundary в основном реестре не использованы искусственно: единственный конкретный пограничный буддийский след оставлен на проверку в G020.</w:t>
      </w:r>
    </w:p>
    <w:p>
      <w:r>
        <w:t>Поиск не исчерпал состав Daozang и не достиг насыщения всех ранних Shangqing/Lingbao-титулов. Завершено покрытие перечисленных якорей и проверенных расширений; 21 конкретный пробел отделяет отсутствие полного доступа, техническую блокировку, утраченный оригинал и непроверенного кандидата.</w:t>
      </w:r>
    </w:p>
    <w:p>
      <w:pPr>
        <w:pStyle w:val="Heading1"/>
        <w:pageBreakBefore/>
      </w:pPr>
      <w:r>
        <w:t>3. Лучшие пути доступа</w:t>
      </w:r>
    </w:p>
    <w:p>
      <w:r>
        <w:t>«Лучший» ниже означает наиболее полезный для конкретной задачи среди проверенных входов, а не универсально лучшее издание. Текст для поиска, факсимиле для проверки чтения и научный перевод выполняют разные функции.</w:t>
      </w:r>
    </w:p>
    <w:p>
      <w:pPr>
        <w:pStyle w:val="Heading2"/>
      </w:pPr>
      <w:r>
        <w:t>3.1. Канон и его каталожная карта</w:t>
      </w:r>
    </w:p>
    <w:p>
      <w:r>
        <w:t>Для идентификации начинать с CRTA Daozang: там связаны название, номер DZ и расположение в 36-томном Sanjiaben. Для исторической идентификации сложных текстов сохраняется The Taoist Canon Шиппера—Вереллена: это платный исследовательский справочник, а не полнотекстовый оригинал и не свободный dataset. Подмена такого справочника популярным пересказом не требуется.</w:t>
      </w:r>
      <w:r>
        <w:t xml:space="preserve">  [</w:t>
      </w:r>
      <w:hyperlink r:id="rId11">
        <w:r>
          <w:rPr>
            <w:color w:val="156181"/>
            <w:u w:val="single"/>
          </w:rPr>
          <w:t>R001</w:t>
        </w:r>
      </w:hyperlink>
      <w:r>
        <w:t xml:space="preserve">; </w:t>
      </w:r>
      <w:hyperlink r:id="rId13">
        <w:r>
          <w:rPr>
            <w:color w:val="156181"/>
            <w:u w:val="single"/>
          </w:rPr>
          <w:t>R004</w:t>
        </w:r>
      </w:hyperlink>
      <w:r>
        <w:t>]</w:t>
      </w:r>
    </w:p>
    <w:p>
      <w:r>
        <w:t>Для бесплатного чтения китайского и локального поиска практичнее конкретные TXT-репозитории Kanseki. Они дают отдельные редакции, а не проверенную выгрузку всего Daozang одной записью. Полный платный/институциональный маршрут к Daozang и Daozang jiyao документирован библиотекой KU Leuven через Diaolong; подписной сеанс не тестировался. Свободное полное факсимиле Sanjiaben в этом запуске не подтверждено.</w:t>
      </w:r>
      <w:r>
        <w:t xml:space="preserve">  [</w:t>
      </w:r>
      <w:hyperlink r:id="rId12">
        <w:r>
          <w:rPr>
            <w:color w:val="156181"/>
            <w:u w:val="single"/>
          </w:rPr>
          <w:t>R003</w:t>
        </w:r>
      </w:hyperlink>
      <w:r>
        <w:t xml:space="preserve">; </w:t>
      </w:r>
      <w:hyperlink r:id="rId17">
        <w:r>
          <w:rPr>
            <w:color w:val="156181"/>
            <w:u w:val="single"/>
          </w:rPr>
          <w:t>R005</w:t>
        </w:r>
      </w:hyperlink>
      <w:r>
        <w:t xml:space="preserve">; </w:t>
      </w:r>
      <w:hyperlink r:id="rId18">
        <w:r>
          <w:rPr>
            <w:color w:val="156181"/>
            <w:u w:val="single"/>
          </w:rPr>
          <w:t>R006</w:t>
        </w:r>
      </w:hyperlink>
      <w:r>
        <w:t xml:space="preserve">; </w:t>
      </w:r>
      <w:hyperlink r:id="rId20">
        <w:r>
          <w:rPr>
            <w:color w:val="156181"/>
            <w:u w:val="single"/>
          </w:rPr>
          <w:t>R009</w:t>
        </w:r>
      </w:hyperlink>
      <w:r>
        <w:t xml:space="preserve">; </w:t>
      </w:r>
      <w:hyperlink r:id="rId47">
        <w:r>
          <w:rPr>
            <w:color w:val="156181"/>
            <w:u w:val="single"/>
          </w:rPr>
          <w:t>R060</w:t>
        </w:r>
      </w:hyperlink>
      <w:r>
        <w:t>]</w:t>
      </w:r>
    </w:p>
    <w:p>
      <w:r>
        <w:t>Для машинной навигации наиболее полезны KR-Catalog, отдельный каталог соответствий krpmulu и CRTA XML. Последний описан официально как периодическая выгрузка wiki; адрес конкретного сентябрьского файла не угадывался и сам файл не скачивался. Ссылки на изображения внутри каталогов не превращают выгрузку метаданных в корпус факсимиле.</w:t>
      </w:r>
      <w:r>
        <w:t xml:space="preserve">  [</w:t>
      </w:r>
      <w:hyperlink r:id="rId48">
        <w:r>
          <w:rPr>
            <w:color w:val="156181"/>
            <w:u w:val="single"/>
          </w:rPr>
          <w:t>R002</w:t>
        </w:r>
      </w:hyperlink>
      <w:r>
        <w:t xml:space="preserve">; </w:t>
      </w:r>
      <w:hyperlink r:id="rId12">
        <w:r>
          <w:rPr>
            <w:color w:val="156181"/>
            <w:u w:val="single"/>
          </w:rPr>
          <w:t>R003</w:t>
        </w:r>
      </w:hyperlink>
      <w:r>
        <w:t xml:space="preserve">; </w:t>
      </w:r>
      <w:hyperlink r:id="rId16">
        <w:r>
          <w:rPr>
            <w:color w:val="156181"/>
            <w:u w:val="single"/>
          </w:rPr>
          <w:t>R034</w:t>
        </w:r>
      </w:hyperlink>
      <w:r>
        <w:t>]</w:t>
      </w:r>
    </w:p>
    <w:p>
      <w:pPr>
        <w:pStyle w:val="Heading2"/>
      </w:pPr>
      <w:r>
        <w:t>3.2. Shangqing: Dadong, Zhen’gao, Suling и Jiuzhen</w:t>
      </w:r>
    </w:p>
    <w:p>
      <w:r>
        <w:t>Наиболее доступная оригинальноязычная основа: Dadong zhenjing — KR5a0006, шесть цзюаней; Zhen’gao — KR5d0036, двадцать. Это поздняя книжная передача, пригодная как китайский текстовый вход; не автографы Yang Xi или Tao Hongjing. Для чистой основы собственного перевода эти TXT полезнее защищённого английского посредника, при сохранении условий лицензии.</w:t>
      </w:r>
      <w:r>
        <w:t xml:space="preserve">  [</w:t>
      </w:r>
      <w:hyperlink r:id="rId18">
        <w:r>
          <w:rPr>
            <w:color w:val="156181"/>
            <w:u w:val="single"/>
          </w:rPr>
          <w:t>R006</w:t>
        </w:r>
      </w:hyperlink>
      <w:r>
        <w:t xml:space="preserve">; </w:t>
      </w:r>
      <w:hyperlink r:id="rId49">
        <w:r>
          <w:rPr>
            <w:color w:val="156181"/>
            <w:u w:val="single"/>
          </w:rPr>
          <w:t>R007</w:t>
        </w:r>
      </w:hyperlink>
      <w:r>
        <w:t>]</w:t>
      </w:r>
    </w:p>
    <w:p>
      <w:r>
        <w:t>Современные научные входы распределены по разным частям корпуса. A Fourth-Century Daoist Family Бокенкампа переводит и исследует выбранный материал Zhen’gao, а не все двадцать цзюаней. The Way of Highest Clarity Миллера включает Ziyang zhenren neizhuan, Jiuzhen zhongjing и предисловие Zhu Ziying к Dadong. Полный перевод Dadong из этого состава не следует. Депозит книги Miller в Queen’s вернул 403; рабочей остаётся авторская страница.</w:t>
      </w:r>
      <w:r>
        <w:t xml:space="preserve">  [</w:t>
      </w:r>
      <w:hyperlink r:id="rId50">
        <w:r>
          <w:rPr>
            <w:color w:val="156181"/>
            <w:u w:val="single"/>
          </w:rPr>
          <w:t>R031</w:t>
        </w:r>
      </w:hyperlink>
      <w:r>
        <w:t xml:space="preserve">; </w:t>
      </w:r>
      <w:hyperlink r:id="rId51">
        <w:r>
          <w:rPr>
            <w:color w:val="156181"/>
            <w:u w:val="single"/>
          </w:rPr>
          <w:t>R043</w:t>
        </w:r>
      </w:hyperlink>
      <w:r>
        <w:t>]</w:t>
      </w:r>
    </w:p>
    <w:p>
      <w:r>
        <w:t>Для Suling jing наиболее сильный найденный переводный вход — A Library of Clouds Джонатана Петтита и Чжан Чаожаня: издатель подтверждает полный аннотированный английский перевод. В русском сегменте особенно полезны статьи С. В. Филонова с переводами первого и третьего разделов Jiuzhen mingke на официальном сайте ИВР РАН. Второй раздел подтверждён библиографически, но файл оказался только титулом и оглавлением сборника.</w:t>
      </w:r>
      <w:r>
        <w:t xml:space="preserve">  [</w:t>
      </w:r>
      <w:hyperlink r:id="rId25">
        <w:r>
          <w:rPr>
            <w:color w:val="156181"/>
            <w:u w:val="single"/>
          </w:rPr>
          <w:t>R053</w:t>
        </w:r>
      </w:hyperlink>
      <w:r>
        <w:t xml:space="preserve">; </w:t>
      </w:r>
      <w:hyperlink r:id="rId52">
        <w:r>
          <w:rPr>
            <w:color w:val="156181"/>
            <w:u w:val="single"/>
          </w:rPr>
          <w:t>R038</w:t>
        </w:r>
      </w:hyperlink>
      <w:r>
        <w:t xml:space="preserve">; </w:t>
      </w:r>
      <w:hyperlink r:id="rId14">
        <w:r>
          <w:rPr>
            <w:color w:val="156181"/>
            <w:u w:val="single"/>
          </w:rPr>
          <w:t>R032</w:t>
        </w:r>
      </w:hyperlink>
      <w:r>
        <w:t xml:space="preserve">; </w:t>
      </w:r>
      <w:hyperlink r:id="rId53">
        <w:r>
          <w:rPr>
            <w:color w:val="156181"/>
            <w:u w:val="single"/>
          </w:rPr>
          <w:t>R039</w:t>
        </w:r>
      </w:hyperlink>
      <w:r>
        <w:t>]</w:t>
      </w:r>
    </w:p>
    <w:p>
      <w:pPr>
        <w:pStyle w:val="Heading2"/>
      </w:pPr>
      <w:r>
        <w:t>3.3. Lingbao и ритуальная письменность</w:t>
      </w:r>
    </w:p>
    <w:p>
      <w:r>
        <w:t>Для Durenjing лучший найденный свободный текстовый вход — 61-цзюаневая полученная версия DZ1. Её следует читать вместе с отдельными редакциями комментариев: сводом четырёх комментариев Chen Jingyuan и юаньским комментарием Chen Zhixu. Первая запись не равна единому тексту около 400 года; комментарии здесь самостоятельные способы доступа к переработанному раннему материалу.</w:t>
      </w:r>
      <w:r>
        <w:t xml:space="preserve">  [</w:t>
      </w:r>
      <w:hyperlink r:id="rId17">
        <w:r>
          <w:rPr>
            <w:color w:val="156181"/>
            <w:u w:val="single"/>
          </w:rPr>
          <w:t>R005</w:t>
        </w:r>
      </w:hyperlink>
      <w:r>
        <w:t xml:space="preserve">; </w:t>
      </w:r>
      <w:hyperlink r:id="rId54">
        <w:r>
          <w:rPr>
            <w:color w:val="156181"/>
            <w:u w:val="single"/>
          </w:rPr>
          <w:t>R056</w:t>
        </w:r>
      </w:hyperlink>
      <w:r>
        <w:t xml:space="preserve">; </w:t>
      </w:r>
      <w:hyperlink r:id="rId55">
        <w:r>
          <w:rPr>
            <w:color w:val="156181"/>
            <w:u w:val="single"/>
          </w:rPr>
          <w:t>R057</w:t>
        </w:r>
      </w:hyperlink>
      <w:r>
        <w:t>]</w:t>
      </w:r>
    </w:p>
    <w:p>
      <w:r>
        <w:t>Ритуальную ось делают предметной Lingbao shoudu yi, предписания Taishang dongzhen zhihui shangpin dajie, Sandong zhongjie wen и Fengdao kejie. Для последнего есть современный перевод Livia Kohn в The Daoist Monastic Manual через Oxford Academic. Современная антология Early Daoist Scriptures остаётся ценным платным входом в шесть ранних писаний, однако её внутренний состав в реестре не выдан за полный каталог раннего Lingbao.</w:t>
      </w:r>
      <w:r>
        <w:t xml:space="preserve">  [</w:t>
      </w:r>
      <w:hyperlink r:id="rId56">
        <w:r>
          <w:rPr>
            <w:color w:val="156181"/>
            <w:u w:val="single"/>
          </w:rPr>
          <w:t>R059</w:t>
        </w:r>
      </w:hyperlink>
      <w:r>
        <w:t xml:space="preserve">; </w:t>
      </w:r>
      <w:hyperlink r:id="rId57">
        <w:r>
          <w:rPr>
            <w:color w:val="156181"/>
            <w:u w:val="single"/>
          </w:rPr>
          <w:t>R029</w:t>
        </w:r>
      </w:hyperlink>
      <w:r>
        <w:t xml:space="preserve">; </w:t>
      </w:r>
      <w:hyperlink r:id="rId19">
        <w:r>
          <w:rPr>
            <w:color w:val="156181"/>
            <w:u w:val="single"/>
          </w:rPr>
          <w:t>R008</w:t>
        </w:r>
      </w:hyperlink>
      <w:r>
        <w:t xml:space="preserve">; </w:t>
      </w:r>
      <w:hyperlink r:id="rId58">
        <w:r>
          <w:rPr>
            <w:color w:val="156181"/>
            <w:u w:val="single"/>
          </w:rPr>
          <w:t>R050</w:t>
        </w:r>
      </w:hyperlink>
      <w:r>
        <w:t xml:space="preserve">; </w:t>
      </w:r>
      <w:hyperlink r:id="rId59">
        <w:r>
          <w:rPr>
            <w:color w:val="156181"/>
            <w:u w:val="single"/>
          </w:rPr>
          <w:t>R054</w:t>
        </w:r>
      </w:hyperlink>
      <w:r>
        <w:t xml:space="preserve">; </w:t>
      </w:r>
      <w:hyperlink r:id="rId31">
        <w:r>
          <w:rPr>
            <w:color w:val="156181"/>
            <w:u w:val="single"/>
          </w:rPr>
          <w:t>R030</w:t>
        </w:r>
      </w:hyperlink>
      <w:r>
        <w:t>]</w:t>
      </w:r>
    </w:p>
    <w:p>
      <w:r>
        <w:t>Daofa huiyuan добавляет крупный корпус ритуальных методов: в выбранной ветке представлены 268 текстовых цзюаней. Это сильный вариант для полнотекстового поиска, но не для восстановления всех талисманов, схем и исполнительских элементов обряда. Графически значимый текст необходимо сверять с изображениями; соответствующий полный свободный комплект пока не подтверждён.</w:t>
      </w:r>
      <w:r>
        <w:t xml:space="preserve">  [</w:t>
      </w:r>
      <w:hyperlink r:id="rId60">
        <w:r>
          <w:rPr>
            <w:color w:val="156181"/>
            <w:u w:val="single"/>
          </w:rPr>
          <w:t>R026</w:t>
        </w:r>
      </w:hyperlink>
      <w:r>
        <w:t>]</w:t>
      </w:r>
    </w:p>
    <w:p>
      <w:pPr>
        <w:pStyle w:val="Heading2"/>
      </w:pPr>
      <w:r>
        <w:t>3.4. Wuzhen pian: оригиналы, русский и английский</w:t>
      </w:r>
    </w:p>
    <w:p>
      <w:r>
        <w:t>Для оригинала и открытой работы выбрать китайские передачи комментариев Weng Baoguang и Zhu Yuanyu; для поздней рецепции добавить каталожную карточку Tao Susi. Это три разные комментарийные версии, а не три копии одного цифрового файла. Для последней установлен только каталог: ссылка на карточку не означает доступ к полному тексту.</w:t>
      </w:r>
      <w:r>
        <w:t xml:space="preserve">  [</w:t>
      </w:r>
      <w:hyperlink r:id="rId61">
        <w:r>
          <w:rPr>
            <w:color w:val="156181"/>
            <w:u w:val="single"/>
          </w:rPr>
          <w:t>R022</w:t>
        </w:r>
      </w:hyperlink>
      <w:r>
        <w:t xml:space="preserve">; </w:t>
      </w:r>
      <w:hyperlink r:id="rId40">
        <w:r>
          <w:rPr>
            <w:color w:val="156181"/>
            <w:u w:val="single"/>
          </w:rPr>
          <w:t>R023</w:t>
        </w:r>
      </w:hyperlink>
      <w:r>
        <w:t xml:space="preserve">; </w:t>
      </w:r>
      <w:hyperlink r:id="rId41">
        <w:r>
          <w:rPr>
            <w:color w:val="156181"/>
            <w:u w:val="single"/>
          </w:rPr>
          <w:t>R063</w:t>
        </w:r>
      </w:hyperlink>
      <w:r>
        <w:t>]</w:t>
      </w:r>
    </w:p>
    <w:p>
      <w:r>
        <w:t>Awakening to Reality Фабрицио Прегадио — аннотированный перевод первой части, 16 регулярных стихотворений, с выборкой из комментария Liu Yiming. Даже покупка этой книги не даёт полного Wuzhen pian. Understanding Reality Томаса Клири с кратким комментарием Liu Yiming доступен у University of Hawai‘i Press; альтернативно его можно приобрести в The Taoist Classics II, вместе с другими переводами. Полнота всего исходного комментария не подтверждается словом «commentary» на обложке.</w:t>
      </w:r>
      <w:r>
        <w:t xml:space="preserve">  [</w:t>
      </w:r>
      <w:hyperlink r:id="rId62">
        <w:r>
          <w:rPr>
            <w:color w:val="156181"/>
            <w:u w:val="single"/>
          </w:rPr>
          <w:t>R013</w:t>
        </w:r>
      </w:hyperlink>
      <w:r>
        <w:t xml:space="preserve">; </w:t>
      </w:r>
      <w:hyperlink r:id="rId44">
        <w:r>
          <w:rPr>
            <w:color w:val="156181"/>
            <w:u w:val="single"/>
          </w:rPr>
          <w:t>R068</w:t>
        </w:r>
      </w:hyperlink>
      <w:r>
        <w:t xml:space="preserve">; </w:t>
      </w:r>
      <w:hyperlink r:id="rId63">
        <w:r>
          <w:rPr>
            <w:color w:val="156181"/>
            <w:u w:val="single"/>
          </w:rPr>
          <w:t>R069</w:t>
        </w:r>
      </w:hyperlink>
      <w:r>
        <w:t>]</w:t>
      </w:r>
    </w:p>
    <w:p>
      <w:r>
        <w:t>Для русского читателя найден важный неочевидный вход: официальный сборник «Ицзин. Книга Перемен» у «Азбуки» прямо включает перевод Wuzhen pian Е. А. Торчинова. Отдельная карточка издания 1994 года у ИВР РАН ведёт на 15-страничный preview: он подтверждает издание, но не содержит полного перевода. Поэтому бесплатный полный русский текст не заявлен. Старые публичнодоменные переводы самого Wuzhen среди проверенных вариантов не найдены.</w:t>
      </w:r>
      <w:r>
        <w:t xml:space="preserve">  [</w:t>
      </w:r>
      <w:hyperlink r:id="rId64">
        <w:r>
          <w:rPr>
            <w:color w:val="156181"/>
            <w:u w:val="single"/>
          </w:rPr>
          <w:t>R065</w:t>
        </w:r>
      </w:hyperlink>
      <w:r>
        <w:t xml:space="preserve">; </w:t>
      </w:r>
      <w:hyperlink r:id="rId65">
        <w:r>
          <w:rPr>
            <w:color w:val="156181"/>
            <w:u w:val="single"/>
          </w:rPr>
          <w:t>R066</w:t>
        </w:r>
      </w:hyperlink>
      <w:r>
        <w:t>]</w:t>
      </w:r>
    </w:p>
    <w:p>
      <w:r>
        <w:t>Для бесплатного ознакомления с алхимической терминологией полезны preview и китайское приложение к антологии Neidan. Приложение можно скачать целиком, но оно представляет выбранные исходные тексты и само предупреждает, что не заменяет печатные источники. Его бесплатность не доказала права на зеркало или новый перевод на основе современной редакционной работы.</w:t>
      </w:r>
      <w:r>
        <w:t xml:space="preserve">  [</w:t>
      </w:r>
      <w:hyperlink r:id="rId66">
        <w:r>
          <w:rPr>
            <w:color w:val="156181"/>
            <w:u w:val="single"/>
          </w:rPr>
          <w:t>R020</w:t>
        </w:r>
      </w:hyperlink>
      <w:r>
        <w:t xml:space="preserve">; </w:t>
      </w:r>
      <w:hyperlink r:id="rId66">
        <w:r>
          <w:rPr>
            <w:color w:val="156181"/>
            <w:u w:val="single"/>
          </w:rPr>
          <w:t>R021</w:t>
        </w:r>
      </w:hyperlink>
      <w:r>
        <w:t>]</w:t>
      </w:r>
    </w:p>
    <w:p>
      <w:pPr>
        <w:pStyle w:val="Heading2"/>
      </w:pPr>
      <w:r>
        <w:t>3.5. Zhong-Lü и Zhonghe</w:t>
      </w:r>
    </w:p>
    <w:p>
      <w:r>
        <w:t>Zhong Lü chuandao ji и Lingbao bifa доступны как отдельные китайские текстовые репозитории. У Livia Kohn они объединены в The Zhong-Lü System of Internal Alchemy: один платный маршрут даёт два полных английских перевода. Бесплатная часть — оглавление и введение, не PDF всей книги. Для chuandao ji сохранён также перевод Eva Wong.</w:t>
      </w:r>
      <w:r>
        <w:t xml:space="preserve">  [</w:t>
      </w:r>
      <w:hyperlink r:id="rId21">
        <w:r>
          <w:rPr>
            <w:color w:val="156181"/>
            <w:u w:val="single"/>
          </w:rPr>
          <w:t>R010</w:t>
        </w:r>
      </w:hyperlink>
      <w:r>
        <w:t xml:space="preserve">; </w:t>
      </w:r>
      <w:hyperlink r:id="rId67">
        <w:r>
          <w:rPr>
            <w:color w:val="156181"/>
            <w:u w:val="single"/>
          </w:rPr>
          <w:t>R047</w:t>
        </w:r>
      </w:hyperlink>
      <w:r>
        <w:t xml:space="preserve">; </w:t>
      </w:r>
      <w:hyperlink r:id="rId24">
        <w:r>
          <w:rPr>
            <w:color w:val="156181"/>
            <w:u w:val="single"/>
          </w:rPr>
          <w:t>R040</w:t>
        </w:r>
      </w:hyperlink>
      <w:r>
        <w:t xml:space="preserve">; </w:t>
      </w:r>
      <w:hyperlink r:id="rId68">
        <w:r>
          <w:rPr>
            <w:color w:val="156181"/>
            <w:u w:val="single"/>
          </w:rPr>
          <w:t>R042</w:t>
        </w:r>
      </w:hyperlink>
      <w:r>
        <w:t>]</w:t>
      </w:r>
    </w:p>
    <w:p>
      <w:r>
        <w:t>Lingbao bifa не следует включать в ранний Lingbao только из-за слова Lingbao в названии: в этой карте он связан с Zhong-Lü и внутренней алхимией. Аналогично традиционная диалогическая атрибуция Zhongli Quan / Lü Dongbin не означает установленного буквального авторства.</w:t>
      </w:r>
      <w:r>
        <w:t xml:space="preserve">  [</w:t>
      </w:r>
      <w:hyperlink r:id="rId24">
        <w:r>
          <w:rPr>
            <w:color w:val="156181"/>
            <w:u w:val="single"/>
          </w:rPr>
          <w:t>R040</w:t>
        </w:r>
      </w:hyperlink>
      <w:r>
        <w:t xml:space="preserve">; </w:t>
      </w:r>
      <w:hyperlink r:id="rId67">
        <w:r>
          <w:rPr>
            <w:color w:val="156181"/>
            <w:u w:val="single"/>
          </w:rPr>
          <w:t>R047</w:t>
        </w:r>
      </w:hyperlink>
      <w:r>
        <w:t>]</w:t>
      </w:r>
    </w:p>
    <w:p>
      <w:r>
        <w:t>Для Zhonghe ji оптимальна пара: китайский KR5a0250 / DZ249 и The Book of Balance and Harmony Клири. Сборное The Taoist Classics II даёт другой издательский вход к тому же переводу и соседним алхимическим текстам; он учтён как один пакет, не как четыре фиктивно независимых корпуса.</w:t>
      </w:r>
      <w:r>
        <w:t xml:space="preserve">  [</w:t>
      </w:r>
      <w:hyperlink r:id="rId23">
        <w:r>
          <w:rPr>
            <w:color w:val="156181"/>
            <w:u w:val="single"/>
          </w:rPr>
          <w:t>R012</w:t>
        </w:r>
      </w:hyperlink>
      <w:r>
        <w:t xml:space="preserve">; </w:t>
      </w:r>
      <w:hyperlink r:id="rId69">
        <w:r>
          <w:rPr>
            <w:color w:val="156181"/>
            <w:u w:val="single"/>
          </w:rPr>
          <w:t>R041</w:t>
        </w:r>
      </w:hyperlink>
      <w:r>
        <w:t xml:space="preserve">; </w:t>
      </w:r>
      <w:hyperlink r:id="rId63">
        <w:r>
          <w:rPr>
            <w:color w:val="156181"/>
            <w:u w:val="single"/>
          </w:rPr>
          <w:t>R069</w:t>
        </w:r>
      </w:hyperlink>
      <w:r>
        <w:t>]</w:t>
      </w:r>
    </w:p>
    <w:p>
      <w:pPr>
        <w:pStyle w:val="Heading2"/>
      </w:pPr>
      <w:r>
        <w:t>3.6. Quanzhen, медитация и предписания</w:t>
      </w:r>
    </w:p>
    <w:p>
      <w:r>
        <w:t>Для раннего Quanzhen основной цифровой якорь — Chongyang quanzhen ji; карточка его поздней редакции в Daozang jiyao показывает продолжение книжной передачи. Отдельный компактный переводный вход — Chongyang lijiao shiwu lun. Антология Komjathy, The Way of Complete Perfection, расширяет чтение до 21 полного или частичного перевода; конкретную полноту каждого необходимо уточнять по оглавлению и аппарату.</w:t>
      </w:r>
      <w:r>
        <w:t xml:space="preserve">  [</w:t>
      </w:r>
      <w:hyperlink r:id="rId22">
        <w:r>
          <w:rPr>
            <w:color w:val="156181"/>
            <w:u w:val="single"/>
          </w:rPr>
          <w:t>R011</w:t>
        </w:r>
      </w:hyperlink>
      <w:r>
        <w:t xml:space="preserve">; </w:t>
      </w:r>
      <w:hyperlink r:id="rId43">
        <w:r>
          <w:rPr>
            <w:color w:val="156181"/>
            <w:u w:val="single"/>
          </w:rPr>
          <w:t>R064</w:t>
        </w:r>
      </w:hyperlink>
      <w:r>
        <w:t xml:space="preserve">; </w:t>
      </w:r>
      <w:hyperlink r:id="rId70">
        <w:r>
          <w:rPr>
            <w:color w:val="156181"/>
            <w:u w:val="single"/>
          </w:rPr>
          <w:t>R018</w:t>
        </w:r>
      </w:hyperlink>
      <w:r>
        <w:t xml:space="preserve">; </w:t>
      </w:r>
      <w:hyperlink r:id="rId26">
        <w:r>
          <w:rPr>
            <w:color w:val="156181"/>
            <w:u w:val="single"/>
          </w:rPr>
          <w:t>R055</w:t>
        </w:r>
      </w:hyperlink>
      <w:r>
        <w:t>]</w:t>
      </w:r>
    </w:p>
    <w:p>
      <w:r>
        <w:t>Для сравнения письменных моделей медитации и внутренней культивации добавлены Zuowang lun, Tianyin zi, Huangting neijing, Daoshu и Xishan qunxian huizhen ji. Их связь со строкой предметная: те же медитативные, телесные и алхимические текстовые линии, а не общее тематическое сходство с «восточной духовностью». Веб-входы дают китайский, но не удостоверяют традиционные персональные атрибуции без дальнейшей текстологии.</w:t>
      </w:r>
      <w:r>
        <w:t xml:space="preserve">  [</w:t>
      </w:r>
      <w:hyperlink r:id="rId71">
        <w:r>
          <w:rPr>
            <w:color w:val="156181"/>
            <w:u w:val="single"/>
          </w:rPr>
          <w:t>R045</w:t>
        </w:r>
      </w:hyperlink>
      <w:r>
        <w:t xml:space="preserve">; </w:t>
      </w:r>
      <w:hyperlink r:id="rId72">
        <w:r>
          <w:rPr>
            <w:color w:val="156181"/>
            <w:u w:val="single"/>
          </w:rPr>
          <w:t>R028</w:t>
        </w:r>
      </w:hyperlink>
      <w:r>
        <w:t xml:space="preserve">; </w:t>
      </w:r>
      <w:hyperlink r:id="rId32">
        <w:r>
          <w:rPr>
            <w:color w:val="156181"/>
            <w:u w:val="single"/>
          </w:rPr>
          <w:t>R024</w:t>
        </w:r>
      </w:hyperlink>
      <w:r>
        <w:t xml:space="preserve">; </w:t>
      </w:r>
      <w:hyperlink r:id="rId73">
        <w:r>
          <w:rPr>
            <w:color w:val="156181"/>
            <w:u w:val="single"/>
          </w:rPr>
          <w:t>R027</w:t>
        </w:r>
      </w:hyperlink>
      <w:r>
        <w:t xml:space="preserve">; </w:t>
      </w:r>
      <w:hyperlink r:id="rId74">
        <w:r>
          <w:rPr>
            <w:color w:val="156181"/>
            <w:u w:val="single"/>
          </w:rPr>
          <w:t>R051</w:t>
        </w:r>
      </w:hyperlink>
      <w:r>
        <w:t>]</w:t>
      </w:r>
    </w:p>
    <w:p>
      <w:pPr>
        <w:pStyle w:val="Heading2"/>
      </w:pPr>
      <w:r>
        <w:t>3.7. Предшественники и поздний ореол</w:t>
      </w:r>
    </w:p>
    <w:p>
      <w:r>
        <w:t>Для Taiping jing доступны 57 дошедших канонических цзюаней, а не исходные 170; Hendrischke переводит главы 41–66 без утраченной 49-й. Wushang biyao представлен сохранившимися 68 цзюанями из исходных 100. Такие случаи помечены substantial_part даже тогда, когда весь конкретный цифровой репозиторий открыт.</w:t>
      </w:r>
      <w:r>
        <w:t xml:space="preserve">  [</w:t>
      </w:r>
      <w:hyperlink r:id="rId29">
        <w:r>
          <w:rPr>
            <w:color w:val="156181"/>
            <w:u w:val="single"/>
          </w:rPr>
          <w:t>R049</w:t>
        </w:r>
      </w:hyperlink>
      <w:r>
        <w:t xml:space="preserve">; </w:t>
      </w:r>
      <w:hyperlink r:id="rId30">
        <w:r>
          <w:rPr>
            <w:color w:val="156181"/>
            <w:u w:val="single"/>
          </w:rPr>
          <w:t>R052</w:t>
        </w:r>
      </w:hyperlink>
      <w:r>
        <w:t xml:space="preserve">; </w:t>
      </w:r>
      <w:hyperlink r:id="rId75">
        <w:r>
          <w:rPr>
            <w:color w:val="156181"/>
            <w:u w:val="single"/>
          </w:rPr>
          <w:t>R044</w:t>
        </w:r>
      </w:hyperlink>
      <w:r>
        <w:t>]</w:t>
      </w:r>
    </w:p>
    <w:p>
      <w:r>
        <w:t>Baopuzi neipian, Huangting waijing и Lingbao wufu xu дают китайские входы в более ранние слои. Для Cantong qi и Jiudan jing сохранены современные защищённые переводы Прегадио. Старые английские Laozi и Zhuangzi доступны у Project Gutenberg; сборник Balfour 1884 года — институциональным сканом Internet Archive, включая несколько малых даосских текстов, но с отдельно не проверенной полнотой каждого.</w:t>
      </w:r>
      <w:r>
        <w:t xml:space="preserve">  [</w:t>
      </w:r>
      <w:hyperlink r:id="rId34">
        <w:r>
          <w:rPr>
            <w:color w:val="156181"/>
            <w:u w:val="single"/>
          </w:rPr>
          <w:t>R048</w:t>
        </w:r>
      </w:hyperlink>
      <w:r>
        <w:t xml:space="preserve">; </w:t>
      </w:r>
      <w:hyperlink r:id="rId33">
        <w:r>
          <w:rPr>
            <w:color w:val="156181"/>
            <w:u w:val="single"/>
          </w:rPr>
          <w:t>R025</w:t>
        </w:r>
      </w:hyperlink>
      <w:r>
        <w:t xml:space="preserve">; </w:t>
      </w:r>
      <w:hyperlink r:id="rId35">
        <w:r>
          <w:rPr>
            <w:color w:val="156181"/>
            <w:u w:val="single"/>
          </w:rPr>
          <w:t>R058</w:t>
        </w:r>
      </w:hyperlink>
      <w:r>
        <w:t xml:space="preserve">; </w:t>
      </w:r>
      <w:hyperlink r:id="rId37">
        <w:r>
          <w:rPr>
            <w:color w:val="156181"/>
            <w:u w:val="single"/>
          </w:rPr>
          <w:t>R014</w:t>
        </w:r>
      </w:hyperlink>
      <w:r>
        <w:t xml:space="preserve">; </w:t>
      </w:r>
      <w:hyperlink r:id="rId36">
        <w:r>
          <w:rPr>
            <w:color w:val="156181"/>
            <w:u w:val="single"/>
          </w:rPr>
          <w:t>R019</w:t>
        </w:r>
      </w:hyperlink>
      <w:r>
        <w:t xml:space="preserve">; </w:t>
      </w:r>
      <w:hyperlink r:id="rId27">
        <w:r>
          <w:rPr>
            <w:color w:val="156181"/>
            <w:u w:val="single"/>
          </w:rPr>
          <w:t>R035</w:t>
        </w:r>
      </w:hyperlink>
      <w:r>
        <w:t xml:space="preserve">; </w:t>
      </w:r>
      <w:hyperlink r:id="rId28">
        <w:r>
          <w:rPr>
            <w:color w:val="156181"/>
            <w:u w:val="single"/>
          </w:rPr>
          <w:t>R036</w:t>
        </w:r>
      </w:hyperlink>
      <w:r>
        <w:t xml:space="preserve">; </w:t>
      </w:r>
      <w:hyperlink r:id="rId76">
        <w:r>
          <w:rPr>
            <w:color w:val="156181"/>
            <w:u w:val="single"/>
          </w:rPr>
          <w:t>R037</w:t>
        </w:r>
      </w:hyperlink>
      <w:r>
        <w:t>]</w:t>
      </w:r>
    </w:p>
    <w:p>
      <w:r>
        <w:t>Из поздних объектов наиболее свободное проверенное изображение — лист Xingming guizhi L0038971 у Wellcome, с CC BY 4.0; это только один лист. Для позднего Longmen найден Xiuzhen houbian Лю Имина в переводе Прегадио: полный перевод платный, 48-страничный sample бесплатный. Для Jinhua zongzhi подтверждены два авторизованных английских фрагмента. Ни один из этих маршрутов не подменяет полный открытый китайский корпус позднего neidan.</w:t>
      </w:r>
      <w:r>
        <w:t xml:space="preserve">  [</w:t>
      </w:r>
      <w:hyperlink r:id="rId15">
        <w:r>
          <w:rPr>
            <w:color w:val="156181"/>
            <w:u w:val="single"/>
          </w:rPr>
          <w:t>R033</w:t>
        </w:r>
      </w:hyperlink>
      <w:r>
        <w:t xml:space="preserve">; </w:t>
      </w:r>
      <w:hyperlink r:id="rId42">
        <w:r>
          <w:rPr>
            <w:color w:val="156181"/>
            <w:u w:val="single"/>
          </w:rPr>
          <w:t>R062</w:t>
        </w:r>
      </w:hyperlink>
      <w:r>
        <w:t xml:space="preserve">; </w:t>
      </w:r>
      <w:hyperlink r:id="rId45">
        <w:r>
          <w:rPr>
            <w:color w:val="156181"/>
            <w:u w:val="single"/>
          </w:rPr>
          <w:t>R067</w:t>
        </w:r>
      </w:hyperlink>
      <w:r>
        <w:t>]</w:t>
      </w:r>
    </w:p>
    <w:p>
      <w:pPr>
        <w:pStyle w:val="Heading1"/>
        <w:pageBreakBefore/>
      </w:pPr>
      <w:r>
        <w:t>4. Карта прав и практического использования</w:t>
      </w:r>
    </w:p>
    <w:p>
      <w:pPr>
        <w:pStyle w:val="Heading2"/>
      </w:pPr>
      <w:r>
        <w:t>4.1. Открытый китайский текстовый слой</w:t>
      </w:r>
    </w:p>
    <w:p>
      <w:r>
        <w:t>Наиболее пригодный для содержательного переиспользования слой — 28 проверенных item-level транскрипций Kanseki. Официальный профиль проекта объявляет CC BY-SA 4.0 для коллекции текстов. Рекомендация ограничена китайскими TXT выбранных веток: она не охватывает внешние факсимиле, музейные фотографии и современные переводы. Уверенность medium отражает то, что основание проектное, а не отдельный LICENSE в каждом репозитории.</w:t>
      </w:r>
      <w:r>
        <w:t xml:space="preserve">  [</w:t>
      </w:r>
      <w:hyperlink r:id="rId12">
        <w:r>
          <w:rPr>
            <w:color w:val="156181"/>
            <w:u w:val="single"/>
          </w:rPr>
          <w:t>R003</w:t>
        </w:r>
      </w:hyperlink>
      <w:r>
        <w:t xml:space="preserve">; </w:t>
      </w:r>
      <w:hyperlink r:id="rId17">
        <w:r>
          <w:rPr>
            <w:color w:val="156181"/>
            <w:u w:val="single"/>
          </w:rPr>
          <w:t>R005</w:t>
        </w:r>
      </w:hyperlink>
      <w:r>
        <w:t xml:space="preserve">; </w:t>
      </w:r>
      <w:hyperlink r:id="rId18">
        <w:r>
          <w:rPr>
            <w:color w:val="156181"/>
            <w:u w:val="single"/>
          </w:rPr>
          <w:t>R006</w:t>
        </w:r>
      </w:hyperlink>
      <w:r>
        <w:t xml:space="preserve">; </w:t>
      </w:r>
      <w:hyperlink r:id="rId49">
        <w:r>
          <w:rPr>
            <w:color w:val="156181"/>
            <w:u w:val="single"/>
          </w:rPr>
          <w:t>R007</w:t>
        </w:r>
      </w:hyperlink>
      <w:r>
        <w:t xml:space="preserve">; </w:t>
      </w:r>
      <w:hyperlink r:id="rId61">
        <w:r>
          <w:rPr>
            <w:color w:val="156181"/>
            <w:u w:val="single"/>
          </w:rPr>
          <w:t>R022</w:t>
        </w:r>
      </w:hyperlink>
      <w:r>
        <w:t>]</w:t>
      </w:r>
    </w:p>
    <w:p>
      <w:r>
        <w:t xml:space="preserve">Практически это даёт основу для локальной исследовательской копии, зеркала с атрибуцией, полнотекстового индекса и обработки для embeddings. При распространении лицензируемых переработок нужно соблюдать ShareAlike, указывать источник, лицензию и изменения. Лицензия не создаёт новых прав на общественное достояние и не удостоверяет точность текста. </w:t>
      </w:r>
      <w:hyperlink r:id="rId77">
        <w:r>
          <w:rPr>
            <w:color w:val="156181"/>
            <w:u w:val="single"/>
          </w:rPr>
          <w:t>Официальное заявление Kanseki</w:t>
        </w:r>
      </w:hyperlink>
      <w:r>
        <w:t xml:space="preserve">; </w:t>
      </w:r>
      <w:hyperlink r:id="rId78">
        <w:r>
          <w:rPr>
            <w:color w:val="156181"/>
            <w:u w:val="single"/>
          </w:rPr>
          <w:t>CC BY-SA 4.0</w:t>
        </w:r>
      </w:hyperlink>
    </w:p>
    <w:p>
      <w:r>
        <w:t>OCR не ставился автоматически тем же записям: TXT уже является текстом, а право обрабатывать чужой скан из его наличия не следует. FULLTEXT_INDEX_OK и EMBEDDINGS_OK оценены отдельно как действия с разрешённым цифровым текстовым слоем. Публичный индекс, раскрывающий исходный текст, должен сохранять соответствующие условия; реестр не определяет заранее лицензию любых модельных весов или любых производных наборов.</w:t>
      </w:r>
    </w:p>
    <w:p>
      <w:pPr>
        <w:pStyle w:val="Heading2"/>
      </w:pPr>
      <w:r>
        <w:t>4.2. Некоммерческие данные и открытая фотография</w:t>
      </w:r>
    </w:p>
    <w:p>
      <w:r>
        <w:t>CRTA полезен ToS именно с некоммерческим условием: его собственные записи доступны по CC BY-NC-SA 4.0, если не оговорено иное. Это допускает соответствующее использование каталожного слоя с атрибуцией и сохранением условий при переработке. Лицензия карточки не передаётся на указанный в ней защищённый текст или фотографию. В R063 и R064 положительные теги относятся к метаданным, а RIGHTS_REVIEW_REQUIRED — к связанным полнотекстовым/изобразительным объектам.</w:t>
      </w:r>
      <w:r>
        <w:t xml:space="preserve">  [</w:t>
      </w:r>
      <w:hyperlink r:id="rId11">
        <w:r>
          <w:rPr>
            <w:color w:val="156181"/>
            <w:u w:val="single"/>
          </w:rPr>
          <w:t>R001</w:t>
        </w:r>
      </w:hyperlink>
      <w:r>
        <w:t xml:space="preserve">; </w:t>
      </w:r>
      <w:hyperlink r:id="rId48">
        <w:r>
          <w:rPr>
            <w:color w:val="156181"/>
            <w:u w:val="single"/>
          </w:rPr>
          <w:t>R002</w:t>
        </w:r>
      </w:hyperlink>
      <w:r>
        <w:t xml:space="preserve">; </w:t>
      </w:r>
      <w:hyperlink r:id="rId41">
        <w:r>
          <w:rPr>
            <w:color w:val="156181"/>
            <w:u w:val="single"/>
          </w:rPr>
          <w:t>R063</w:t>
        </w:r>
      </w:hyperlink>
      <w:r>
        <w:t xml:space="preserve">; </w:t>
      </w:r>
      <w:hyperlink r:id="rId43">
        <w:r>
          <w:rPr>
            <w:color w:val="156181"/>
            <w:u w:val="single"/>
          </w:rPr>
          <w:t>R064</w:t>
        </w:r>
      </w:hyperlink>
      <w:r>
        <w:t>]</w:t>
      </w:r>
    </w:p>
    <w:p>
      <w:r>
        <w:t>Отдельный krpmulu имеет собственную CC BY 4.0 и не должен сливаться по правам с другим проектом только из-за похожего назначения. Для Wellcome L0038971 подтверждена CC BY 4.0 на конкретную фотографию: разрешение на зеркало, OCR, индекс, embeddings и собственный перевод ограничено одним изображением и читаемым на нём текстом.</w:t>
      </w:r>
      <w:r>
        <w:t xml:space="preserve">  [</w:t>
      </w:r>
      <w:hyperlink r:id="rId16">
        <w:r>
          <w:rPr>
            <w:color w:val="156181"/>
            <w:u w:val="single"/>
          </w:rPr>
          <w:t>R034</w:t>
        </w:r>
      </w:hyperlink>
      <w:r>
        <w:t xml:space="preserve">; </w:t>
      </w:r>
      <w:hyperlink r:id="rId15">
        <w:r>
          <w:rPr>
            <w:color w:val="156181"/>
            <w:u w:val="single"/>
          </w:rPr>
          <w:t>R033</w:t>
        </w:r>
      </w:hyperlink>
      <w:r>
        <w:t>]</w:t>
      </w:r>
      <w:r>
        <w:t xml:space="preserve">  </w:t>
      </w:r>
      <w:hyperlink r:id="rId79">
        <w:r>
          <w:rPr>
            <w:color w:val="156181"/>
            <w:u w:val="single"/>
          </w:rPr>
          <w:t>CC BY 4.0</w:t>
        </w:r>
      </w:hyperlink>
    </w:p>
    <w:p>
      <w:pPr>
        <w:pStyle w:val="Heading2"/>
      </w:pPr>
      <w:r>
        <w:t>4.3. Чтение и загрузка без доказанного права на зеркало</w:t>
      </w:r>
    </w:p>
    <w:p>
      <w:r>
        <w:t>Русские статьи Филонова и китайское приложение к антологии Прегадио доступны для бесплатного чтения/скачивания с официальных страниц. Право публичного повторного размещения, открытого полнотекстового индекса или embeddings для этих защищённых современных слоёв не подтверждено. LOCAL_RESEARCH_COPY относится только к выложенному исследовательскому файлу, не к массовому импорту всего сайта.</w:t>
      </w:r>
      <w:r>
        <w:t xml:space="preserve">  [</w:t>
      </w:r>
      <w:hyperlink r:id="rId14">
        <w:r>
          <w:rPr>
            <w:color w:val="156181"/>
            <w:u w:val="single"/>
          </w:rPr>
          <w:t>R032</w:t>
        </w:r>
      </w:hyperlink>
      <w:r>
        <w:t xml:space="preserve">; </w:t>
      </w:r>
      <w:hyperlink r:id="rId52">
        <w:r>
          <w:rPr>
            <w:color w:val="156181"/>
            <w:u w:val="single"/>
          </w:rPr>
          <w:t>R038</w:t>
        </w:r>
      </w:hyperlink>
      <w:r>
        <w:t xml:space="preserve">; </w:t>
      </w:r>
      <w:hyperlink r:id="rId66">
        <w:r>
          <w:rPr>
            <w:color w:val="156181"/>
            <w:u w:val="single"/>
          </w:rPr>
          <w:t>R021</w:t>
        </w:r>
      </w:hyperlink>
      <w:r>
        <w:t>]</w:t>
      </w:r>
    </w:p>
    <w:p>
      <w:r>
        <w:t>Издания Golden Elixir Press, Three Pines Press, UC Press, UH Press, SUNY, Oxford и Shambhala сохраняются в реестре и без открытой лицензии: их можно найти, просмотреть в доступном объёме и приобрести либо читать через соответствующую подписку. Preview — отдельная ограниченная часть, а не подразумеваемый свободный полный текст. Не найдено ни оснований для обхода ограничений, ни оснований приравнивать отсутствие DRM к разрешению распространять файл.</w:t>
      </w:r>
      <w:r>
        <w:t xml:space="preserve">  [</w:t>
      </w:r>
      <w:hyperlink r:id="rId62">
        <w:r>
          <w:rPr>
            <w:color w:val="156181"/>
            <w:u w:val="single"/>
          </w:rPr>
          <w:t>R013</w:t>
        </w:r>
      </w:hyperlink>
      <w:r>
        <w:t xml:space="preserve">; </w:t>
      </w:r>
      <w:hyperlink r:id="rId36">
        <w:r>
          <w:rPr>
            <w:color w:val="156181"/>
            <w:u w:val="single"/>
          </w:rPr>
          <w:t>R019</w:t>
        </w:r>
      </w:hyperlink>
      <w:r>
        <w:t xml:space="preserve">; </w:t>
      </w:r>
      <w:hyperlink r:id="rId31">
        <w:r>
          <w:rPr>
            <w:color w:val="156181"/>
            <w:u w:val="single"/>
          </w:rPr>
          <w:t>R030</w:t>
        </w:r>
      </w:hyperlink>
      <w:r>
        <w:t xml:space="preserve">; </w:t>
      </w:r>
      <w:hyperlink r:id="rId24">
        <w:r>
          <w:rPr>
            <w:color w:val="156181"/>
            <w:u w:val="single"/>
          </w:rPr>
          <w:t>R040</w:t>
        </w:r>
      </w:hyperlink>
      <w:r>
        <w:t xml:space="preserve">; </w:t>
      </w:r>
      <w:hyperlink r:id="rId25">
        <w:r>
          <w:rPr>
            <w:color w:val="156181"/>
            <w:u w:val="single"/>
          </w:rPr>
          <w:t>R053</w:t>
        </w:r>
      </w:hyperlink>
      <w:r>
        <w:t xml:space="preserve">; </w:t>
      </w:r>
      <w:hyperlink r:id="rId59">
        <w:r>
          <w:rPr>
            <w:color w:val="156181"/>
            <w:u w:val="single"/>
          </w:rPr>
          <w:t>R054</w:t>
        </w:r>
      </w:hyperlink>
      <w:r>
        <w:t xml:space="preserve">; </w:t>
      </w:r>
      <w:hyperlink r:id="rId26">
        <w:r>
          <w:rPr>
            <w:color w:val="156181"/>
            <w:u w:val="single"/>
          </w:rPr>
          <w:t>R055</w:t>
        </w:r>
      </w:hyperlink>
      <w:r>
        <w:t xml:space="preserve">; </w:t>
      </w:r>
      <w:hyperlink r:id="rId42">
        <w:r>
          <w:rPr>
            <w:color w:val="156181"/>
            <w:u w:val="single"/>
          </w:rPr>
          <w:t>R062</w:t>
        </w:r>
      </w:hyperlink>
      <w:r>
        <w:t xml:space="preserve">; </w:t>
      </w:r>
      <w:hyperlink r:id="rId44">
        <w:r>
          <w:rPr>
            <w:color w:val="156181"/>
            <w:u w:val="single"/>
          </w:rPr>
          <w:t>R068</w:t>
        </w:r>
      </w:hyperlink>
      <w:r>
        <w:t>]</w:t>
      </w:r>
    </w:p>
    <w:p>
      <w:r>
        <w:t>Режимы Controlled Digital Lending и бесплатной библиотечной выдачи не заявлены: конкретный доступный экземпляр с текущей кнопкой Borrow не подтверждён. Институциональные маршруты сохранены отдельно. Это не утверждение, что библиотечных экземпляров не существует.</w:t>
      </w:r>
      <w:r>
        <w:t xml:space="preserve">  [</w:t>
      </w:r>
      <w:hyperlink r:id="rId59">
        <w:r>
          <w:rPr>
            <w:color w:val="156181"/>
            <w:u w:val="single"/>
          </w:rPr>
          <w:t>R054</w:t>
        </w:r>
      </w:hyperlink>
      <w:r>
        <w:t xml:space="preserve">; </w:t>
      </w:r>
      <w:hyperlink r:id="rId47">
        <w:r>
          <w:rPr>
            <w:color w:val="156181"/>
            <w:u w:val="single"/>
          </w:rPr>
          <w:t>R060</w:t>
        </w:r>
      </w:hyperlink>
      <w:r>
        <w:t>]</w:t>
      </w:r>
    </w:p>
    <w:p>
      <w:pPr>
        <w:pStyle w:val="Heading2"/>
      </w:pPr>
      <w:r>
        <w:t>4.4. Общественное достояние и собственный перевод</w:t>
      </w:r>
    </w:p>
    <w:p>
      <w:r>
        <w:t>У старых переводов Project Gutenberg есть явное заявление об общественном достоянии в США; рекомендации зеркалирования и индексации в этих записях ограничены этой юрисдикцией и условиями PG. Для всемирной публикации оставлена правовая проверка. Скан Balfour 1884 года сохранён как законный институциональный вход, но отсутствие прочитанного item-level разрешения не компенсировалось одной лишь датой на титуле.</w:t>
      </w:r>
      <w:r>
        <w:t xml:space="preserve">  [</w:t>
      </w:r>
      <w:hyperlink r:id="rId27">
        <w:r>
          <w:rPr>
            <w:color w:val="156181"/>
            <w:u w:val="single"/>
          </w:rPr>
          <w:t>R035</w:t>
        </w:r>
      </w:hyperlink>
      <w:r>
        <w:t xml:space="preserve">; </w:t>
      </w:r>
      <w:hyperlink r:id="rId28">
        <w:r>
          <w:rPr>
            <w:color w:val="156181"/>
            <w:u w:val="single"/>
          </w:rPr>
          <w:t>R036</w:t>
        </w:r>
      </w:hyperlink>
      <w:r>
        <w:t xml:space="preserve">; </w:t>
      </w:r>
      <w:hyperlink r:id="rId76">
        <w:r>
          <w:rPr>
            <w:color w:val="156181"/>
            <w:u w:val="single"/>
          </w:rPr>
          <w:t>R037</w:t>
        </w:r>
      </w:hyperlink>
      <w:r>
        <w:t>]</w:t>
      </w:r>
    </w:p>
    <w:p>
      <w:r>
        <w:t>В 29 записях отмечена возможная чистая основа для собственного перевода: 28 китайских транскрипций Kanseki и один исторический лист Wellcome. Для неполных Sandong zhongjie wen, Taiping jing, Wushang biyao и словесного слоя Lingbao wufu xu этот тег ограничен фактически представленным объёмом. Существование современного английского/русского перевода само по себе такого тега не даёт.</w:t>
      </w:r>
      <w:r>
        <w:t xml:space="preserve">  [</w:t>
      </w:r>
      <w:hyperlink r:id="rId19">
        <w:r>
          <w:rPr>
            <w:color w:val="156181"/>
            <w:u w:val="single"/>
          </w:rPr>
          <w:t>R008</w:t>
        </w:r>
      </w:hyperlink>
      <w:r>
        <w:t xml:space="preserve">; </w:t>
      </w:r>
      <w:hyperlink r:id="rId29">
        <w:r>
          <w:rPr>
            <w:color w:val="156181"/>
            <w:u w:val="single"/>
          </w:rPr>
          <w:t>R049</w:t>
        </w:r>
      </w:hyperlink>
      <w:r>
        <w:t xml:space="preserve">; </w:t>
      </w:r>
      <w:hyperlink r:id="rId75">
        <w:r>
          <w:rPr>
            <w:color w:val="156181"/>
            <w:u w:val="single"/>
          </w:rPr>
          <w:t>R044</w:t>
        </w:r>
      </w:hyperlink>
      <w:r>
        <w:t xml:space="preserve">; </w:t>
      </w:r>
      <w:hyperlink r:id="rId35">
        <w:r>
          <w:rPr>
            <w:color w:val="156181"/>
            <w:u w:val="single"/>
          </w:rPr>
          <w:t>R058</w:t>
        </w:r>
      </w:hyperlink>
      <w:r>
        <w:t xml:space="preserve">; </w:t>
      </w:r>
      <w:hyperlink r:id="rId15">
        <w:r>
          <w:rPr>
            <w:color w:val="156181"/>
            <w:u w:val="single"/>
          </w:rPr>
          <w:t>R033</w:t>
        </w:r>
      </w:hyperlink>
      <w:r>
        <w:t>]</w:t>
      </w:r>
    </w:p>
    <w:p>
      <w:r>
        <w:t>Подтверждённого набора с условием NoDerivatives в основной реестр не вошло; поэтому категория «распространять только неизменённым» не заполнялась по предположению. ShareAlike не означает запрет на изменение. Некоммерческий характер ToS также не заменяет необходимую лицензию.</w:t>
      </w:r>
    </w:p>
    <w:p>
      <w:pPr>
        <w:pStyle w:val="Heading1"/>
        <w:pageBreakBefore w:val="0"/>
      </w:pPr>
      <w:r>
        <w:t>5. Характерные правовые и текстологические тонкости</w:t>
      </w:r>
    </w:p>
    <w:p>
      <w:pPr>
        <w:pStyle w:val="Heading2"/>
      </w:pPr>
      <w:r>
        <w:t>Поздний носитель — не ранний оригинал</w:t>
      </w:r>
    </w:p>
    <w:p>
      <w:r>
        <w:t>Дата произведения, дата комментария, дата печатной редакции и дата цифрового файла разделены. Duren DZ1 не датирован целиком концом IV века; Xu Daozang 1607, Jiyao 1906 и комментарии Цин не исключены из-за позднего возраста. Номер KR также не равен номеру DZ: например, KR5a0092 соответствует исследованной записи DZ91. Такая осторожность предотвращает и исторические ошибки, и перенос прав между версиями.</w:t>
      </w:r>
      <w:r>
        <w:t xml:space="preserve">  [</w:t>
      </w:r>
      <w:hyperlink r:id="rId17">
        <w:r>
          <w:rPr>
            <w:color w:val="156181"/>
            <w:u w:val="single"/>
          </w:rPr>
          <w:t>R005</w:t>
        </w:r>
      </w:hyperlink>
      <w:r>
        <w:t xml:space="preserve">; </w:t>
      </w:r>
      <w:hyperlink r:id="rId55">
        <w:r>
          <w:rPr>
            <w:color w:val="156181"/>
            <w:u w:val="single"/>
          </w:rPr>
          <w:t>R057</w:t>
        </w:r>
      </w:hyperlink>
      <w:r>
        <w:t xml:space="preserve">; </w:t>
      </w:r>
      <w:hyperlink r:id="rId43">
        <w:r>
          <w:rPr>
            <w:color w:val="156181"/>
            <w:u w:val="single"/>
          </w:rPr>
          <w:t>R064</w:t>
        </w:r>
      </w:hyperlink>
      <w:r>
        <w:t>]</w:t>
      </w:r>
    </w:p>
    <w:p>
      <w:pPr>
        <w:pStyle w:val="Heading2"/>
      </w:pPr>
      <w:r>
        <w:t>Издательская карточка сильна для покупки, не всегда для датировки</w:t>
      </w:r>
    </w:p>
    <w:p>
      <w:r>
        <w:t>Издатель может надёжно подтвердить ISBN и состав книги и одновременно давать упрощённую рекламную периодизацию. В The Taoist Classics II формула «tenth-century» для Understanding Reality не принята как дата Wuzhen pian: специальное издание и DR указывают XI век. В реестре сохранён полезный официальный путь покупки, а расхождение отмечено, а не молча согласовано.</w:t>
      </w:r>
      <w:r>
        <w:t xml:space="preserve">  [</w:t>
      </w:r>
      <w:hyperlink r:id="rId63">
        <w:r>
          <w:rPr>
            <w:color w:val="156181"/>
            <w:u w:val="single"/>
          </w:rPr>
          <w:t>R069</w:t>
        </w:r>
      </w:hyperlink>
      <w:r>
        <w:t xml:space="preserve">; </w:t>
      </w:r>
      <w:hyperlink r:id="rId62">
        <w:r>
          <w:rPr>
            <w:color w:val="156181"/>
            <w:u w:val="single"/>
          </w:rPr>
          <w:t>R013</w:t>
        </w:r>
      </w:hyperlink>
      <w:r>
        <w:t>]</w:t>
      </w:r>
    </w:p>
    <w:p>
      <w:pPr>
        <w:pStyle w:val="Heading2"/>
      </w:pPr>
      <w:r>
        <w:t>Полный файл может содержать только фрагмент</w:t>
      </w:r>
    </w:p>
    <w:p>
      <w:r>
        <w:t>Самые существенные ограничения полноты: 16 стихотворений у Pregadio; предисловие Dadong у Miller; 15-страничный русский preview без самого перевода; 48-страничный sample Xiuzhen houbian; один лист Xingming; два раздела Jinhua. В случаях Taiping и Wushang утрата части исторического корпуса сохраняется даже при полном доступе к дошедшей цифровой версии.</w:t>
      </w:r>
      <w:r>
        <w:t xml:space="preserve">  [</w:t>
      </w:r>
      <w:hyperlink r:id="rId62">
        <w:r>
          <w:rPr>
            <w:color w:val="156181"/>
            <w:u w:val="single"/>
          </w:rPr>
          <w:t>R013</w:t>
        </w:r>
      </w:hyperlink>
      <w:r>
        <w:t xml:space="preserve">; </w:t>
      </w:r>
      <w:hyperlink r:id="rId51">
        <w:r>
          <w:rPr>
            <w:color w:val="156181"/>
            <w:u w:val="single"/>
          </w:rPr>
          <w:t>R043</w:t>
        </w:r>
      </w:hyperlink>
      <w:r>
        <w:t xml:space="preserve">; </w:t>
      </w:r>
      <w:hyperlink r:id="rId64">
        <w:r>
          <w:rPr>
            <w:color w:val="156181"/>
            <w:u w:val="single"/>
          </w:rPr>
          <w:t>R065</w:t>
        </w:r>
      </w:hyperlink>
      <w:r>
        <w:t xml:space="preserve">; </w:t>
      </w:r>
      <w:hyperlink r:id="rId42">
        <w:r>
          <w:rPr>
            <w:color w:val="156181"/>
            <w:u w:val="single"/>
          </w:rPr>
          <w:t>R062</w:t>
        </w:r>
      </w:hyperlink>
      <w:r>
        <w:t xml:space="preserve">; </w:t>
      </w:r>
      <w:hyperlink r:id="rId15">
        <w:r>
          <w:rPr>
            <w:color w:val="156181"/>
            <w:u w:val="single"/>
          </w:rPr>
          <w:t>R033</w:t>
        </w:r>
      </w:hyperlink>
      <w:r>
        <w:t xml:space="preserve">; </w:t>
      </w:r>
      <w:hyperlink r:id="rId45">
        <w:r>
          <w:rPr>
            <w:color w:val="156181"/>
            <w:u w:val="single"/>
          </w:rPr>
          <w:t>R067</w:t>
        </w:r>
      </w:hyperlink>
      <w:r>
        <w:t xml:space="preserve">; </w:t>
      </w:r>
      <w:hyperlink r:id="rId29">
        <w:r>
          <w:rPr>
            <w:color w:val="156181"/>
            <w:u w:val="single"/>
          </w:rPr>
          <w:t>R049</w:t>
        </w:r>
      </w:hyperlink>
      <w:r>
        <w:t xml:space="preserve">; </w:t>
      </w:r>
      <w:hyperlink r:id="rId75">
        <w:r>
          <w:rPr>
            <w:color w:val="156181"/>
            <w:u w:val="single"/>
          </w:rPr>
          <w:t>R044</w:t>
        </w:r>
      </w:hyperlink>
      <w:r>
        <w:t>]</w:t>
      </w:r>
    </w:p>
    <w:p>
      <w:pPr>
        <w:pStyle w:val="Heading2"/>
      </w:pPr>
      <w:r>
        <w:t>Талисман, транскрипция и каталог имеют разные права и функции</w:t>
      </w:r>
    </w:p>
    <w:p>
      <w:r>
        <w:t>Для Daofa huiyuan и Wufu xu текстовый экспорт не равен факсимиле сакральной графики. Для CRTA и krpmulu лицензия данных не равна лицензии изображений. Для русских научных переводов в свободно выложенном PDF древность китайского источника не освобождает современный перевод и аппарат. В цифровом комплекте каждый из этих слоёв нужно сохранять раздельно.</w:t>
      </w:r>
      <w:r>
        <w:t xml:space="preserve">  [</w:t>
      </w:r>
      <w:hyperlink r:id="rId60">
        <w:r>
          <w:rPr>
            <w:color w:val="156181"/>
            <w:u w:val="single"/>
          </w:rPr>
          <w:t>R026</w:t>
        </w:r>
      </w:hyperlink>
      <w:r>
        <w:t xml:space="preserve">; </w:t>
      </w:r>
      <w:hyperlink r:id="rId35">
        <w:r>
          <w:rPr>
            <w:color w:val="156181"/>
            <w:u w:val="single"/>
          </w:rPr>
          <w:t>R058</w:t>
        </w:r>
      </w:hyperlink>
      <w:r>
        <w:t xml:space="preserve">; </w:t>
      </w:r>
      <w:hyperlink r:id="rId11">
        <w:r>
          <w:rPr>
            <w:color w:val="156181"/>
            <w:u w:val="single"/>
          </w:rPr>
          <w:t>R001</w:t>
        </w:r>
      </w:hyperlink>
      <w:r>
        <w:t xml:space="preserve">; </w:t>
      </w:r>
      <w:hyperlink r:id="rId16">
        <w:r>
          <w:rPr>
            <w:color w:val="156181"/>
            <w:u w:val="single"/>
          </w:rPr>
          <w:t>R034</w:t>
        </w:r>
      </w:hyperlink>
      <w:r>
        <w:t xml:space="preserve">; </w:t>
      </w:r>
      <w:hyperlink r:id="rId14">
        <w:r>
          <w:rPr>
            <w:color w:val="156181"/>
            <w:u w:val="single"/>
          </w:rPr>
          <w:t>R032</w:t>
        </w:r>
      </w:hyperlink>
      <w:r>
        <w:t xml:space="preserve">; </w:t>
      </w:r>
      <w:hyperlink r:id="rId52">
        <w:r>
          <w:rPr>
            <w:color w:val="156181"/>
            <w:u w:val="single"/>
          </w:rPr>
          <w:t>R038</w:t>
        </w:r>
      </w:hyperlink>
      <w:r>
        <w:t>]</w:t>
      </w:r>
    </w:p>
    <w:p>
      <w:pPr>
        <w:pStyle w:val="Heading2"/>
      </w:pPr>
      <w:r>
        <w:t>Блокировка инструмента не доказывает отсутствие доступа</w:t>
      </w:r>
    </w:p>
    <w:p>
      <w:r>
        <w:t>403, CAPTCHA и страница с JavaScript фиксируются как предел проверки. Не утверждается, что объект удалён, не оцифрован или доступен незаконно. Не конструировались предполагаемые download URL, BnF ARK или сентябрьский CRTA dump. Для таких случаев оставлены точный кандидат, проверявшийся адрес и следующий предметный шаг.</w:t>
      </w:r>
      <w:r>
        <w:t xml:space="preserve">  [</w:t>
      </w:r>
      <w:hyperlink r:id="rId48">
        <w:r>
          <w:rPr>
            <w:color w:val="156181"/>
            <w:u w:val="single"/>
          </w:rPr>
          <w:t>R002</w:t>
        </w:r>
      </w:hyperlink>
      <w:r>
        <w:t xml:space="preserve">; </w:t>
      </w:r>
      <w:hyperlink r:id="rId47">
        <w:r>
          <w:rPr>
            <w:color w:val="156181"/>
            <w:u w:val="single"/>
          </w:rPr>
          <w:t>R060</w:t>
        </w:r>
      </w:hyperlink>
      <w:r>
        <w:t>]</w:t>
      </w:r>
    </w:p>
    <w:p>
      <w:pPr>
        <w:pStyle w:val="Heading1"/>
        <w:pageBreakBefore w:val="0"/>
      </w:pPr>
      <w:r>
        <w:t>6. Пробелы и дальнейший поиск</w:t>
      </w:r>
    </w:p>
    <w:p>
      <w:r>
        <w:t>Лист gaps содержит 21 запись. Для утраченного оригинала используется lost_original; для непроверенного кандидата — unverified_candidate; для технического препятствия — access_blocked. Эти состояния не взаимозаменяемы. Входы после XV века не удалены: отдельно сохранены проблемы полного Xingming, Jiyao/Xu Daozang, Jinhua, Xiuzhen biannan и других поздних алхимических текстов.</w:t>
      </w:r>
    </w:p>
    <w:p>
      <w:pPr>
        <w:pStyle w:val="Heading2"/>
      </w:pPr>
      <w:r>
        <w:t>1. Восстановить карту утраченных канонов, не изображая их целыми файлами</w:t>
      </w:r>
    </w:p>
    <w:p>
      <w:r>
        <w:t>G001–003. Проверить testimonia Sandong jingshu mulu, состав ранних танских и сунского Da Song Tiangong baozang, цитаты Yunji qiqian и ранние каталоги. Отдельно найти законные полные факсимиле Sanjiaben и дополнения 1607; TXT Kanseki не даёт права на сканы печатного переиздания.</w:t>
      </w:r>
      <w:r>
        <w:t xml:space="preserve">  [</w:t>
      </w:r>
      <w:hyperlink r:id="rId11">
        <w:r>
          <w:rPr>
            <w:color w:val="156181"/>
            <w:u w:val="single"/>
          </w:rPr>
          <w:t>R001</w:t>
        </w:r>
      </w:hyperlink>
      <w:r>
        <w:t xml:space="preserve">; </w:t>
      </w:r>
      <w:hyperlink r:id="rId13">
        <w:r>
          <w:rPr>
            <w:color w:val="156181"/>
            <w:u w:val="single"/>
          </w:rPr>
          <w:t>R004</w:t>
        </w:r>
      </w:hyperlink>
      <w:r>
        <w:t xml:space="preserve">; </w:t>
      </w:r>
      <w:hyperlink r:id="rId20">
        <w:r>
          <w:rPr>
            <w:color w:val="156181"/>
            <w:u w:val="single"/>
          </w:rPr>
          <w:t>R009</w:t>
        </w:r>
      </w:hyperlink>
      <w:r>
        <w:t xml:space="preserve">; </w:t>
      </w:r>
      <w:hyperlink r:id="rId47">
        <w:r>
          <w:rPr>
            <w:color w:val="156181"/>
            <w:u w:val="single"/>
          </w:rPr>
          <w:t>R060</w:t>
        </w:r>
      </w:hyperlink>
      <w:r>
        <w:t>]</w:t>
      </w:r>
    </w:p>
    <w:p>
      <w:pPr>
        <w:pStyle w:val="Heading2"/>
      </w:pPr>
      <w:r>
        <w:t>2. Довести ранние Shangqing и Lingbao от якорей к поимённому составу</w:t>
      </w:r>
    </w:p>
    <w:p>
      <w:r>
        <w:t>G014–016. Приоритетны китайская Suling jing и её отношения с Jiuzhen mingke, полный современный перевод Dadong и остальные прямые члены ранних корпусов. Для каждого нужны название, номер, конкретная редакция и собственный вход, а не общий портал. Полный английский Suling уже найден; отсутствие китайского item-level входа в этой работе не является отсутствием оригинала.</w:t>
      </w:r>
      <w:r>
        <w:t xml:space="preserve">  [</w:t>
      </w:r>
      <w:hyperlink r:id="rId25">
        <w:r>
          <w:rPr>
            <w:color w:val="156181"/>
            <w:u w:val="single"/>
          </w:rPr>
          <w:t>R053</w:t>
        </w:r>
      </w:hyperlink>
      <w:r>
        <w:t xml:space="preserve">; </w:t>
      </w:r>
      <w:hyperlink r:id="rId18">
        <w:r>
          <w:rPr>
            <w:color w:val="156181"/>
            <w:u w:val="single"/>
          </w:rPr>
          <w:t>R006</w:t>
        </w:r>
      </w:hyperlink>
      <w:r>
        <w:t xml:space="preserve">; </w:t>
      </w:r>
      <w:hyperlink r:id="rId57">
        <w:r>
          <w:rPr>
            <w:color w:val="156181"/>
            <w:u w:val="single"/>
          </w:rPr>
          <w:t>R029</w:t>
        </w:r>
      </w:hyperlink>
      <w:r>
        <w:t xml:space="preserve">; </w:t>
      </w:r>
      <w:hyperlink r:id="rId56">
        <w:r>
          <w:rPr>
            <w:color w:val="156181"/>
            <w:u w:val="single"/>
          </w:rPr>
          <w:t>R059</w:t>
        </w:r>
      </w:hyperlink>
      <w:r>
        <w:t>]</w:t>
      </w:r>
    </w:p>
    <w:p>
      <w:pPr>
        <w:pStyle w:val="Heading2"/>
      </w:pPr>
      <w:r>
        <w:t>3. Закрыть русскую и англоязычную лакуны Shangqing</w:t>
      </w:r>
    </w:p>
    <w:p>
      <w:r>
        <w:t>G004–005. Найти полный официальный PDF второго раздела Jiuzhen mingke и landing/Handle для заблокированного Queen’s-депозита Miller. Первые/третьи русские разделы уже доступны. До чтения лицензии депозит не становится разрешением на зеркало.</w:t>
      </w:r>
      <w:r>
        <w:t xml:space="preserve">  [</w:t>
      </w:r>
      <w:hyperlink r:id="rId52">
        <w:r>
          <w:rPr>
            <w:color w:val="156181"/>
            <w:u w:val="single"/>
          </w:rPr>
          <w:t>R038</w:t>
        </w:r>
      </w:hyperlink>
      <w:r>
        <w:t xml:space="preserve">; </w:t>
      </w:r>
      <w:hyperlink r:id="rId53">
        <w:r>
          <w:rPr>
            <w:color w:val="156181"/>
            <w:u w:val="single"/>
          </w:rPr>
          <w:t>R039</w:t>
        </w:r>
      </w:hyperlink>
      <w:r>
        <w:t xml:space="preserve">; </w:t>
      </w:r>
      <w:hyperlink r:id="rId14">
        <w:r>
          <w:rPr>
            <w:color w:val="156181"/>
            <w:u w:val="single"/>
          </w:rPr>
          <w:t>R032</w:t>
        </w:r>
      </w:hyperlink>
      <w:r>
        <w:t xml:space="preserve">; </w:t>
      </w:r>
      <w:hyperlink r:id="rId51">
        <w:r>
          <w:rPr>
            <w:color w:val="156181"/>
            <w:u w:val="single"/>
          </w:rPr>
          <w:t>R043</w:t>
        </w:r>
      </w:hyperlink>
      <w:r>
        <w:t>]</w:t>
      </w:r>
    </w:p>
    <w:p>
      <w:pPr>
        <w:pStyle w:val="Heading2"/>
      </w:pPr>
      <w:r>
        <w:t>4. Проверить конкретные дуньхуанские свидетели</w:t>
      </w:r>
    </w:p>
    <w:p>
      <w:r>
        <w:t>G007–009. Or.8210/S.6825 (Xiang’er), Pelliot chinois 2440 и Stein 4226 проверять по shelfmark через BL/IDP, BnF/Gallica и академические каталоги. Для Pelliot точная идентичность текста ещё не установлена; для Stein необходимо отделить рукописное оглавление Taiping от сохранившейся канонической части. Результатом должны стать item-level изображения и их права, не ещё одна общая ссылка на Дуньхуан.</w:t>
      </w:r>
      <w:r>
        <w:t xml:space="preserve">  [</w:t>
      </w:r>
      <w:hyperlink r:id="rId31">
        <w:r>
          <w:rPr>
            <w:color w:val="156181"/>
            <w:u w:val="single"/>
          </w:rPr>
          <w:t>R030</w:t>
        </w:r>
      </w:hyperlink>
      <w:r>
        <w:t xml:space="preserve">; </w:t>
      </w:r>
      <w:hyperlink r:id="rId29">
        <w:r>
          <w:rPr>
            <w:color w:val="156181"/>
            <w:u w:val="single"/>
          </w:rPr>
          <w:t>R049</w:t>
        </w:r>
      </w:hyperlink>
      <w:r>
        <w:t>]</w:t>
      </w:r>
    </w:p>
    <w:p>
      <w:pPr>
        <w:pStyle w:val="Heading2"/>
      </w:pPr>
      <w:r>
        <w:t>5. Найти полные исторические иллюстрированные экземпляры</w:t>
      </w:r>
    </w:p>
    <w:p>
      <w:r>
        <w:t>G003, G006, G010. Проверить Library of Congress 2014514151, Harvard 990077587250203941, коллекцию Daoist Texts CUHK и ранние перепечатки Jiyao. Сопоставить тома, листы, отсутствие лакун и условия IIIF. Один лист Wellcome остаётся самостоятельным пригодным объектом, но не заменой полной книги.</w:t>
      </w:r>
      <w:r>
        <w:t xml:space="preserve">  [</w:t>
      </w:r>
      <w:hyperlink r:id="rId15">
        <w:r>
          <w:rPr>
            <w:color w:val="156181"/>
            <w:u w:val="single"/>
          </w:rPr>
          <w:t>R033</w:t>
        </w:r>
      </w:hyperlink>
      <w:r>
        <w:t xml:space="preserve">; </w:t>
      </w:r>
      <w:hyperlink r:id="rId46">
        <w:r>
          <w:rPr>
            <w:color w:val="156181"/>
            <w:u w:val="single"/>
          </w:rPr>
          <w:t>R061</w:t>
        </w:r>
      </w:hyperlink>
      <w:r>
        <w:t xml:space="preserve">; </w:t>
      </w:r>
      <w:hyperlink r:id="rId43">
        <w:r>
          <w:rPr>
            <w:color w:val="156181"/>
            <w:u w:val="single"/>
          </w:rPr>
          <w:t>R064</w:t>
        </w:r>
      </w:hyperlink>
      <w:r>
        <w:t>]</w:t>
      </w:r>
    </w:p>
    <w:p>
      <w:pPr>
        <w:pStyle w:val="Heading2"/>
      </w:pPr>
      <w:r>
        <w:t>6. Довести цифровые каналы до проверенного релиза</w:t>
      </w:r>
    </w:p>
    <w:p>
      <w:r>
        <w:t>G011–013. NTU DOI 10.21979/N9/YQDWKH и 10.21979/N9/BWLRQJ пока не прошли проверку состава/лицензии; CText вернул 403. Нужны действительные версии datasets, API terms, компоненты данных и факсимиле. Для CRTA сначала подтвердить конкретный архив по документированному шаблону. План TEI на старой странице проекта не считать опубликованным TEI.</w:t>
      </w:r>
      <w:r>
        <w:t xml:space="preserve">  [</w:t>
      </w:r>
      <w:hyperlink r:id="rId48">
        <w:r>
          <w:rPr>
            <w:color w:val="156181"/>
            <w:u w:val="single"/>
          </w:rPr>
          <w:t>R002</w:t>
        </w:r>
      </w:hyperlink>
      <w:r>
        <w:t xml:space="preserve">; </w:t>
      </w:r>
      <w:hyperlink r:id="rId16">
        <w:r>
          <w:rPr>
            <w:color w:val="156181"/>
            <w:u w:val="single"/>
          </w:rPr>
          <w:t>R034</w:t>
        </w:r>
      </w:hyperlink>
      <w:r>
        <w:t xml:space="preserve">; </w:t>
      </w:r>
      <w:hyperlink r:id="rId46">
        <w:r>
          <w:rPr>
            <w:color w:val="156181"/>
            <w:u w:val="single"/>
          </w:rPr>
          <w:t>R061</w:t>
        </w:r>
      </w:hyperlink>
      <w:r>
        <w:t>]</w:t>
      </w:r>
    </w:p>
    <w:p>
      <w:pPr>
        <w:pStyle w:val="Heading2"/>
      </w:pPr>
      <w:r>
        <w:t>7. Продолжить прямые поздние алхимические и комментарийные линии</w:t>
      </w:r>
    </w:p>
    <w:p>
      <w:r>
        <w:t>G017, G019. Выделить полные версии Zazhu zhixuan pian, Jindan faxiang, Jindan wenda, Jindan dayao, Jindan jiuzheng pian, Xiuzhen biannan и Jinhua zongzhi. Их присутствие в антологии подтверждено, но выбранные страницы не закрывают полный текст. Для поздних редакций нужно описать конкретную связь с Wuzhen, Zhong-Lü, xing–ming или Longmen и установить права каждого перевода.</w:t>
      </w:r>
      <w:r>
        <w:t xml:space="preserve">  [</w:t>
      </w:r>
      <w:hyperlink r:id="rId66">
        <w:r>
          <w:rPr>
            <w:color w:val="156181"/>
            <w:u w:val="single"/>
          </w:rPr>
          <w:t>R020</w:t>
        </w:r>
      </w:hyperlink>
      <w:r>
        <w:t xml:space="preserve">; </w:t>
      </w:r>
      <w:hyperlink r:id="rId66">
        <w:r>
          <w:rPr>
            <w:color w:val="156181"/>
            <w:u w:val="single"/>
          </w:rPr>
          <w:t>R021</w:t>
        </w:r>
      </w:hyperlink>
      <w:r>
        <w:t xml:space="preserve">; </w:t>
      </w:r>
      <w:hyperlink r:id="rId42">
        <w:r>
          <w:rPr>
            <w:color w:val="156181"/>
            <w:u w:val="single"/>
          </w:rPr>
          <w:t>R062</w:t>
        </w:r>
      </w:hyperlink>
      <w:r>
        <w:t xml:space="preserve">; </w:t>
      </w:r>
      <w:hyperlink r:id="rId45">
        <w:r>
          <w:rPr>
            <w:color w:val="156181"/>
            <w:u w:val="single"/>
          </w:rPr>
          <w:t>R067</w:t>
        </w:r>
      </w:hyperlink>
      <w:r>
        <w:t>]</w:t>
      </w:r>
    </w:p>
    <w:p>
      <w:pPr>
        <w:pStyle w:val="Heading2"/>
      </w:pPr>
      <w:r>
        <w:t>8. Раскрыть состав антологий и проверить пограничную цитату</w:t>
      </w:r>
    </w:p>
    <w:p>
      <w:r>
        <w:t>G018, G020–021. Сверить оригинальные заглавия и объём шести текстов Bokenkamp, 21 текста Komjathy и Practical Taoism в сборнике Cleary. Уточнить китайскую версию буддийской цитаты в Jinhua через CBETA/SAT. До этого не превращать конкретный след рецепции в предположение о происхождении всей ранней Lingbao-космологии.</w:t>
      </w:r>
      <w:r>
        <w:t xml:space="preserve">  [</w:t>
      </w:r>
      <w:hyperlink r:id="rId31">
        <w:r>
          <w:rPr>
            <w:color w:val="156181"/>
            <w:u w:val="single"/>
          </w:rPr>
          <w:t>R030</w:t>
        </w:r>
      </w:hyperlink>
      <w:r>
        <w:t xml:space="preserve">; </w:t>
      </w:r>
      <w:hyperlink r:id="rId26">
        <w:r>
          <w:rPr>
            <w:color w:val="156181"/>
            <w:u w:val="single"/>
          </w:rPr>
          <w:t>R055</w:t>
        </w:r>
      </w:hyperlink>
      <w:r>
        <w:t xml:space="preserve">; </w:t>
      </w:r>
      <w:hyperlink r:id="rId63">
        <w:r>
          <w:rPr>
            <w:color w:val="156181"/>
            <w:u w:val="single"/>
          </w:rPr>
          <w:t>R069</w:t>
        </w:r>
      </w:hyperlink>
      <w:r>
        <w:t xml:space="preserve">; </w:t>
      </w:r>
      <w:hyperlink r:id="rId45">
        <w:r>
          <w:rPr>
            <w:color w:val="156181"/>
            <w:u w:val="single"/>
          </w:rPr>
          <w:t>R067</w:t>
        </w:r>
      </w:hyperlink>
      <w:r>
        <w:t>]</w:t>
      </w:r>
    </w:p>
    <w:p>
      <w:r>
        <w:t>Кандидаты, не прошедшие проверку: G008, G011 и G012 находятся вне основного registry именно как unverified_candidate. У G006 существование самого Xingming подтверждено независимо, но доступ и версия полного библиотечного экземпляра не проверены. Прочие пробелы относятся к известным произведениям или маршрутам, а не к выдуманным отсутствующим текстам.</w:t>
      </w:r>
    </w:p>
    <w:p>
      <w:r>
        <w:t>Закрытые современные научные входы — не провал поиска: они оставлены в registry как purchase, institutional_access или preview. В то же время полный оригинал Sandong jingshu mulu, полные ранние каноны, свободный полный русский Wuzhen и полный проверенный открытый image bulk Daozang не объявлены найденными.</w:t>
      </w:r>
    </w:p>
    <w:p>
      <w:pPr>
        <w:pStyle w:val="Heading1"/>
      </w:pPr>
      <w:r>
        <w:t>7. Итоговая оценка</w:t>
      </w:r>
    </w:p>
    <w:p>
      <w:r>
        <w:t>Сильнее всего покрыты китайские текстовые входы к основным якорям, Wuzhen-комментарии, Zhong-Lü, Zhonghe и конкретные современные научные переводы. Ритуальная ось расширена за пределы исходного списка за счёт Daofa huiyuan, Fengdao kejie и Lingbao shoudu yi. Поздние комментарии, перепечатки и Longmen-тексты включены содержательно, а не как случайный хронологический хвост.</w:t>
      </w:r>
      <w:r>
        <w:t xml:space="preserve">  [</w:t>
      </w:r>
      <w:hyperlink r:id="rId17">
        <w:r>
          <w:rPr>
            <w:color w:val="156181"/>
            <w:u w:val="single"/>
          </w:rPr>
          <w:t>R005</w:t>
        </w:r>
      </w:hyperlink>
      <w:r>
        <w:t xml:space="preserve">; </w:t>
      </w:r>
      <w:hyperlink r:id="rId18">
        <w:r>
          <w:rPr>
            <w:color w:val="156181"/>
            <w:u w:val="single"/>
          </w:rPr>
          <w:t>R006</w:t>
        </w:r>
      </w:hyperlink>
      <w:r>
        <w:t xml:space="preserve">; </w:t>
      </w:r>
      <w:hyperlink r:id="rId49">
        <w:r>
          <w:rPr>
            <w:color w:val="156181"/>
            <w:u w:val="single"/>
          </w:rPr>
          <w:t>R007</w:t>
        </w:r>
      </w:hyperlink>
      <w:r>
        <w:t xml:space="preserve">; </w:t>
      </w:r>
      <w:hyperlink r:id="rId21">
        <w:r>
          <w:rPr>
            <w:color w:val="156181"/>
            <w:u w:val="single"/>
          </w:rPr>
          <w:t>R010</w:t>
        </w:r>
      </w:hyperlink>
      <w:r>
        <w:t xml:space="preserve">; </w:t>
      </w:r>
      <w:hyperlink r:id="rId23">
        <w:r>
          <w:rPr>
            <w:color w:val="156181"/>
            <w:u w:val="single"/>
          </w:rPr>
          <w:t>R012</w:t>
        </w:r>
      </w:hyperlink>
      <w:r>
        <w:t xml:space="preserve">; </w:t>
      </w:r>
      <w:hyperlink r:id="rId61">
        <w:r>
          <w:rPr>
            <w:color w:val="156181"/>
            <w:u w:val="single"/>
          </w:rPr>
          <w:t>R022</w:t>
        </w:r>
      </w:hyperlink>
      <w:r>
        <w:t xml:space="preserve">; </w:t>
      </w:r>
      <w:hyperlink r:id="rId60">
        <w:r>
          <w:rPr>
            <w:color w:val="156181"/>
            <w:u w:val="single"/>
          </w:rPr>
          <w:t>R026</w:t>
        </w:r>
      </w:hyperlink>
      <w:r>
        <w:t xml:space="preserve">; </w:t>
      </w:r>
      <w:hyperlink r:id="rId24">
        <w:r>
          <w:rPr>
            <w:color w:val="156181"/>
            <w:u w:val="single"/>
          </w:rPr>
          <w:t>R040</w:t>
        </w:r>
      </w:hyperlink>
      <w:r>
        <w:t xml:space="preserve">; </w:t>
      </w:r>
      <w:hyperlink r:id="rId58">
        <w:r>
          <w:rPr>
            <w:color w:val="156181"/>
            <w:u w:val="single"/>
          </w:rPr>
          <w:t>R050</w:t>
        </w:r>
      </w:hyperlink>
      <w:r>
        <w:t xml:space="preserve">; </w:t>
      </w:r>
      <w:hyperlink r:id="rId59">
        <w:r>
          <w:rPr>
            <w:color w:val="156181"/>
            <w:u w:val="single"/>
          </w:rPr>
          <w:t>R054</w:t>
        </w:r>
      </w:hyperlink>
      <w:r>
        <w:t xml:space="preserve">; </w:t>
      </w:r>
      <w:hyperlink r:id="rId56">
        <w:r>
          <w:rPr>
            <w:color w:val="156181"/>
            <w:u w:val="single"/>
          </w:rPr>
          <w:t>R059</w:t>
        </w:r>
      </w:hyperlink>
      <w:r>
        <w:t xml:space="preserve">; </w:t>
      </w:r>
      <w:hyperlink r:id="rId42">
        <w:r>
          <w:rPr>
            <w:color w:val="156181"/>
            <w:u w:val="single"/>
          </w:rPr>
          <w:t>R062</w:t>
        </w:r>
      </w:hyperlink>
      <w:r>
        <w:t>]</w:t>
      </w:r>
    </w:p>
    <w:p>
      <w:r>
        <w:t>Оригинальноязычные тексты доступны значительно лучше, чем ранние рукописные изображения. Английский переводный слой широк, но часто платный и выборочный; русский — уже, с полезными официальными статьями и защищённым книжным переводом Торчинова. Самый свободный содержательный слой — лицензированные китайские транскрипции; для изображения наиболее ясна лицензия одной фотографии Wellcome. Метаданные CRTA и krpmulu свободнее связанных с ними сторонних файлов.</w:t>
      </w:r>
    </w:p>
    <w:p>
      <w:r>
        <w:t>Главные ограничения сосредоточены в полноте ранних корпусов, дуньхуанских свидетелях, графически сложных факсимиле, проверке конкретных bulk-релизов и правах на современные переводы. Исследование является законченным пакетом проверенных находок и явно выделенных пробелов, но не исчерпывающим каталогом всего Daozang.</w:t>
      </w:r>
    </w:p>
    <w:p>
      <w:r>
        <w:t>Пакет пригоден для Codex. Автоматическое использование должно учитывать coverage, rights_scope, notes и RIGHTS_REVIEW_REQUIRED.</w:t>
      </w:r>
    </w:p>
    <w:sectPr w:rsidR="00FC693F" w:rsidRPr="0006063C" w:rsidSect="00034616">
      <w:headerReference w:type="default" r:id="rId9"/>
      <w:footerReference w:type="default" r:id="rId10"/>
      <w:pgSz w:w="11906" w:h="16838"/>
      <w:pgMar w:top="1049" w:right="1077" w:bottom="1020" w:left="107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B75"/>
        <w:sz w:val="18"/>
      </w:rPr>
      <w:t xml:space="preserve">ToS Corpus &amp; Rights Registry  •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TREE OF SOPHIA  /  CORPUS &amp; RIGHTS                                       T2-45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Noto Serif CJK SC"/>
      <w:b/>
      <w:bCs/>
      <w:color w:val="213B4A"/>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Noto Serif CJK SC"/>
      <w:b/>
      <w:bCs/>
      <w:color w:val="213B4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Noto Serif CJK SC"/>
      <w:b/>
      <w:bCs/>
      <w:color w:val="213B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Noto Serif CJK SC"/>
      <w:color w:val="213B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Noto Serif CJK SC"/>
      <w:i/>
      <w:iCs/>
      <w:color w:val="52667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Noto Serif CJK SC"/>
      <w:b/>
      <w:bCs/>
      <w:color w:val="59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rta.info/wiki/Daozang_-_DZ" TargetMode="External"/><Relationship Id="rId12" Type="http://schemas.openxmlformats.org/officeDocument/2006/relationships/hyperlink" Target="https://github.com/kanripo/KR-Catalog" TargetMode="External"/><Relationship Id="rId13" Type="http://schemas.openxmlformats.org/officeDocument/2006/relationships/hyperlink" Target="https://press.uchicago.edu/ucp/books/book/chicago/T/bo3533948.html" TargetMode="External"/><Relationship Id="rId14" Type="http://schemas.openxmlformats.org/officeDocument/2006/relationships/hyperlink" Target="https://www.orientalstudies.ru/rus/images/pdf/journals/festschrift_alimov_2024_03.pdf" TargetMode="External"/><Relationship Id="rId15" Type="http://schemas.openxmlformats.org/officeDocument/2006/relationships/hyperlink" Target="https://wellcomecollection.org/works/b2znqjd9" TargetMode="External"/><Relationship Id="rId16" Type="http://schemas.openxmlformats.org/officeDocument/2006/relationships/hyperlink" Target="https://github.com/cwittern/krpmulu" TargetMode="External"/><Relationship Id="rId17" Type="http://schemas.openxmlformats.org/officeDocument/2006/relationships/hyperlink" Target="https://github.com/kanripo/KR5a0001" TargetMode="External"/><Relationship Id="rId18" Type="http://schemas.openxmlformats.org/officeDocument/2006/relationships/hyperlink" Target="https://github.com/kanripo/KR5a0006" TargetMode="External"/><Relationship Id="rId19" Type="http://schemas.openxmlformats.org/officeDocument/2006/relationships/hyperlink" Target="https://github.com/kanripo/KR5a0179" TargetMode="External"/><Relationship Id="rId20" Type="http://schemas.openxmlformats.org/officeDocument/2006/relationships/hyperlink" Target="https://github.com/kanripo/KR5d0055" TargetMode="External"/><Relationship Id="rId21" Type="http://schemas.openxmlformats.org/officeDocument/2006/relationships/hyperlink" Target="https://github.com/kanripo/KR5a0266" TargetMode="External"/><Relationship Id="rId22" Type="http://schemas.openxmlformats.org/officeDocument/2006/relationships/hyperlink" Target="https://github.com/kanripo/KR5e0055" TargetMode="External"/><Relationship Id="rId23" Type="http://schemas.openxmlformats.org/officeDocument/2006/relationships/hyperlink" Target="https://github.com/kanripo/KR5a0250" TargetMode="External"/><Relationship Id="rId24" Type="http://schemas.openxmlformats.org/officeDocument/2006/relationships/hyperlink" Target="https://threepinespress.com/2020/08/01/the-zhong-lu-system-of-internal-alchemy-2/" TargetMode="External"/><Relationship Id="rId25" Type="http://schemas.openxmlformats.org/officeDocument/2006/relationships/hyperlink" Target="https://uhpress.hawaii.edu/title/a-library-of-clouds-the-scripture-of-the-immaculate-numen-and-the-rewriting-of-daoist-texts/" TargetMode="External"/><Relationship Id="rId26" Type="http://schemas.openxmlformats.org/officeDocument/2006/relationships/hyperlink" Target="https://sunypress.edu/Books/T/The-Way-of-Complete-Perfection" TargetMode="External"/><Relationship Id="rId27" Type="http://schemas.openxmlformats.org/officeDocument/2006/relationships/hyperlink" Target="https://www.gutenberg.org/ebooks/216" TargetMode="External"/><Relationship Id="rId28" Type="http://schemas.openxmlformats.org/officeDocument/2006/relationships/hyperlink" Target="https://www.gutenberg.org/ebooks/59709" TargetMode="External"/><Relationship Id="rId29" Type="http://schemas.openxmlformats.org/officeDocument/2006/relationships/hyperlink" Target="https://github.com/kanripo/KR5e0002" TargetMode="External"/><Relationship Id="rId30" Type="http://schemas.openxmlformats.org/officeDocument/2006/relationships/hyperlink" Target="https://www.ucpress.edu/books/the-scripture-on-great-peace/paper" TargetMode="External"/><Relationship Id="rId31" Type="http://schemas.openxmlformats.org/officeDocument/2006/relationships/hyperlink" Target="https://www.ucpress.edu/books/early-daoist-scriptures/paper" TargetMode="External"/><Relationship Id="rId32" Type="http://schemas.openxmlformats.org/officeDocument/2006/relationships/hyperlink" Target="https://github.com/kanripo/KR5i0010" TargetMode="External"/><Relationship Id="rId33" Type="http://schemas.openxmlformats.org/officeDocument/2006/relationships/hyperlink" Target="https://github.com/kanripo/KR5i0012" TargetMode="External"/><Relationship Id="rId34" Type="http://schemas.openxmlformats.org/officeDocument/2006/relationships/hyperlink" Target="https://github.com/kanripo/KR5f0019" TargetMode="External"/><Relationship Id="rId35" Type="http://schemas.openxmlformats.org/officeDocument/2006/relationships/hyperlink" Target="https://github.com/kanripo/KR5b0072" TargetMode="External"/><Relationship Id="rId36" Type="http://schemas.openxmlformats.org/officeDocument/2006/relationships/hyperlink" Target="https://www.goldenelixir.com/press/occ_02_nine_elixirs.html" TargetMode="External"/><Relationship Id="rId37" Type="http://schemas.openxmlformats.org/officeDocument/2006/relationships/hyperlink" Target="https://www.goldenelixir.com/press/trl_02_ctq.html" TargetMode="External"/><Relationship Id="rId38" Type="http://schemas.openxmlformats.org/officeDocument/2006/relationships/hyperlink" Target="https://github.com/kanripo/KR5d0019" TargetMode="External"/><Relationship Id="rId39" Type="http://schemas.openxmlformats.org/officeDocument/2006/relationships/hyperlink" Target="https://www.goldenelixir.com/press/trl_05_400_words.html" TargetMode="External"/><Relationship Id="rId40" Type="http://schemas.openxmlformats.org/officeDocument/2006/relationships/hyperlink" Target="https://github.com/kanripo/KR5i0059" TargetMode="External"/><Relationship Id="rId41" Type="http://schemas.openxmlformats.org/officeDocument/2006/relationships/hyperlink" Target="https://crta.info/wiki/%E6%82%9F%E7%9C%9F%E7%AF%87%E7%B4%84%E6%B3%A8_-_E125" TargetMode="External"/><Relationship Id="rId42" Type="http://schemas.openxmlformats.org/officeDocument/2006/relationships/hyperlink" Target="https://www.goldenelixir.com/press/trl_04_liu_yiming.html" TargetMode="External"/><Relationship Id="rId43" Type="http://schemas.openxmlformats.org/officeDocument/2006/relationships/hyperlink" Target="https://crta.info/wiki/%E9%87%8D%E9%99%BD%E5%85%A8%E7%9C%9F%E9%9B%86_-_A188" TargetMode="External"/><Relationship Id="rId44" Type="http://schemas.openxmlformats.org/officeDocument/2006/relationships/hyperlink" Target="https://uhpress.hawaii.edu/title/understanding-reality-a-taoist-alchemical-classic/" TargetMode="External"/><Relationship Id="rId45" Type="http://schemas.openxmlformats.org/officeDocument/2006/relationships/hyperlink" Target="https://www.goldenelixir.com/jindan/secret_of_the_golden_flower.html" TargetMode="External"/><Relationship Id="rId46" Type="http://schemas.openxmlformats.org/officeDocument/2006/relationships/hyperlink" Target="https://dao.crs.cuhk.edu.hk/daozangjiyao/project_E.html" TargetMode="External"/><Relationship Id="rId47" Type="http://schemas.openxmlformats.org/officeDocument/2006/relationships/hyperlink" Target="https://bib.kuleuven.be/apps/lbib/digi/eng/catalog.php?OplID=13" TargetMode="External"/><Relationship Id="rId48" Type="http://schemas.openxmlformats.org/officeDocument/2006/relationships/hyperlink" Target="https://crta.info/wiki/Open_Data" TargetMode="External"/><Relationship Id="rId49" Type="http://schemas.openxmlformats.org/officeDocument/2006/relationships/hyperlink" Target="https://github.com/kanripo/KR5d0036" TargetMode="External"/><Relationship Id="rId50" Type="http://schemas.openxmlformats.org/officeDocument/2006/relationships/hyperlink" Target="https://www.ucpress.edu/books/a-fourth-century-daoist-family/hardcover" TargetMode="External"/><Relationship Id="rId51" Type="http://schemas.openxmlformats.org/officeDocument/2006/relationships/hyperlink" Target="https://jamesmiller.ca/2008/08/09/the-way-of-highest-clarity-nature-vision-and-revelation-in-medieval-china/" TargetMode="External"/><Relationship Id="rId52" Type="http://schemas.openxmlformats.org/officeDocument/2006/relationships/hyperlink" Target="https://www.orientalstudies.ru/rus/index.php?Itemid=75&amp;option=com_publications&amp;pub=11094" TargetMode="External"/><Relationship Id="rId53" Type="http://schemas.openxmlformats.org/officeDocument/2006/relationships/hyperlink" Target="https://www.orientalstudies.ru/rus/images/pdf/journals/festschrift_rybakov_2024.pdf" TargetMode="External"/><Relationship Id="rId54" Type="http://schemas.openxmlformats.org/officeDocument/2006/relationships/hyperlink" Target="https://github.com/kanripo/KR5a0087" TargetMode="External"/><Relationship Id="rId55" Type="http://schemas.openxmlformats.org/officeDocument/2006/relationships/hyperlink" Target="https://github.com/kanripo/KR5a0092" TargetMode="External"/><Relationship Id="rId56" Type="http://schemas.openxmlformats.org/officeDocument/2006/relationships/hyperlink" Target="https://github.com/kanripo/KR5b0231" TargetMode="External"/><Relationship Id="rId57" Type="http://schemas.openxmlformats.org/officeDocument/2006/relationships/hyperlink" Target="https://github.com/kanripo/KR5a0178/tree/HFL" TargetMode="External"/><Relationship Id="rId58" Type="http://schemas.openxmlformats.org/officeDocument/2006/relationships/hyperlink" Target="https://github.com/kanripo/KR5e0027" TargetMode="External"/><Relationship Id="rId59" Type="http://schemas.openxmlformats.org/officeDocument/2006/relationships/hyperlink" Target="https://academic.oup.com/book/50210" TargetMode="External"/><Relationship Id="rId60" Type="http://schemas.openxmlformats.org/officeDocument/2006/relationships/hyperlink" Target="https://github.com/kanripo/KR5g0029/tree/HFL" TargetMode="External"/><Relationship Id="rId61" Type="http://schemas.openxmlformats.org/officeDocument/2006/relationships/hyperlink" Target="https://github.com/kanripo/KR5a0146/tree/HFL" TargetMode="External"/><Relationship Id="rId62" Type="http://schemas.openxmlformats.org/officeDocument/2006/relationships/hyperlink" Target="https://www.goldenelixir.com/press/trl_01_wuzhenpian.html" TargetMode="External"/><Relationship Id="rId63" Type="http://schemas.openxmlformats.org/officeDocument/2006/relationships/hyperlink" Target="https://www.shambhala.com/the-taoist-classics-1482.html" TargetMode="External"/><Relationship Id="rId64" Type="http://schemas.openxmlformats.org/officeDocument/2006/relationships/hyperlink" Target="https://www.orientalstudies.ru/rus/index.php?Itemid=75&amp;option=com_publications&amp;pub=439" TargetMode="External"/><Relationship Id="rId65" Type="http://schemas.openxmlformats.org/officeDocument/2006/relationships/hyperlink" Target="https://azbooka.ru/books/itszin-kniga-peremen" TargetMode="External"/><Relationship Id="rId66" Type="http://schemas.openxmlformats.org/officeDocument/2006/relationships/hyperlink" Target="https://www.goldenelixir.com/press/tao_03_neidan_anthology.html" TargetMode="External"/><Relationship Id="rId67" Type="http://schemas.openxmlformats.org/officeDocument/2006/relationships/hyperlink" Target="https://github.com/kanripo/KR5f0025" TargetMode="External"/><Relationship Id="rId68" Type="http://schemas.openxmlformats.org/officeDocument/2006/relationships/hyperlink" Target="https://www.shambhala.com/the-tao-of-health-longevity-and-immortality.html" TargetMode="External"/><Relationship Id="rId69" Type="http://schemas.openxmlformats.org/officeDocument/2006/relationships/hyperlink" Target="https://www.shambhala.com/the-book-of-balance-and-harmony.html" TargetMode="External"/><Relationship Id="rId70" Type="http://schemas.openxmlformats.org/officeDocument/2006/relationships/hyperlink" Target="https://www.goldenelixir.com/press/trl_07_wang_chongyang.html" TargetMode="External"/><Relationship Id="rId71" Type="http://schemas.openxmlformats.org/officeDocument/2006/relationships/hyperlink" Target="https://github.com/kanripo/KR5d0059" TargetMode="External"/><Relationship Id="rId72" Type="http://schemas.openxmlformats.org/officeDocument/2006/relationships/hyperlink" Target="https://github.com/kanripo/KR5d0049" TargetMode="External"/><Relationship Id="rId73" Type="http://schemas.openxmlformats.org/officeDocument/2006/relationships/hyperlink" Target="https://github.com/kanripo/KR5d0039" TargetMode="External"/><Relationship Id="rId74" Type="http://schemas.openxmlformats.org/officeDocument/2006/relationships/hyperlink" Target="https://github.com/kanripo/KR5a0247/tree/HFL" TargetMode="External"/><Relationship Id="rId75" Type="http://schemas.openxmlformats.org/officeDocument/2006/relationships/hyperlink" Target="https://github.com/kanripo/KR5e0040" TargetMode="External"/><Relationship Id="rId76" Type="http://schemas.openxmlformats.org/officeDocument/2006/relationships/hyperlink" Target="https://archive.org/details/taoisttextsethic00balf" TargetMode="External"/><Relationship Id="rId77" Type="http://schemas.openxmlformats.org/officeDocument/2006/relationships/hyperlink" Target="https://github.com/kanripo" TargetMode="External"/><Relationship Id="rId78" Type="http://schemas.openxmlformats.org/officeDocument/2006/relationships/hyperlink" Target="https://creativecommons.org/licenses/by-sa/4.0/" TargetMode="External"/><Relationship Id="rId7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T2-45</dc:title>
  <dc:subject>Даосская канонизация, ритуальная космология и внутренние алхимии</dc:subject>
  <dc:creator>ToS / Древо Софии</dc:creator>
  <cp:keywords>T2-45; Daozang; Shangqing; Lingbao; neidan; corpus; rights</cp:keywords>
  <dc:description>Исследовательский отчёт; реестр и условия в сопутствующем XLSX.</dc:description>
  <cp:lastModifiedBy/>
  <cp:revision>1</cp:revision>
  <dcterms:created xsi:type="dcterms:W3CDTF">2013-12-23T23:15:00Z</dcterms:created>
  <dcterms:modified xsi:type="dcterms:W3CDTF">2013-12-23T23:15:00Z</dcterms:modified>
  <cp:category/>
</cp:coreProperties>
</file>