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T2-39 · Шри-ланкийская палийская схоластика</w:t>
        <w:br/>
        <w:t>и комментаторский handoff</w:t>
      </w:r>
    </w:p>
    <w:p>
      <w:r>
        <w:t>131 способ доступа · 75 произведений и текстовых групп · 26 исследовательских пробелов</w:t>
      </w:r>
    </w:p>
    <w:p>
      <w:r>
        <w:t>Наиболее пригодный для немедленного открытого использования слой — конкретные лицензированные электронные тексты, а не весь древний корпус или весь сайт. Полнота чтения, наличие скачивания и право публичного повторного использования в реестре рассматриваются раздельно.</w:t>
      </w:r>
      <w:r>
        <w:t xml:space="preserve"> </w:t>
      </w:r>
      <w:hyperlink r:id="rId11">
        <w:r>
          <w:rPr>
            <w:color w:val="1B6D83"/>
            <w:rFonts w:ascii="DejaVu Sans" w:hAnsi="DejaVu Sans"/>
          </w:rPr>
          <w:t>[R001]</w:t>
        </w:r>
      </w:hyperlink>
      <w:r>
        <w:t xml:space="preserve"> </w:t>
      </w:r>
      <w:hyperlink r:id="rId12">
        <w:r>
          <w:rPr>
            <w:color w:val="1B6D83"/>
            <w:rFonts w:ascii="DejaVu Sans" w:hAnsi="DejaVu Sans"/>
          </w:rPr>
          <w:t>[R027]</w:t>
        </w:r>
      </w:hyperlink>
      <w:r>
        <w:t xml:space="preserve"> </w:t>
      </w:r>
      <w:hyperlink r:id="rId13">
        <w:r>
          <w:rPr>
            <w:color w:val="1B6D83"/>
            <w:rFonts w:ascii="DejaVu Sans" w:hAnsi="DejaVu Sans"/>
          </w:rPr>
          <w:t>[R060]</w:t>
        </w:r>
      </w:hyperlink>
    </w:p>
    <w:p>
      <w:pPr>
        <w:pStyle w:val="Heading1"/>
      </w:pPr>
      <w:r>
        <w:t>1. Паспорт</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268"/>
            <w:vAlign w:val="top"/>
            <w:shd w:fill="173B4B"/>
            <w:tcMar>
              <w:top w:w="90" w:type="dxa"/>
              <w:left w:w="90" w:type="dxa"/>
              <w:bottom w:w="90" w:type="dxa"/>
              <w:right w:w="90" w:type="dxa"/>
            </w:tcMar>
          </w:tcPr>
          <w:p>
            <w:pPr>
              <w:spacing w:after="40" w:line="252" w:lineRule="auto"/>
            </w:pPr>
            <w:r>
              <w:rPr>
                <w:rFonts w:ascii="DejaVu Sans" w:hAnsi="DejaVu Sans"/>
                <w:b/>
                <w:color w:val="FFFFFF"/>
                <w:sz w:val="18"/>
              </w:rPr>
              <w:t>Параметр</w:t>
            </w:r>
          </w:p>
        </w:tc>
        <w:tc>
          <w:tcPr>
            <w:tcW w:type="dxa" w:w="7370"/>
            <w:vAlign w:val="top"/>
            <w:shd w:fill="173B4B"/>
            <w:tcMar>
              <w:top w:w="90" w:type="dxa"/>
              <w:left w:w="90" w:type="dxa"/>
              <w:bottom w:w="90" w:type="dxa"/>
              <w:right w:w="90" w:type="dxa"/>
            </w:tcMar>
          </w:tcPr>
          <w:p>
            <w:pPr>
              <w:spacing w:after="40" w:line="252" w:lineRule="auto"/>
            </w:pPr>
            <w:r>
              <w:rPr>
                <w:rFonts w:ascii="DejaVu Sans" w:hAnsi="DejaVu Sans"/>
                <w:b/>
                <w:color w:val="FFFFFF"/>
                <w:sz w:val="18"/>
              </w:rPr>
              <w:t>Значение</w:t>
            </w:r>
          </w:p>
        </w:tc>
      </w:tr>
      <w:tr>
        <w:trPr>
          <w:cantSplit/>
        </w:trPr>
        <w:tc>
          <w:tcPr>
            <w:tcW w:type="dxa" w:w="2268"/>
            <w:vAlign w:val="top"/>
            <w:shd w:fill="F0F5F7"/>
            <w:tcMar>
              <w:top w:w="90" w:type="dxa"/>
              <w:left w:w="90" w:type="dxa"/>
              <w:bottom w:w="90" w:type="dxa"/>
              <w:right w:w="90" w:type="dxa"/>
            </w:tcMar>
          </w:tcPr>
          <w:p>
            <w:pPr>
              <w:spacing w:after="40" w:line="252" w:lineRule="auto"/>
            </w:pPr>
            <w:r>
              <w:rPr>
                <w:rFonts w:ascii="DejaVu Sans" w:hAnsi="DejaVu Sans"/>
                <w:sz w:val="18"/>
              </w:rPr>
              <w:t>Строка и статус</w:t>
            </w:r>
          </w:p>
        </w:tc>
        <w:tc>
          <w:tcPr>
            <w:tcW w:type="dxa" w:w="7370"/>
            <w:vAlign w:val="top"/>
            <w:shd w:fill="F0F5F7"/>
            <w:tcMar>
              <w:top w:w="90" w:type="dxa"/>
              <w:left w:w="90" w:type="dxa"/>
              <w:bottom w:w="90" w:type="dxa"/>
              <w:right w:w="90" w:type="dxa"/>
            </w:tcMar>
          </w:tcPr>
          <w:p>
            <w:pPr>
              <w:spacing w:after="40" w:line="252" w:lineRule="auto"/>
            </w:pPr>
            <w:r>
              <w:rPr>
                <w:rFonts w:ascii="DejaVu Sans" w:hAnsi="DejaVu Sans"/>
                <w:sz w:val="18"/>
              </w:rPr>
              <w:t>T2-39; исходный статус A, уверенность 4/5. ID и статус не изменены.</w:t>
            </w:r>
          </w:p>
        </w:tc>
      </w:tr>
      <w:tr>
        <w:trPr>
          <w:cantSplit/>
        </w:trPr>
        <w:tc>
          <w:tcPr>
            <w:tcW w:type="dxa" w:w="2268"/>
            <w:vAlign w:val="top"/>
            <w:shd w:fill="FFFFFF"/>
            <w:tcMar>
              <w:top w:w="90" w:type="dxa"/>
              <w:left w:w="90" w:type="dxa"/>
              <w:bottom w:w="90" w:type="dxa"/>
              <w:right w:w="90" w:type="dxa"/>
            </w:tcMar>
          </w:tcPr>
          <w:p>
            <w:pPr>
              <w:spacing w:after="40" w:line="252" w:lineRule="auto"/>
            </w:pPr>
            <w:r>
              <w:rPr>
                <w:rFonts w:ascii="DejaVu Sans" w:hAnsi="DejaVu Sans"/>
                <w:sz w:val="18"/>
              </w:rPr>
              <w:t>Хронологический фокус</w:t>
            </w:r>
          </w:p>
        </w:tc>
        <w:tc>
          <w:tcPr>
            <w:tcW w:type="dxa" w:w="7370"/>
            <w:vAlign w:val="top"/>
            <w:shd w:fill="FFFFFF"/>
            <w:tcMar>
              <w:top w:w="90" w:type="dxa"/>
              <w:left w:w="90" w:type="dxa"/>
              <w:bottom w:w="90" w:type="dxa"/>
              <w:right w:w="90" w:type="dxa"/>
            </w:tcMar>
          </w:tcPr>
          <w:p>
            <w:pPr>
              <w:spacing w:after="40" w:line="252" w:lineRule="auto"/>
            </w:pPr>
            <w:r>
              <w:rPr>
                <w:rFonts w:ascii="DejaVu Sans" w:hAnsi="DejaVu Sans"/>
                <w:sz w:val="18"/>
              </w:rPr>
              <w:t>Формирование V–X вв.; фиксация V–XIII вв.; канонизация/комментарий X–XV вв. Ранние источники и поздняя передача включены по содержательной связи.</w:t>
            </w:r>
          </w:p>
        </w:tc>
      </w:tr>
      <w:tr>
        <w:trPr>
          <w:cantSplit/>
        </w:trPr>
        <w:tc>
          <w:tcPr>
            <w:tcW w:type="dxa" w:w="2268"/>
            <w:vAlign w:val="top"/>
            <w:shd w:fill="F0F5F7"/>
            <w:tcMar>
              <w:top w:w="90" w:type="dxa"/>
              <w:left w:w="90" w:type="dxa"/>
              <w:bottom w:w="90" w:type="dxa"/>
              <w:right w:w="90" w:type="dxa"/>
            </w:tcMar>
          </w:tcPr>
          <w:p>
            <w:pPr>
              <w:spacing w:after="40" w:line="252" w:lineRule="auto"/>
            </w:pPr>
            <w:r>
              <w:rPr>
                <w:rFonts w:ascii="DejaVu Sans" w:hAnsi="DejaVu Sans"/>
                <w:sz w:val="18"/>
              </w:rPr>
              <w:t>Исходный документ</w:t>
            </w:r>
          </w:p>
        </w:tc>
        <w:tc>
          <w:tcPr>
            <w:tcW w:type="dxa" w:w="7370"/>
            <w:vAlign w:val="top"/>
            <w:shd w:fill="F0F5F7"/>
            <w:tcMar>
              <w:top w:w="90" w:type="dxa"/>
              <w:left w:w="90" w:type="dxa"/>
              <w:bottom w:w="90" w:type="dxa"/>
              <w:right w:w="90" w:type="dxa"/>
            </w:tcMar>
          </w:tcPr>
          <w:p>
            <w:pPr>
              <w:spacing w:after="40" w:line="252" w:lineRule="auto"/>
            </w:pPr>
            <w:r>
              <w:rPr>
                <w:rFonts w:ascii="DejaVu Sans" w:hAnsi="DejaVu Sans"/>
                <w:sz w:val="18"/>
              </w:rPr>
              <w:t>ToS Deep Research_ T2-39 — Шри-ланкийская палийская схоластика и комментаторский handoff(1).docx</w:t>
            </w:r>
          </w:p>
        </w:tc>
      </w:tr>
      <w:tr>
        <w:trPr>
          <w:cantSplit/>
        </w:trPr>
        <w:tc>
          <w:tcPr>
            <w:tcW w:type="dxa" w:w="2268"/>
            <w:vAlign w:val="top"/>
            <w:shd w:fill="FFFFFF"/>
            <w:tcMar>
              <w:top w:w="90" w:type="dxa"/>
              <w:left w:w="90" w:type="dxa"/>
              <w:bottom w:w="90" w:type="dxa"/>
              <w:right w:w="90" w:type="dxa"/>
            </w:tcMar>
          </w:tcPr>
          <w:p>
            <w:pPr>
              <w:spacing w:after="40" w:line="252" w:lineRule="auto"/>
            </w:pPr>
            <w:r>
              <w:rPr>
                <w:rFonts w:ascii="DejaVu Sans" w:hAnsi="DejaVu Sans"/>
                <w:sz w:val="18"/>
              </w:rPr>
              <w:t>Дата и комплект</w:t>
            </w:r>
          </w:p>
        </w:tc>
        <w:tc>
          <w:tcPr>
            <w:tcW w:type="dxa" w:w="7370"/>
            <w:vAlign w:val="top"/>
            <w:shd w:fill="FFFFFF"/>
            <w:tcMar>
              <w:top w:w="90" w:type="dxa"/>
              <w:left w:w="90" w:type="dxa"/>
              <w:bottom w:w="90" w:type="dxa"/>
              <w:right w:w="90" w:type="dxa"/>
            </w:tcMar>
          </w:tcPr>
          <w:p>
            <w:pPr>
              <w:spacing w:after="40" w:line="252" w:lineRule="auto"/>
            </w:pPr>
            <w:r>
              <w:rPr>
                <w:rFonts w:ascii="DejaVu Sans" w:hAnsi="DejaVu Sans"/>
                <w:sz w:val="18"/>
              </w:rPr>
              <w:t>4 сентября 2026 года. XLSX: registry — 32 поля; gaps — адресные пробелы. Настоящий DOCX объясняет результаты, не заменяя таблицу.</w:t>
            </w:r>
          </w:p>
        </w:tc>
      </w:tr>
      <w:tr>
        <w:trPr>
          <w:cantSplit/>
        </w:trPr>
        <w:tc>
          <w:tcPr>
            <w:tcW w:type="dxa" w:w="2268"/>
            <w:vAlign w:val="top"/>
            <w:shd w:fill="F0F5F7"/>
            <w:tcMar>
              <w:top w:w="90" w:type="dxa"/>
              <w:left w:w="90" w:type="dxa"/>
              <w:bottom w:w="90" w:type="dxa"/>
              <w:right w:w="90" w:type="dxa"/>
            </w:tcMar>
          </w:tcPr>
          <w:p>
            <w:pPr>
              <w:spacing w:after="40" w:line="252" w:lineRule="auto"/>
            </w:pPr>
            <w:r>
              <w:rPr>
                <w:rFonts w:ascii="DejaVu Sans" w:hAnsi="DejaVu Sans"/>
                <w:sz w:val="18"/>
              </w:rPr>
              <w:t>Языки поиска</w:t>
            </w:r>
          </w:p>
        </w:tc>
        <w:tc>
          <w:tcPr>
            <w:tcW w:type="dxa" w:w="7370"/>
            <w:vAlign w:val="top"/>
            <w:shd w:fill="F0F5F7"/>
            <w:tcMar>
              <w:top w:w="90" w:type="dxa"/>
              <w:left w:w="90" w:type="dxa"/>
              <w:bottom w:w="90" w:type="dxa"/>
              <w:right w:w="90" w:type="dxa"/>
            </w:tcMar>
          </w:tcPr>
          <w:p>
            <w:pPr>
              <w:spacing w:after="40" w:line="252" w:lineRule="auto"/>
            </w:pPr>
            <w:r>
              <w:rPr>
                <w:rFonts w:ascii="DejaVu Sans" w:hAnsi="DejaVu Sans"/>
                <w:sz w:val="18"/>
              </w:rPr>
              <w:t>Английский, палийские названия в латинице и их варианты, русский, сингальский, китайский, немецкий. Тибетские свидетельства выявлены через научное издание, но отдельный полнотекстовый тибетский поиск не завершён.</w:t>
            </w:r>
          </w:p>
        </w:tc>
      </w:tr>
    </w:tbl>
    <w:p>
      <w:pPr>
        <w:spacing w:after="0"/>
      </w:pPr>
    </w:p>
    <w:p>
      <w:r>
        <w:t>Исходный DR использован как карта: его предмет — не создание Пали-канона, а Mahāvihāra, Aṭṭhakathā, хроники, субкомментарии и учебная нормализация. Из него извлечены Visuddhimagga, Samantapāsādikā, комментарии к четырём Nikāya, Atthasālinī, повествовательный комментарий Dhammapada, группа Dhammapāla, компендиумы Buddhadatta и Anuruddha, Dīpavaṃsa/Mahāvaṃsa, Moggallāna, Sumaṅgala, Sīmālaṅkārasaṅgaha и Sārasaṅgaha. Внутренние предложения о графах, YAML и новых Sub-DR не выполнялись.</w:t>
      </w:r>
    </w:p>
    <w:p>
      <w:r>
        <w:t>Искались отдельные произведения, составные корпуса, оригинальные тексты, конкретные переводы и редакции, факсимильные пакеты, рукописные свидетели, XML/JSON и сервисы доступа. Идентичность версии проверялась по официальным карточкам PTS и других издателей, университетским публикациям, каталогам и заголовкам цифровых текстов. Права проверялись по объектным уведомлениям, опубликованным лицензиям и применимым условиям проекта; поисковая выдача не принималась за подтверждение лицензии.</w:t>
      </w:r>
      <w:r>
        <w:t xml:space="preserve"> </w:t>
      </w:r>
      <w:hyperlink r:id="rId14">
        <w:r>
          <w:rPr>
            <w:color w:val="1B6D83"/>
            <w:rFonts w:ascii="DejaVu Sans" w:hAnsi="DejaVu Sans"/>
          </w:rPr>
          <w:t>[R038]</w:t>
        </w:r>
      </w:hyperlink>
      <w:r>
        <w:t xml:space="preserve"> </w:t>
      </w:r>
      <w:hyperlink r:id="rId15">
        <w:r>
          <w:rPr>
            <w:color w:val="1B6D83"/>
            <w:rFonts w:ascii="DejaVu Sans" w:hAnsi="DejaVu Sans"/>
          </w:rPr>
          <w:t>[R039]</w:t>
        </w:r>
      </w:hyperlink>
      <w:r>
        <w:t xml:space="preserve"> </w:t>
      </w:r>
      <w:hyperlink r:id="rId16">
        <w:r>
          <w:rPr>
            <w:color w:val="1B6D83"/>
            <w:rFonts w:ascii="DejaVu Sans" w:hAnsi="DejaVu Sans"/>
          </w:rPr>
          <w:t>[R092]</w:t>
        </w:r>
      </w:hyperlink>
      <w:r>
        <w:t xml:space="preserve"> </w:t>
      </w:r>
      <w:hyperlink r:id="rId17">
        <w:r>
          <w:rPr>
            <w:color w:val="1B6D83"/>
            <w:rFonts w:ascii="DejaVu Sans" w:hAnsi="DejaVu Sans"/>
          </w:rPr>
          <w:t>[R127]</w:t>
        </w:r>
      </w:hyperlink>
    </w:p>
    <w:p>
      <w:r>
        <w:t>Пометки R001–R131 в отчёте сокращают полные record_id T2-39-R001–T2-39-R131; они кликабельны и ведут к источнику доступа либо, в правовом разделе, к основанию вывода. Подробные URL, редактор, объём, способ проверки и ограничения сохранены в XLSX. Слабые или не раскрывшиеся указатели — CrossAsia, BDRC и предполагаемый русский PDF — оставлены в gaps как unverified_candidate, а не превращены в установленные цифровые объекты. Wikipedia не используется как итоговый источник.</w:t>
      </w:r>
    </w:p>
    <w:p>
      <w:pPr>
        <w:pStyle w:val="Heading1"/>
      </w:pPr>
      <w:r>
        <w:t>2. Охват корпуса</w:t>
      </w:r>
    </w:p>
    <w:p>
      <w:pPr>
        <w:pStyle w:val="Heading2"/>
      </w:pPr>
      <w:r>
        <w:t>Что покрыто в ядре</w:t>
      </w:r>
    </w:p>
    <w:p>
      <w:r>
        <w:t>Для Visuddhimagga и всех четырёх Nikāya-комментариев получены адресные входы; для Samantapāsādikā проверены семь электронных томов основного текста. К раннему ядру добавлены Kaṅkhāvitaraṇī, Paramatthajotikā I–II, Sammohavinodanī и комментарии к остальным абхидхаммическим книгам. Отдельно сохранены комментарии к Niddesa, Paṭisambhidāmagga, Apadāna, Buddhavaṃsa и Jātaka. Это расширение исходного DR через издательский и корпусный поиск, а не перечень только самых известных названий.</w:t>
      </w:r>
      <w:r>
        <w:t xml:space="preserve"> </w:t>
      </w:r>
      <w:hyperlink r:id="rId18">
        <w:r>
          <w:rPr>
            <w:color w:val="1B6D83"/>
            <w:rFonts w:ascii="DejaVu Sans" w:hAnsi="DejaVu Sans"/>
          </w:rPr>
          <w:t>[R002]</w:t>
        </w:r>
      </w:hyperlink>
      <w:r>
        <w:t xml:space="preserve"> </w:t>
      </w:r>
      <w:hyperlink r:id="rId19">
        <w:r>
          <w:rPr>
            <w:color w:val="1B6D83"/>
            <w:rFonts w:ascii="DejaVu Sans" w:hAnsi="DejaVu Sans"/>
          </w:rPr>
          <w:t>[R010]</w:t>
        </w:r>
      </w:hyperlink>
      <w:r>
        <w:t xml:space="preserve"> </w:t>
      </w:r>
      <w:hyperlink r:id="rId20">
        <w:r>
          <w:rPr>
            <w:color w:val="1B6D83"/>
            <w:rFonts w:ascii="DejaVu Sans" w:hAnsi="DejaVu Sans"/>
          </w:rPr>
          <w:t>[R021]</w:t>
        </w:r>
      </w:hyperlink>
      <w:r>
        <w:t xml:space="preserve"> </w:t>
      </w:r>
      <w:hyperlink r:id="rId21">
        <w:r>
          <w:rPr>
            <w:color w:val="1B6D83"/>
            <w:rFonts w:ascii="DejaVu Sans" w:hAnsi="DejaVu Sans"/>
          </w:rPr>
          <w:t>[R065]</w:t>
        </w:r>
      </w:hyperlink>
    </w:p>
    <w:p>
      <w:r>
        <w:t>Группа Paramatthadīpanī разложена на семь конкретных линий: Udāna, Itivuttaka, Vimānavatthu, Petavatthu, Theragāthā, Therīgāthā и Cariyāpiṭaka. Для каждой есть палийское издание; для шести подтверждены отдельные современные английские маршруты, включая Cariyāpiṭaka с комментарием Masefield 2024 года. Полный английский Theragāthā-комментарий остаётся пробелом. Традиционные атрибуции и приблизительное «VI в.?» не превращены в бесспорные даты авторства.</w:t>
      </w:r>
      <w:r>
        <w:t xml:space="preserve"> </w:t>
      </w:r>
      <w:hyperlink r:id="rId22">
        <w:r>
          <w:rPr>
            <w:color w:val="1B6D83"/>
            <w:rFonts w:ascii="DejaVu Sans" w:hAnsi="DejaVu Sans"/>
          </w:rPr>
          <w:t>[R013]</w:t>
        </w:r>
      </w:hyperlink>
      <w:r>
        <w:t xml:space="preserve"> </w:t>
      </w:r>
      <w:hyperlink r:id="rId23">
        <w:r>
          <w:rPr>
            <w:color w:val="1B6D83"/>
            <w:rFonts w:ascii="DejaVu Sans" w:hAnsi="DejaVu Sans"/>
          </w:rPr>
          <w:t>[R018]</w:t>
        </w:r>
      </w:hyperlink>
      <w:r>
        <w:t xml:space="preserve"> </w:t>
      </w:r>
      <w:hyperlink r:id="rId24">
        <w:r>
          <w:rPr>
            <w:color w:val="1B6D83"/>
            <w:rFonts w:ascii="DejaVu Sans" w:hAnsi="DejaVu Sans"/>
          </w:rPr>
          <w:t>[R019]</w:t>
        </w:r>
      </w:hyperlink>
      <w:r>
        <w:t xml:space="preserve"> </w:t>
      </w:r>
      <w:hyperlink r:id="rId25">
        <w:r>
          <w:rPr>
            <w:color w:val="1B6D83"/>
            <w:rFonts w:ascii="DejaVu Sans" w:hAnsi="DejaVu Sans"/>
          </w:rPr>
          <w:t>[R124]</w:t>
        </w:r>
      </w:hyperlink>
      <w:r>
        <w:t xml:space="preserve"> </w:t>
      </w:r>
      <w:hyperlink r:id="rId26">
        <w:r>
          <w:rPr>
            <w:color w:val="1B6D83"/>
            <w:rFonts w:ascii="DejaVu Sans" w:hAnsi="DejaVu Sans"/>
          </w:rPr>
          <w:t>[R125]</w:t>
        </w:r>
      </w:hyperlink>
    </w:p>
    <w:p>
      <w:r>
        <w:t>Учебный круг охватывает четыре компендиума Buddhadatta одним издательским комплектом, Abhidhammatthasaṅgaha с Vibhāvinī, Nāmarūpapariccheda, Nāmacāradīpikā, Nāmarūpasamāsa/Khemappakaraṇa, Paramatthavinicchaya, Saccasaṅkhepa и Khuddasikkhā/Mūlasikkhā. Mohavicchedanī добавлена как прямой комментарий к матрицам семи книг Abhidhamma. Грамматика и поэтика представлены Moggallāna с vutti и pañcikā, Kaccāyana с vutti, Mahārūpasiddhi, Padasādhana, Vuttodaya, Subodhālaṅkāra и Abhidhānappadīpikā.</w:t>
      </w:r>
      <w:r>
        <w:t xml:space="preserve"> </w:t>
      </w:r>
      <w:hyperlink r:id="rId27">
        <w:r>
          <w:rPr>
            <w:color w:val="1B6D83"/>
            <w:rFonts w:ascii="DejaVu Sans" w:hAnsi="DejaVu Sans"/>
          </w:rPr>
          <w:t>[R033]</w:t>
        </w:r>
      </w:hyperlink>
      <w:r>
        <w:t xml:space="preserve"> </w:t>
      </w:r>
      <w:hyperlink r:id="rId28">
        <w:r>
          <w:rPr>
            <w:color w:val="1B6D83"/>
            <w:rFonts w:ascii="DejaVu Sans" w:hAnsi="DejaVu Sans"/>
          </w:rPr>
          <w:t>[R034]</w:t>
        </w:r>
      </w:hyperlink>
      <w:r>
        <w:t xml:space="preserve"> </w:t>
      </w:r>
      <w:hyperlink r:id="rId29">
        <w:r>
          <w:rPr>
            <w:color w:val="1B6D83"/>
            <w:rFonts w:ascii="DejaVu Sans" w:hAnsi="DejaVu Sans"/>
          </w:rPr>
          <w:t>[R077]</w:t>
        </w:r>
      </w:hyperlink>
      <w:r>
        <w:t xml:space="preserve"> </w:t>
      </w:r>
      <w:hyperlink r:id="rId30">
        <w:r>
          <w:rPr>
            <w:color w:val="1B6D83"/>
            <w:rFonts w:ascii="DejaVu Sans" w:hAnsi="DejaVu Sans"/>
          </w:rPr>
          <w:t>[R126]</w:t>
        </w:r>
      </w:hyperlink>
      <w:r>
        <w:t xml:space="preserve"> </w:t>
      </w:r>
      <w:hyperlink r:id="rId31">
        <w:r>
          <w:rPr>
            <w:color w:val="1B6D83"/>
            <w:rFonts w:ascii="DejaVu Sans" w:hAnsi="DejaVu Sans"/>
          </w:rPr>
          <w:t>[R129]</w:t>
        </w:r>
      </w:hyperlink>
    </w:p>
    <w:p>
      <w:pPr>
        <w:pStyle w:val="Heading2"/>
      </w:pPr>
      <w:r>
        <w:t>Ранний вход и поздний ореол</w:t>
      </w:r>
    </w:p>
    <w:p>
      <w:r>
        <w:t>Поиск назад дал не общее собрание раннего буддизма, а конкретные источники: Dhammasaṅgaṇī как предмет Atthasālinī, Paṭisambhidāmagga как аналитический и герменевтический предшествующий слой, Nettippakaraṇa и Peṭakopadesa, раннюю хронику Dīpavaṃsa и сравнительный медитационный Vimuttimagga. Для MN 9 найден отдельный сегментированный перевод, непосредственно сопоставимый с выбранным Papañcasūdanī-комментарием. Отношение Vimuttimagga к Visuddhimagga сохранено как сравнительная источниковедческая связь, без утверждения о полностью восстановленном палийском оригинале.</w:t>
      </w:r>
      <w:r>
        <w:t xml:space="preserve"> </w:t>
      </w:r>
      <w:hyperlink r:id="rId15">
        <w:r>
          <w:rPr>
            <w:color w:val="1B6D83"/>
            <w:rFonts w:ascii="DejaVu Sans" w:hAnsi="DejaVu Sans"/>
          </w:rPr>
          <w:t>[R039]</w:t>
        </w:r>
      </w:hyperlink>
      <w:r>
        <w:t xml:space="preserve"> </w:t>
      </w:r>
      <w:hyperlink r:id="rId32">
        <w:r>
          <w:rPr>
            <w:color w:val="1B6D83"/>
            <w:rFonts w:ascii="DejaVu Sans" w:hAnsi="DejaVu Sans"/>
          </w:rPr>
          <w:t>[R054]</w:t>
        </w:r>
      </w:hyperlink>
      <w:r>
        <w:t xml:space="preserve"> </w:t>
      </w:r>
      <w:hyperlink r:id="rId33">
        <w:r>
          <w:rPr>
            <w:color w:val="1B6D83"/>
            <w:rFonts w:ascii="DejaVu Sans" w:hAnsi="DejaVu Sans"/>
          </w:rPr>
          <w:t>[R062]</w:t>
        </w:r>
      </w:hyperlink>
      <w:r>
        <w:t xml:space="preserve"> </w:t>
      </w:r>
      <w:hyperlink r:id="rId34">
        <w:r>
          <w:rPr>
            <w:color w:val="1B6D83"/>
            <w:rFonts w:ascii="DejaVu Sans" w:hAnsi="DejaVu Sans"/>
          </w:rPr>
          <w:t>[R063]</w:t>
        </w:r>
      </w:hyperlink>
      <w:r>
        <w:t xml:space="preserve"> </w:t>
      </w:r>
      <w:hyperlink r:id="rId35">
        <w:r>
          <w:rPr>
            <w:color w:val="1B6D83"/>
            <w:rFonts w:ascii="DejaVu Sans" w:hAnsi="DejaVu Sans"/>
          </w:rPr>
          <w:t>[R064]</w:t>
        </w:r>
      </w:hyperlink>
      <w:r>
        <w:t xml:space="preserve"> </w:t>
      </w:r>
      <w:hyperlink r:id="rId36">
        <w:r>
          <w:rPr>
            <w:color w:val="1B6D83"/>
            <w:rFonts w:ascii="DejaVu Sans" w:hAnsi="DejaVu Sans"/>
          </w:rPr>
          <w:t>[R113]</w:t>
        </w:r>
      </w:hyperlink>
      <w:r>
        <w:t xml:space="preserve"> </w:t>
      </w:r>
      <w:hyperlink r:id="rId37">
        <w:r>
          <w:rPr>
            <w:color w:val="1B6D83"/>
            <w:rFonts w:ascii="DejaVu Sans" w:hAnsi="DejaVu Sans"/>
          </w:rPr>
          <w:t>[R130]</w:t>
        </w:r>
      </w:hyperlink>
    </w:p>
    <w:p>
      <w:r>
        <w:t>Поиск вперёд добавил Vaṃsatthappakāsinī, Cūlavaṃsa, расширенную редакцию Mahāvaṃsa, Dāṭhāvaṃsa, Thūpavaṃsa, Mahābodhivaṃsa, Dhātuvaṃsa и Hatthavanagallavihāravaṃsa. Связь здесь корпусная и институциональная: комментирование исходной хроники, её продолжение либо развитие монастырской и реликварной vaṃsa-семьи. Nikāyasaṅgrahaya включена как сингальский текст об истории передачи ордена, а Buddhaghosuppatti — как поздняя рецепция комментатора, не достоверная биография V века.</w:t>
      </w:r>
      <w:r>
        <w:t xml:space="preserve"> </w:t>
      </w:r>
      <w:hyperlink r:id="rId38">
        <w:r>
          <w:rPr>
            <w:color w:val="1B6D83"/>
            <w:rFonts w:ascii="DejaVu Sans" w:hAnsi="DejaVu Sans"/>
          </w:rPr>
          <w:t>[R069]</w:t>
        </w:r>
      </w:hyperlink>
      <w:r>
        <w:t xml:space="preserve"> </w:t>
      </w:r>
      <w:hyperlink r:id="rId39">
        <w:r>
          <w:rPr>
            <w:color w:val="1B6D83"/>
            <w:rFonts w:ascii="DejaVu Sans" w:hAnsi="DejaVu Sans"/>
          </w:rPr>
          <w:t>[R070]</w:t>
        </w:r>
      </w:hyperlink>
      <w:r>
        <w:t xml:space="preserve"> </w:t>
      </w:r>
      <w:hyperlink r:id="rId40">
        <w:r>
          <w:rPr>
            <w:color w:val="1B6D83"/>
            <w:rFonts w:ascii="DejaVu Sans" w:hAnsi="DejaVu Sans"/>
          </w:rPr>
          <w:t>[R072]</w:t>
        </w:r>
      </w:hyperlink>
      <w:r>
        <w:t xml:space="preserve"> </w:t>
      </w:r>
      <w:hyperlink r:id="rId41">
        <w:r>
          <w:rPr>
            <w:color w:val="1B6D83"/>
            <w:rFonts w:ascii="DejaVu Sans" w:hAnsi="DejaVu Sans"/>
          </w:rPr>
          <w:t>[R075]</w:t>
        </w:r>
      </w:hyperlink>
      <w:r>
        <w:t xml:space="preserve"> </w:t>
      </w:r>
      <w:hyperlink r:id="rId42">
        <w:r>
          <w:rPr>
            <w:color w:val="1B6D83"/>
            <w:rFonts w:ascii="DejaVu Sans" w:hAnsi="DejaVu Sans"/>
          </w:rPr>
          <w:t>[R116]</w:t>
        </w:r>
      </w:hyperlink>
      <w:r>
        <w:t xml:space="preserve"> </w:t>
      </w:r>
      <w:hyperlink r:id="rId43">
        <w:r>
          <w:rPr>
            <w:color w:val="1B6D83"/>
            <w:rFonts w:ascii="DejaVu Sans" w:hAnsi="DejaVu Sans"/>
          </w:rPr>
          <w:t>[R117]</w:t>
        </w:r>
      </w:hyperlink>
      <w:r>
        <w:t xml:space="preserve"> </w:t>
      </w:r>
      <w:hyperlink r:id="rId17">
        <w:r>
          <w:rPr>
            <w:color w:val="1B6D83"/>
            <w:rFonts w:ascii="DejaVu Sans" w:hAnsi="DejaVu Sans"/>
          </w:rPr>
          <w:t>[R127]</w:t>
        </w:r>
      </w:hyperlink>
    </w:p>
    <w:p>
      <w:r>
        <w:t>Среди объектов действительно за пределами XV века — Gandhavaṃsa как поздний литературный каталог, Sāsanavaṃsa как палийская передача бирманского рассказа о буддизме Шри-Ланки и Бирмы, Sīmāvivādavinicchayakathā как продолжение правовой дискуссии о монастырских границах и рукопись Līnatthappakāsanā 1768 года. Их включение не расширяет мастер-строку до всей истории Юго-Восточной Азии: каждый объект привязан к определённой текстовой семье или цепочке передачи.</w:t>
      </w:r>
      <w:r>
        <w:t xml:space="preserve"> </w:t>
      </w:r>
      <w:hyperlink r:id="rId44">
        <w:r>
          <w:rPr>
            <w:color w:val="1B6D83"/>
            <w:rFonts w:ascii="DejaVu Sans" w:hAnsi="DejaVu Sans"/>
          </w:rPr>
          <w:t>[R041]</w:t>
        </w:r>
      </w:hyperlink>
      <w:r>
        <w:t xml:space="preserve"> </w:t>
      </w:r>
      <w:hyperlink r:id="rId45">
        <w:r>
          <w:rPr>
            <w:color w:val="1B6D83"/>
            <w:rFonts w:ascii="DejaVu Sans" w:hAnsi="DejaVu Sans"/>
          </w:rPr>
          <w:t>[R050]</w:t>
        </w:r>
      </w:hyperlink>
      <w:r>
        <w:t xml:space="preserve"> </w:t>
      </w:r>
      <w:hyperlink r:id="rId16">
        <w:r>
          <w:rPr>
            <w:color w:val="1B6D83"/>
            <w:rFonts w:ascii="DejaVu Sans" w:hAnsi="DejaVu Sans"/>
          </w:rPr>
          <w:t>[R092]</w:t>
        </w:r>
      </w:hyperlink>
      <w:r>
        <w:t xml:space="preserve"> </w:t>
      </w:r>
      <w:hyperlink r:id="rId46">
        <w:r>
          <w:rPr>
            <w:color w:val="1B6D83"/>
            <w:rFonts w:ascii="DejaVu Sans" w:hAnsi="DejaVu Sans"/>
          </w:rPr>
          <w:t>[R118]</w:t>
        </w:r>
      </w:hyperlink>
    </w:p>
    <w:p>
      <w:r>
        <w:t>Ещё более поздние прямые комментарии — Visuddhimaggadīpanī, Ledi Paramatthadīpanī/Anudīpanī, yojanā Ñāṇakitti и новая Dīgha-ṭīkā 1801 года — не потеряны: конкретные названия и требуемая следующая проверка сохранены в gaps. Ранние Sinhala Aṭṭhakathā вынесены туда как не найденный самостоятельный сохранившийся корпус, а не как будто доступная древняя книга.</w:t>
      </w:r>
      <w:r>
        <w:t xml:space="preserve"> </w:t>
      </w:r>
      <w:hyperlink r:id="rId47">
        <w:r>
          <w:rPr>
            <w:color w:val="1B6D83"/>
            <w:rFonts w:ascii="DejaVu Sans" w:hAnsi="DejaVu Sans"/>
          </w:rPr>
          <w:t>[R114]</w:t>
        </w:r>
      </w:hyperlink>
    </w:p>
    <w:p>
      <w:pPr>
        <w:pStyle w:val="Heading2"/>
      </w:pPr>
      <w:r>
        <w:t>Как читать количественные итоги</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268"/>
            <w:vAlign w:val="top"/>
            <w:shd w:fill="173B4B"/>
            <w:tcMar>
              <w:top w:w="90" w:type="dxa"/>
              <w:left w:w="90" w:type="dxa"/>
              <w:bottom w:w="90" w:type="dxa"/>
              <w:right w:w="90" w:type="dxa"/>
            </w:tcMar>
          </w:tcPr>
          <w:p>
            <w:pPr>
              <w:spacing w:after="40" w:line="252" w:lineRule="auto"/>
            </w:pPr>
            <w:r>
              <w:rPr>
                <w:rFonts w:ascii="DejaVu Sans" w:hAnsi="DejaVu Sans"/>
                <w:b/>
                <w:color w:val="FFFFFF"/>
                <w:sz w:val="18"/>
              </w:rPr>
              <w:t>Уровень учёта</w:t>
            </w:r>
          </w:p>
        </w:tc>
        <w:tc>
          <w:tcPr>
            <w:tcW w:type="dxa" w:w="7370"/>
            <w:vAlign w:val="top"/>
            <w:shd w:fill="173B4B"/>
            <w:tcMar>
              <w:top w:w="90" w:type="dxa"/>
              <w:left w:w="90" w:type="dxa"/>
              <w:bottom w:w="90" w:type="dxa"/>
              <w:right w:w="90" w:type="dxa"/>
            </w:tcMar>
          </w:tcPr>
          <w:p>
            <w:pPr>
              <w:spacing w:after="40" w:line="252" w:lineRule="auto"/>
            </w:pPr>
            <w:r>
              <w:rPr>
                <w:rFonts w:ascii="DejaVu Sans" w:hAnsi="DejaVu Sans"/>
                <w:b/>
                <w:color w:val="FFFFFF"/>
                <w:sz w:val="18"/>
              </w:rPr>
              <w:t>Результат и предел</w:t>
            </w:r>
          </w:p>
        </w:tc>
      </w:tr>
      <w:tr>
        <w:trPr>
          <w:cantSplit/>
        </w:trPr>
        <w:tc>
          <w:tcPr>
            <w:tcW w:type="dxa" w:w="2268"/>
            <w:vAlign w:val="top"/>
            <w:shd w:fill="F0F5F7"/>
            <w:tcMar>
              <w:top w:w="90" w:type="dxa"/>
              <w:left w:w="90" w:type="dxa"/>
              <w:bottom w:w="90" w:type="dxa"/>
              <w:right w:w="90" w:type="dxa"/>
            </w:tcMar>
          </w:tcPr>
          <w:p>
            <w:pPr>
              <w:spacing w:after="40" w:line="252" w:lineRule="auto"/>
            </w:pPr>
            <w:r>
              <w:rPr>
                <w:rFonts w:ascii="DejaVu Sans" w:hAnsi="DejaVu Sans"/>
                <w:sz w:val="18"/>
              </w:rPr>
              <w:t>Адресные маршруты</w:t>
            </w:r>
          </w:p>
        </w:tc>
        <w:tc>
          <w:tcPr>
            <w:tcW w:type="dxa" w:w="7370"/>
            <w:vAlign w:val="top"/>
            <w:shd w:fill="F0F5F7"/>
            <w:tcMar>
              <w:top w:w="90" w:type="dxa"/>
              <w:left w:w="90" w:type="dxa"/>
              <w:bottom w:w="90" w:type="dxa"/>
              <w:right w:w="90" w:type="dxa"/>
            </w:tcMar>
          </w:tcPr>
          <w:p>
            <w:pPr>
              <w:spacing w:after="40" w:line="252" w:lineRule="auto"/>
            </w:pPr>
            <w:r>
              <w:rPr>
                <w:rFonts w:ascii="DejaVu Sans" w:hAnsi="DejaVu Sans"/>
                <w:sz w:val="18"/>
              </w:rPr>
              <w:t>122 записи к 75 именованным произведениям и текстовым группам, включая версии, переводы и один конкретный рукописный свидетель.</w:t>
            </w:r>
          </w:p>
        </w:tc>
      </w:tr>
      <w:tr>
        <w:trPr>
          <w:cantSplit/>
        </w:trPr>
        <w:tc>
          <w:tcPr>
            <w:tcW w:type="dxa" w:w="2268"/>
            <w:vAlign w:val="top"/>
            <w:shd w:fill="FFFFFF"/>
            <w:tcMar>
              <w:top w:w="90" w:type="dxa"/>
              <w:left w:w="90" w:type="dxa"/>
              <w:bottom w:w="90" w:type="dxa"/>
              <w:right w:w="90" w:type="dxa"/>
            </w:tcMar>
          </w:tcPr>
          <w:p>
            <w:pPr>
              <w:spacing w:after="40" w:line="252" w:lineRule="auto"/>
            </w:pPr>
            <w:r>
              <w:rPr>
                <w:rFonts w:ascii="DejaVu Sans" w:hAnsi="DejaVu Sans"/>
                <w:sz w:val="18"/>
              </w:rPr>
              <w:t>Сводные входы</w:t>
            </w:r>
          </w:p>
        </w:tc>
        <w:tc>
          <w:tcPr>
            <w:tcW w:type="dxa" w:w="7370"/>
            <w:vAlign w:val="top"/>
            <w:shd w:fill="FFFFFF"/>
            <w:tcMar>
              <w:top w:w="90" w:type="dxa"/>
              <w:left w:w="90" w:type="dxa"/>
              <w:bottom w:w="90" w:type="dxa"/>
              <w:right w:w="90" w:type="dxa"/>
            </w:tcMar>
          </w:tcPr>
          <w:p>
            <w:pPr>
              <w:spacing w:after="40" w:line="252" w:lineRule="auto"/>
            </w:pPr>
            <w:r>
              <w:rPr>
                <w:rFonts w:ascii="DejaVu Sans" w:hAnsi="DejaVu Sans"/>
                <w:sz w:val="18"/>
              </w:rPr>
              <w:t>6 записей: три SHB-пакета, Digital Pāli Reader, XML VRI и канонический Sutta-вход SLTP. Их содержимое не пересчитано в сотни новых произведений.</w:t>
            </w:r>
          </w:p>
        </w:tc>
      </w:tr>
      <w:tr>
        <w:trPr>
          <w:cantSplit/>
        </w:trPr>
        <w:tc>
          <w:tcPr>
            <w:tcW w:type="dxa" w:w="2268"/>
            <w:vAlign w:val="top"/>
            <w:shd w:fill="F0F5F7"/>
            <w:tcMar>
              <w:top w:w="90" w:type="dxa"/>
              <w:left w:w="90" w:type="dxa"/>
              <w:bottom w:w="90" w:type="dxa"/>
              <w:right w:w="90" w:type="dxa"/>
            </w:tcMar>
          </w:tcPr>
          <w:p>
            <w:pPr>
              <w:spacing w:after="40" w:line="252" w:lineRule="auto"/>
            </w:pPr>
            <w:r>
              <w:rPr>
                <w:rFonts w:ascii="DejaVu Sans" w:hAnsi="DejaVu Sans"/>
                <w:sz w:val="18"/>
              </w:rPr>
              <w:t>Вторичная навигация</w:t>
            </w:r>
          </w:p>
        </w:tc>
        <w:tc>
          <w:tcPr>
            <w:tcW w:type="dxa" w:w="7370"/>
            <w:vAlign w:val="top"/>
            <w:shd w:fill="F0F5F7"/>
            <w:tcMar>
              <w:top w:w="90" w:type="dxa"/>
              <w:left w:w="90" w:type="dxa"/>
              <w:bottom w:w="90" w:type="dxa"/>
              <w:right w:w="90" w:type="dxa"/>
            </w:tcMar>
          </w:tcPr>
          <w:p>
            <w:pPr>
              <w:spacing w:after="40" w:line="252" w:lineRule="auto"/>
            </w:pPr>
            <w:r>
              <w:rPr>
                <w:rFonts w:ascii="DejaVu Sans" w:hAnsi="DejaVu Sans"/>
                <w:sz w:val="18"/>
              </w:rPr>
              <w:t>3 записи: Gornall, справочная таблица Ñāṇatusita и Pāli Aṭṭhakathā Correspondence Table.</w:t>
            </w:r>
          </w:p>
        </w:tc>
      </w:tr>
      <w:tr>
        <w:trPr>
          <w:cantSplit/>
        </w:trPr>
        <w:tc>
          <w:tcPr>
            <w:tcW w:type="dxa" w:w="2268"/>
            <w:vAlign w:val="top"/>
            <w:shd w:fill="FFFFFF"/>
            <w:tcMar>
              <w:top w:w="90" w:type="dxa"/>
              <w:left w:w="90" w:type="dxa"/>
              <w:bottom w:w="90" w:type="dxa"/>
              <w:right w:w="90" w:type="dxa"/>
            </w:tcMar>
          </w:tcPr>
          <w:p>
            <w:pPr>
              <w:spacing w:after="40" w:line="252" w:lineRule="auto"/>
            </w:pPr>
            <w:r>
              <w:rPr>
                <w:rFonts w:ascii="DejaVu Sans" w:hAnsi="DejaVu Sans"/>
                <w:sz w:val="18"/>
              </w:rPr>
              <w:t>Всего</w:t>
            </w:r>
          </w:p>
        </w:tc>
        <w:tc>
          <w:tcPr>
            <w:tcW w:type="dxa" w:w="7370"/>
            <w:vAlign w:val="top"/>
            <w:shd w:fill="FFFFFF"/>
            <w:tcMar>
              <w:top w:w="90" w:type="dxa"/>
              <w:left w:w="90" w:type="dxa"/>
              <w:bottom w:w="90" w:type="dxa"/>
              <w:right w:w="90" w:type="dxa"/>
            </w:tcMar>
          </w:tcPr>
          <w:p>
            <w:pPr>
              <w:spacing w:after="40" w:line="252" w:lineRule="auto"/>
            </w:pPr>
            <w:r>
              <w:rPr>
                <w:rFonts w:ascii="DejaVu Sans" w:hAnsi="DejaVu Sans"/>
                <w:sz w:val="18"/>
              </w:rPr>
              <w:t>131 запись registry; 26 позиций gaps. Число доступов не равно числу произведений и не равно числу свободных файлов.</w:t>
            </w:r>
          </w:p>
        </w:tc>
      </w:tr>
    </w:tbl>
    <w:p>
      <w:pPr>
        <w:spacing w:after="0"/>
      </w:pPr>
    </w:p>
    <w:p>
      <w:r>
        <w:t>75 — число исследовательских единиц этого пакета, а не окончательная онтологическая статистика. Четыре пособия Buddhadatta, пара Khuddasikkhā/Mūlasikkhā и некоторые линии «текст + комментарий» считаются группами; разные переводы одной группы не добавляют новых единиц. В registry используются core, same_corpus_or_tradition, antecedent, continuation, commentary_or_reception, transmission_or_preservation, supporting, infrastructure и secondary_navigation. Boundary-кандидат Saddhammopāyana оставлен в gaps для проверки школьной атрибуции.</w:t>
      </w:r>
    </w:p>
    <w:p>
      <w:pPr>
        <w:pStyle w:val="Heading1"/>
      </w:pPr>
      <w:r>
        <w:t>3. Лучшие пути доступа</w:t>
      </w:r>
    </w:p>
    <w:p>
      <w:pPr>
        <w:pStyle w:val="Heading2"/>
      </w:pPr>
      <w:r>
        <w:t>Visuddhimagga и ближайшая сравнительная основа</w:t>
      </w:r>
    </w:p>
    <w:p>
      <w:r>
        <w:t>Для палийского чтения и машинной обработки наиболее полезен GRETIL: полный HTML на основе издания C.A.F. Rhys Davids, с явно указанной CC BY-SA 4.0. Это пригодная исходная основа собственного перевода ToS в пределах данной транскрипции, но не заменитель сверки с печатной редакцией. Альтернативное критическое издание Warren–Kosambi 1950 года осталось в gaps: открытая проверка конкретной библиотечной карточки не удалась.</w:t>
      </w:r>
      <w:r>
        <w:t xml:space="preserve"> </w:t>
      </w:r>
      <w:hyperlink r:id="rId11">
        <w:r>
          <w:rPr>
            <w:color w:val="1B6D83"/>
            <w:rFonts w:ascii="DejaVu Sans" w:hAnsi="DejaVu Sans"/>
          </w:rPr>
          <w:t>[R001]</w:t>
        </w:r>
      </w:hyperlink>
      <w:r>
        <w:t xml:space="preserve"> </w:t>
      </w:r>
      <w:hyperlink r:id="rId48">
        <w:r>
          <w:rPr>
            <w:color w:val="1B6D83"/>
            <w:rFonts w:ascii="DejaVu Sans" w:hAnsi="DejaVu Sans"/>
          </w:rPr>
          <w:t>[R115]</w:t>
        </w:r>
      </w:hyperlink>
    </w:p>
    <w:p>
      <w:r>
        <w:t>Полный английский перевод Ñāṇamoli доступен через официальную покупку Pariyatti; индекс Access to Insight предлагает электронный Path of Purification 2011, но сам PDF инструментом не был разобран. Поэтому это полезный сохранённый вход, а не проверенная лицензия на зеркалирование. Старый Pe Maung Tin, The Path of Purity, имеет отдельный официальный издательский путь; его возраст сам по себе не превращён в глобальное public-domain разрешение.</w:t>
      </w:r>
      <w:r>
        <w:t xml:space="preserve"> </w:t>
      </w:r>
      <w:hyperlink r:id="rId49">
        <w:r>
          <w:rPr>
            <w:color w:val="1B6D83"/>
            <w:rFonts w:ascii="DejaVu Sans" w:hAnsi="DejaVu Sans"/>
          </w:rPr>
          <w:t>[R098]</w:t>
        </w:r>
      </w:hyperlink>
      <w:r>
        <w:t xml:space="preserve"> </w:t>
      </w:r>
      <w:hyperlink r:id="rId50">
        <w:r>
          <w:rPr>
            <w:color w:val="1B6D83"/>
            <w:rFonts w:ascii="DejaVu Sans" w:hAnsi="DejaVu Sans"/>
          </w:rPr>
          <w:t>[R106]</w:t>
        </w:r>
      </w:hyperlink>
      <w:r>
        <w:t xml:space="preserve"> </w:t>
      </w:r>
      <w:hyperlink r:id="rId51">
        <w:r>
          <w:rPr>
            <w:color w:val="1B6D83"/>
            <w:rFonts w:ascii="DejaVu Sans" w:hAnsi="DejaVu Sans"/>
          </w:rPr>
          <w:t>[R107]</w:t>
        </w:r>
      </w:hyperlink>
    </w:p>
    <w:p>
      <w:r>
        <w:t>Русская версия «Ганги» 2024 года дана одним маршрутом к двум томам: главы I–XIII и XIV–XXIII. Это защищённый перевод через английский Ñāṇamoli, не чистый палийский исходник. Сингальская Visuddhi Margaya у Buddhist Cultural Centre — современное сокращённое изложение, а не полный перевод и не историческая Mahāsannaya.</w:t>
      </w:r>
      <w:r>
        <w:t xml:space="preserve"> </w:t>
      </w:r>
      <w:hyperlink r:id="rId52">
        <w:r>
          <w:rPr>
            <w:color w:val="1B6D83"/>
            <w:rFonts w:ascii="DejaVu Sans" w:hAnsi="DejaVu Sans"/>
          </w:rPr>
          <w:t>[R095]</w:t>
        </w:r>
      </w:hyperlink>
      <w:r>
        <w:t xml:space="preserve"> </w:t>
      </w:r>
      <w:hyperlink r:id="rId53">
        <w:r>
          <w:rPr>
            <w:color w:val="1B6D83"/>
            <w:rFonts w:ascii="DejaVu Sans" w:hAnsi="DejaVu Sans"/>
          </w:rPr>
          <w:t>[R096]</w:t>
        </w:r>
      </w:hyperlink>
    </w:p>
    <w:p>
      <w:r>
        <w:t>Для Vimuttimagga сильнейший современный бесплатный научный вход — два полных английских PDF Ñāṇatusita 2021 года на сайте University of Hong Kong. Copyright-страницы проверены: право чтения не равно праву повторной публикации. Сохранённый китайский текст T1648 доступен в проверенном CBETA XML; тибетские приложения английского издания дают дополнительные свидетельства, но ещё не собственные тибетские цифровые оригиналы.</w:t>
      </w:r>
      <w:r>
        <w:t xml:space="preserve"> </w:t>
      </w:r>
      <w:hyperlink r:id="rId15">
        <w:r>
          <w:rPr>
            <w:color w:val="1B6D83"/>
            <w:rFonts w:ascii="DejaVu Sans" w:hAnsi="DejaVu Sans"/>
          </w:rPr>
          <w:t>[R039]</w:t>
        </w:r>
      </w:hyperlink>
      <w:r>
        <w:t xml:space="preserve"> </w:t>
      </w:r>
      <w:hyperlink r:id="rId54">
        <w:r>
          <w:rPr>
            <w:color w:val="1B6D83"/>
            <w:rFonts w:ascii="DejaVu Sans" w:hAnsi="DejaVu Sans"/>
          </w:rPr>
          <w:t>[R090]</w:t>
        </w:r>
      </w:hyperlink>
    </w:p>
    <w:p>
      <w:pPr>
        <w:pStyle w:val="Heading2"/>
      </w:pPr>
      <w:r>
        <w:t>Vinaya и четыре Nikāya</w:t>
      </w:r>
    </w:p>
    <w:p>
      <w:r>
        <w:t>Samantapāsādikā имеет особенно хороший оригинальный цифровой путь: семь отдельно проверенных GRETIL-томов с объектной CC BY-SA 4.0 сведены в одну запись редакции. Восьмой том PTS с индексами сюда не включён. Печатный комплект PTS остаётся научным контрольным входом. Английский Inception of Discipline переводит только Bāhiranidāna; его нельзя выдавать за весь комментарий к Vinaya.</w:t>
      </w:r>
      <w:r>
        <w:t xml:space="preserve"> </w:t>
      </w:r>
      <w:hyperlink r:id="rId18">
        <w:r>
          <w:rPr>
            <w:color w:val="1B6D83"/>
            <w:rFonts w:ascii="DejaVu Sans" w:hAnsi="DejaVu Sans"/>
          </w:rPr>
          <w:t>[R002]</w:t>
        </w:r>
      </w:hyperlink>
      <w:r>
        <w:t xml:space="preserve"> </w:t>
      </w:r>
      <w:hyperlink r:id="rId55">
        <w:r>
          <w:rPr>
            <w:color w:val="1B6D83"/>
            <w:rFonts w:ascii="DejaVu Sans" w:hAnsi="DejaVu Sans"/>
          </w:rPr>
          <w:t>[R009]</w:t>
        </w:r>
      </w:hyperlink>
      <w:r>
        <w:t xml:space="preserve"> </w:t>
      </w:r>
      <w:hyperlink r:id="rId12">
        <w:r>
          <w:rPr>
            <w:color w:val="1B6D83"/>
            <w:rFonts w:ascii="DejaVu Sans" w:hAnsi="DejaVu Sans"/>
          </w:rPr>
          <w:t>[R027]</w:t>
        </w:r>
      </w:hyperlink>
    </w:p>
    <w:p>
      <w:r>
        <w:t>Для Kaṅkhāvitaraṇī подтверждены современное палийское издание и английский Overcoming Doubts 2018 года. Последний — том I, комментарий к Bhikkhu-Pātimokkha, а не обе дисциплинарные части целиком. Для поздней институциональной линии лучший проверенный специальный вариант — критическое исследование/издание Sīmālaṅkārasaṅgaha Kieffer-Pülz 2021 года у Harrassowitz; бесплатное оглавление не равно свободной книге.</w:t>
      </w:r>
      <w:r>
        <w:t xml:space="preserve"> </w:t>
      </w:r>
      <w:hyperlink r:id="rId19">
        <w:r>
          <w:rPr>
            <w:color w:val="1B6D83"/>
            <w:rFonts w:ascii="DejaVu Sans" w:hAnsi="DejaVu Sans"/>
          </w:rPr>
          <w:t>[R010]</w:t>
        </w:r>
      </w:hyperlink>
      <w:r>
        <w:t xml:space="preserve"> </w:t>
      </w:r>
      <w:hyperlink r:id="rId14">
        <w:r>
          <w:rPr>
            <w:color w:val="1B6D83"/>
            <w:rFonts w:ascii="DejaVu Sans" w:hAnsi="DejaVu Sans"/>
          </w:rPr>
          <w:t>[R038]</w:t>
        </w:r>
      </w:hyperlink>
      <w:r>
        <w:t xml:space="preserve"> </w:t>
      </w:r>
      <w:hyperlink r:id="rId56">
        <w:r>
          <w:rPr>
            <w:color w:val="1B6D83"/>
            <w:rFonts w:ascii="DejaVu Sans" w:hAnsi="DejaVu Sans"/>
          </w:rPr>
          <w:t>[R128]</w:t>
        </w:r>
      </w:hyperlink>
    </w:p>
    <w:p>
      <w:r>
        <w:t>Sumaṅgalavilāsinī, Papañcasūdanī, Sāratthappakāsinī и Manorathapūraṇī доступны через адресные PTS-карточки; бесплатные SHB-сканы и VRI дают иные пути к корпусу, но требуют пофайловой сверки редакции. Современный английский Papañcasūdanī на сайте HKU охватывает MN 1, MN 2 и неполный MN 3. Отдельная публикация MN 9 на Access to Insight содержит выбранный комментарий, а не перевод всей Papañcasūdanī.</w:t>
      </w:r>
      <w:r>
        <w:t xml:space="preserve"> </w:t>
      </w:r>
      <w:hyperlink r:id="rId57">
        <w:r>
          <w:rPr>
            <w:color w:val="1B6D83"/>
            <w:rFonts w:ascii="DejaVu Sans" w:hAnsi="DejaVu Sans"/>
          </w:rPr>
          <w:t>[R003]</w:t>
        </w:r>
      </w:hyperlink>
      <w:r>
        <w:t xml:space="preserve"> </w:t>
      </w:r>
      <w:hyperlink r:id="rId58">
        <w:r>
          <w:rPr>
            <w:color w:val="1B6D83"/>
            <w:rFonts w:ascii="DejaVu Sans" w:hAnsi="DejaVu Sans"/>
          </w:rPr>
          <w:t>[R004]</w:t>
        </w:r>
      </w:hyperlink>
      <w:r>
        <w:t xml:space="preserve"> </w:t>
      </w:r>
      <w:hyperlink r:id="rId59">
        <w:r>
          <w:rPr>
            <w:color w:val="1B6D83"/>
            <w:rFonts w:ascii="DejaVu Sans" w:hAnsi="DejaVu Sans"/>
          </w:rPr>
          <w:t>[R005]</w:t>
        </w:r>
      </w:hyperlink>
      <w:r>
        <w:t xml:space="preserve"> </w:t>
      </w:r>
      <w:hyperlink r:id="rId60">
        <w:r>
          <w:rPr>
            <w:color w:val="1B6D83"/>
            <w:rFonts w:ascii="DejaVu Sans" w:hAnsi="DejaVu Sans"/>
          </w:rPr>
          <w:t>[R006]</w:t>
        </w:r>
      </w:hyperlink>
      <w:r>
        <w:t xml:space="preserve"> </w:t>
      </w:r>
      <w:hyperlink r:id="rId61">
        <w:r>
          <w:rPr>
            <w:color w:val="1B6D83"/>
            <w:rFonts w:ascii="DejaVu Sans" w:hAnsi="DejaVu Sans"/>
          </w:rPr>
          <w:t>[R028]</w:t>
        </w:r>
      </w:hyperlink>
      <w:r>
        <w:t xml:space="preserve"> </w:t>
      </w:r>
      <w:hyperlink r:id="rId62">
        <w:r>
          <w:rPr>
            <w:color w:val="1B6D83"/>
            <w:rFonts w:ascii="DejaVu Sans" w:hAnsi="DejaVu Sans"/>
          </w:rPr>
          <w:t>[R109]</w:t>
        </w:r>
      </w:hyperlink>
    </w:p>
    <w:p>
      <w:pPr>
        <w:pStyle w:val="Heading2"/>
      </w:pPr>
      <w:r>
        <w:t>Khuddaka-комментарии и повествовательная экзегеза</w:t>
      </w:r>
    </w:p>
    <w:p>
      <w:r>
        <w:t>Для Dhammapada-aṭṭhakathā лучшие бесплатные английские входы — полный исторический Buddhist Legends Burlingame 1921 года и современная редакция/перевод Dhamma Verses and Commentary на Ancient Buddhist Texts. В отличие от обычной Dhammapada, эти варианты дают повествовательную комментаторскую среду. HTML и PDF учтены в одной записи каждой версии; исторический слой и новые материалы ABT имеют различимый режим прав.</w:t>
      </w:r>
      <w:r>
        <w:t xml:space="preserve"> </w:t>
      </w:r>
      <w:hyperlink r:id="rId63">
        <w:r>
          <w:rPr>
            <w:color w:val="1B6D83"/>
            <w:rFonts w:ascii="DejaVu Sans" w:hAnsi="DejaVu Sans"/>
          </w:rPr>
          <w:t>[R052]</w:t>
        </w:r>
      </w:hyperlink>
      <w:r>
        <w:t xml:space="preserve"> </w:t>
      </w:r>
      <w:hyperlink r:id="rId64">
        <w:r>
          <w:rPr>
            <w:color w:val="1B6D83"/>
            <w:rFonts w:ascii="DejaVu Sans" w:hAnsi="DejaVu Sans"/>
          </w:rPr>
          <w:t>[R053]</w:t>
        </w:r>
      </w:hyperlink>
    </w:p>
    <w:p>
      <w:r>
        <w:t>Для остальных линий PTS сохраняет важные защищённые варианты: Masefield для Udāna, Itivuttaka, Vimānavatthu, Petavatthu и Cariyāpiṭaka; Pruitt для Therīgāthā; Horner для Buddhavaṃsa; Bodhi 2017 для Suttanipāta с комментариями. Они включены именно потому, что законный современный научный доступ важен даже без бесплатного PDF. Для Apadāna-комментария особо отмечена неполнота опубликованного материала.</w:t>
      </w:r>
      <w:r>
        <w:t xml:space="preserve"> </w:t>
      </w:r>
      <w:hyperlink r:id="rId65">
        <w:r>
          <w:rPr>
            <w:color w:val="1B6D83"/>
            <w:rFonts w:ascii="DejaVu Sans" w:hAnsi="DejaVu Sans"/>
          </w:rPr>
          <w:t>[R022]</w:t>
        </w:r>
      </w:hyperlink>
      <w:r>
        <w:t xml:space="preserve"> </w:t>
      </w:r>
      <w:hyperlink r:id="rId66">
        <w:r>
          <w:rPr>
            <w:color w:val="1B6D83"/>
            <w:rFonts w:ascii="DejaVu Sans" w:hAnsi="DejaVu Sans"/>
          </w:rPr>
          <w:t>[R101]</w:t>
        </w:r>
      </w:hyperlink>
      <w:r>
        <w:t xml:space="preserve"> </w:t>
      </w:r>
      <w:hyperlink r:id="rId67">
        <w:r>
          <w:rPr>
            <w:color w:val="1B6D83"/>
            <w:rFonts w:ascii="DejaVu Sans" w:hAnsi="DejaVu Sans"/>
          </w:rPr>
          <w:t>[R102]</w:t>
        </w:r>
      </w:hyperlink>
      <w:r>
        <w:t xml:space="preserve"> </w:t>
      </w:r>
      <w:hyperlink r:id="rId68">
        <w:r>
          <w:rPr>
            <w:color w:val="1B6D83"/>
            <w:rFonts w:ascii="DejaVu Sans" w:hAnsi="DejaVu Sans"/>
          </w:rPr>
          <w:t>[R103]</w:t>
        </w:r>
      </w:hyperlink>
      <w:r>
        <w:t xml:space="preserve"> </w:t>
      </w:r>
      <w:hyperlink r:id="rId69">
        <w:r>
          <w:rPr>
            <w:color w:val="1B6D83"/>
            <w:rFonts w:ascii="DejaVu Sans" w:hAnsi="DejaVu Sans"/>
          </w:rPr>
          <w:t>[R120]</w:t>
        </w:r>
      </w:hyperlink>
      <w:r>
        <w:t xml:space="preserve"> </w:t>
      </w:r>
      <w:hyperlink r:id="rId70">
        <w:r>
          <w:rPr>
            <w:color w:val="1B6D83"/>
            <w:rFonts w:ascii="DejaVu Sans" w:hAnsi="DejaVu Sans"/>
          </w:rPr>
          <w:t>[R121]</w:t>
        </w:r>
      </w:hyperlink>
      <w:r>
        <w:t xml:space="preserve"> </w:t>
      </w:r>
      <w:hyperlink r:id="rId71">
        <w:r>
          <w:rPr>
            <w:color w:val="1B6D83"/>
            <w:rFonts w:ascii="DejaVu Sans" w:hAnsi="DejaVu Sans"/>
          </w:rPr>
          <w:t>[R122]</w:t>
        </w:r>
      </w:hyperlink>
      <w:r>
        <w:t xml:space="preserve"> </w:t>
      </w:r>
      <w:hyperlink r:id="rId25">
        <w:r>
          <w:rPr>
            <w:color w:val="1B6D83"/>
            <w:rFonts w:ascii="DejaVu Sans" w:hAnsi="DejaVu Sans"/>
          </w:rPr>
          <w:t>[R124]</w:t>
        </w:r>
      </w:hyperlink>
      <w:r>
        <w:t xml:space="preserve"> </w:t>
      </w:r>
      <w:hyperlink r:id="rId26">
        <w:r>
          <w:rPr>
            <w:color w:val="1B6D83"/>
            <w:rFonts w:ascii="DejaVu Sans" w:hAnsi="DejaVu Sans"/>
          </w:rPr>
          <w:t>[R125]</w:t>
        </w:r>
      </w:hyperlink>
    </w:p>
    <w:p>
      <w:r>
        <w:t>Полный английский Khuddakapāṭha с Paramatthajotikā I, перевод Ñāṇamoli, интересен двойным статусом: доступный маршрут — покупка, но сам названный перевод имеет CC BY-NC 4.0. Это пример, где открытость прав выше, чем удобство бесплатного получения файла.</w:t>
      </w:r>
      <w:r>
        <w:t xml:space="preserve"> </w:t>
      </w:r>
      <w:hyperlink r:id="rId13">
        <w:r>
          <w:rPr>
            <w:color w:val="1B6D83"/>
            <w:rFonts w:ascii="DejaVu Sans" w:hAnsi="DejaVu Sans"/>
          </w:rPr>
          <w:t>[R061]</w:t>
        </w:r>
      </w:hyperlink>
    </w:p>
    <w:p>
      <w:pPr>
        <w:pStyle w:val="Heading2"/>
      </w:pPr>
      <w:r>
        <w:t>Abhidhamma и учебные компендиумы</w:t>
      </w:r>
    </w:p>
    <w:p>
      <w:r>
        <w:t>Atthasālinī имеет палийское издание, английский Expositor Pe Maung Tin и немецкий перевод Nyanaponika в издании 2005 года. Для Sammohavinodanī найден английский Dispeller of Delusion, лицензированный PTS под CC BY-NC 4.0. Каноническая Dhammasaṅgaṇī добавлена отдельно как непосредственный источник Atthasālinī; её английский Buddhist Manual of Psychological Ethics входит в другой список PTS, под CC BY-NC 3.0.</w:t>
      </w:r>
      <w:r>
        <w:t xml:space="preserve"> </w:t>
      </w:r>
      <w:hyperlink r:id="rId72">
        <w:r>
          <w:rPr>
            <w:color w:val="1B6D83"/>
            <w:rFonts w:ascii="DejaVu Sans" w:hAnsi="DejaVu Sans"/>
          </w:rPr>
          <w:t>[R007]</w:t>
        </w:r>
      </w:hyperlink>
      <w:r>
        <w:t xml:space="preserve"> </w:t>
      </w:r>
      <w:hyperlink r:id="rId73">
        <w:r>
          <w:rPr>
            <w:color w:val="1B6D83"/>
            <w:rFonts w:ascii="DejaVu Sans" w:hAnsi="DejaVu Sans"/>
          </w:rPr>
          <w:t>[R060]</w:t>
        </w:r>
      </w:hyperlink>
      <w:r>
        <w:t xml:space="preserve"> </w:t>
      </w:r>
      <w:hyperlink r:id="rId74">
        <w:r>
          <w:rPr>
            <w:color w:val="1B6D83"/>
            <w:rFonts w:ascii="DejaVu Sans" w:hAnsi="DejaVu Sans"/>
          </w:rPr>
          <w:t>[R099]</w:t>
        </w:r>
      </w:hyperlink>
      <w:r>
        <w:t xml:space="preserve"> </w:t>
      </w:r>
      <w:hyperlink r:id="rId75">
        <w:r>
          <w:rPr>
            <w:color w:val="1B6D83"/>
            <w:rFonts w:ascii="DejaVu Sans" w:hAnsi="DejaVu Sans"/>
          </w:rPr>
          <w:t>[R119]</w:t>
        </w:r>
      </w:hyperlink>
      <w:r>
        <w:t xml:space="preserve"> </w:t>
      </w:r>
      <w:hyperlink r:id="rId37">
        <w:r>
          <w:rPr>
            <w:color w:val="1B6D83"/>
            <w:rFonts w:ascii="DejaVu Sans" w:hAnsi="DejaVu Sans"/>
          </w:rPr>
          <w:t>[R130]</w:t>
        </w:r>
      </w:hyperlink>
      <w:r>
        <w:t xml:space="preserve"> </w:t>
      </w:r>
      <w:hyperlink r:id="rId76">
        <w:r>
          <w:rPr>
            <w:color w:val="1B6D83"/>
            <w:rFonts w:ascii="DejaVu Sans" w:hAnsi="DejaVu Sans"/>
          </w:rPr>
          <w:t>[R131]</w:t>
        </w:r>
      </w:hyperlink>
    </w:p>
    <w:p>
      <w:r>
        <w:t>Для Abhidhammatthasaṅgaha наиболее удобный современный учебный вариант — Comprehensive Manual of Abhidhamma, с пали, переводом и пояснениями. Pariyatti предлагает покупку и Free Download, однако бинарный PDF не был прочитан; лицензия на повторное размещение пока не установлена. Найдена также обычная лицензированная электронная выдача через National Library Board Singapore / OverDrive. Нужны право читателя и доступный экземпляр; регистрацию или выдачу от имени пользователя не выполняли.</w:t>
      </w:r>
      <w:r>
        <w:t xml:space="preserve"> </w:t>
      </w:r>
      <w:hyperlink r:id="rId77">
        <w:r>
          <w:rPr>
            <w:color w:val="1B6D83"/>
            <w:rFonts w:ascii="DejaVu Sans" w:hAnsi="DejaVu Sans"/>
          </w:rPr>
          <w:t>[R093]</w:t>
        </w:r>
      </w:hyperlink>
      <w:r>
        <w:t xml:space="preserve"> </w:t>
      </w:r>
      <w:hyperlink r:id="rId78">
        <w:r>
          <w:rPr>
            <w:color w:val="1B6D83"/>
            <w:rFonts w:ascii="DejaVu Sans" w:hAnsi="DejaVu Sans"/>
          </w:rPr>
          <w:t>[R094]</w:t>
        </w:r>
      </w:hyperlink>
    </w:p>
    <w:p>
      <w:r>
        <w:t>Совместное палийское издание saṅgaha/Vibhāvinī и английское Summary/Exposition сохранены даже при Out of stock: это каталожные входы, а не обещание немедленной покупки. Русское «Исчерпывающее руководство» имеет подтверждённую издательскую карточку и ознакомительный материал, но не подтверждённое разрешение на полный бесплатный PDF. Старый Aung, Compendium of Philosophy, дан отдельно.</w:t>
      </w:r>
      <w:r>
        <w:t xml:space="preserve"> </w:t>
      </w:r>
      <w:hyperlink r:id="rId28">
        <w:r>
          <w:rPr>
            <w:color w:val="1B6D83"/>
            <w:rFonts w:ascii="DejaVu Sans" w:hAnsi="DejaVu Sans"/>
          </w:rPr>
          <w:t>[R034]</w:t>
        </w:r>
      </w:hyperlink>
      <w:r>
        <w:t xml:space="preserve"> </w:t>
      </w:r>
      <w:hyperlink r:id="rId79">
        <w:r>
          <w:rPr>
            <w:color w:val="1B6D83"/>
            <w:rFonts w:ascii="DejaVu Sans" w:hAnsi="DejaVu Sans"/>
          </w:rPr>
          <w:t>[R035]</w:t>
        </w:r>
      </w:hyperlink>
      <w:r>
        <w:t xml:space="preserve"> </w:t>
      </w:r>
      <w:hyperlink r:id="rId80">
        <w:r>
          <w:rPr>
            <w:color w:val="1B6D83"/>
            <w:rFonts w:ascii="DejaVu Sans" w:hAnsi="DejaVu Sans"/>
          </w:rPr>
          <w:t>[R036]</w:t>
        </w:r>
      </w:hyperlink>
      <w:r>
        <w:t xml:space="preserve"> </w:t>
      </w:r>
      <w:hyperlink r:id="rId81">
        <w:r>
          <w:rPr>
            <w:color w:val="1B6D83"/>
            <w:rFonts w:ascii="DejaVu Sans" w:hAnsi="DejaVu Sans"/>
          </w:rPr>
          <w:t>[R108]</w:t>
        </w:r>
      </w:hyperlink>
    </w:p>
    <w:p>
      <w:r>
        <w:t>Для небольших пособий полезен архив JPTS: найдены официальные PDF с Nāmarūpapariccheda, Nāmarūpasamāsa, Paramatthavinicchaya, Saccasaṅkhepa и другими текстами. Публикация в свободно читаемом журнале не делает свободными все современные редакционные слои. Для Yamaka отдельно включён английский Book of Pairs, том III: примерно треть книги, а не весь трёхтомный перевод.</w:t>
      </w:r>
      <w:r>
        <w:t xml:space="preserve"> </w:t>
      </w:r>
      <w:hyperlink r:id="rId82">
        <w:r>
          <w:rPr>
            <w:color w:val="1B6D83"/>
            <w:rFonts w:ascii="DejaVu Sans" w:hAnsi="DejaVu Sans"/>
          </w:rPr>
          <w:t>[R043]</w:t>
        </w:r>
      </w:hyperlink>
      <w:r>
        <w:t xml:space="preserve"> </w:t>
      </w:r>
      <w:hyperlink r:id="rId83">
        <w:r>
          <w:rPr>
            <w:color w:val="1B6D83"/>
            <w:rFonts w:ascii="DejaVu Sans" w:hAnsi="DejaVu Sans"/>
          </w:rPr>
          <w:t>[R045]</w:t>
        </w:r>
      </w:hyperlink>
      <w:r>
        <w:t xml:space="preserve"> </w:t>
      </w:r>
      <w:hyperlink r:id="rId84">
        <w:r>
          <w:rPr>
            <w:color w:val="1B6D83"/>
            <w:rFonts w:ascii="DejaVu Sans" w:hAnsi="DejaVu Sans"/>
          </w:rPr>
          <w:t>[R046]</w:t>
        </w:r>
      </w:hyperlink>
      <w:r>
        <w:t xml:space="preserve"> </w:t>
      </w:r>
      <w:hyperlink r:id="rId85">
        <w:r>
          <w:rPr>
            <w:color w:val="1B6D83"/>
            <w:rFonts w:ascii="DejaVu Sans" w:hAnsi="DejaVu Sans"/>
          </w:rPr>
          <w:t>[R047]</w:t>
        </w:r>
      </w:hyperlink>
      <w:r>
        <w:t xml:space="preserve"> </w:t>
      </w:r>
      <w:hyperlink r:id="rId86">
        <w:r>
          <w:rPr>
            <w:color w:val="1B6D83"/>
            <w:rFonts w:ascii="DejaVu Sans" w:hAnsi="DejaVu Sans"/>
          </w:rPr>
          <w:t>[R048]</w:t>
        </w:r>
      </w:hyperlink>
      <w:r>
        <w:t xml:space="preserve"> </w:t>
      </w:r>
      <w:hyperlink r:id="rId87">
        <w:r>
          <w:rPr>
            <w:color w:val="1B6D83"/>
            <w:rFonts w:ascii="DejaVu Sans" w:hAnsi="DejaVu Sans"/>
          </w:rPr>
          <w:t>[R051]</w:t>
        </w:r>
      </w:hyperlink>
      <w:r>
        <w:t xml:space="preserve"> </w:t>
      </w:r>
      <w:hyperlink r:id="rId88">
        <w:r>
          <w:rPr>
            <w:color w:val="1B6D83"/>
            <w:rFonts w:ascii="DejaVu Sans" w:hAnsi="DejaVu Sans"/>
          </w:rPr>
          <w:t>[R123]</w:t>
        </w:r>
      </w:hyperlink>
    </w:p>
    <w:p>
      <w:pPr>
        <w:pStyle w:val="Heading2"/>
      </w:pPr>
      <w:r>
        <w:t>Хроники, языковые дисциплины и машиночитаемые данные</w:t>
      </w:r>
    </w:p>
    <w:p>
      <w:r>
        <w:t>Dīpavaṃsa особенно удобна в двуязычной редакции ABT на основе Oldenberg 1879 года. Для Mahāvaṃsa есть палийский PTS, электронная SLTP-редакция с поздними продолжениями и институциональный скан английского перевода 1912 года из University of California Libraries на Internet Archive. Последний помечен предполагаемым отсутствием copyright в США; это не универсальная лицензия. Cūlavaṃsa, Vaṃsatthappakāsinī и полный Extended Mahāvaṃsa имеют отдельные научные издательские входы.</w:t>
      </w:r>
      <w:r>
        <w:t xml:space="preserve"> </w:t>
      </w:r>
      <w:hyperlink r:id="rId32">
        <w:r>
          <w:rPr>
            <w:color w:val="1B6D83"/>
            <w:rFonts w:ascii="DejaVu Sans" w:hAnsi="DejaVu Sans"/>
          </w:rPr>
          <w:t>[R054]</w:t>
        </w:r>
      </w:hyperlink>
      <w:r>
        <w:t xml:space="preserve"> </w:t>
      </w:r>
      <w:hyperlink r:id="rId89">
        <w:r>
          <w:rPr>
            <w:color w:val="1B6D83"/>
            <w:rFonts w:ascii="DejaVu Sans" w:hAnsi="DejaVu Sans"/>
          </w:rPr>
          <w:t>[R068]</w:t>
        </w:r>
      </w:hyperlink>
      <w:r>
        <w:t xml:space="preserve"> </w:t>
      </w:r>
      <w:hyperlink r:id="rId38">
        <w:r>
          <w:rPr>
            <w:color w:val="1B6D83"/>
            <w:rFonts w:ascii="DejaVu Sans" w:hAnsi="DejaVu Sans"/>
          </w:rPr>
          <w:t>[R069]</w:t>
        </w:r>
      </w:hyperlink>
      <w:r>
        <w:t xml:space="preserve"> </w:t>
      </w:r>
      <w:hyperlink r:id="rId39">
        <w:r>
          <w:rPr>
            <w:color w:val="1B6D83"/>
            <w:rFonts w:ascii="DejaVu Sans" w:hAnsi="DejaVu Sans"/>
          </w:rPr>
          <w:t>[R070]</w:t>
        </w:r>
      </w:hyperlink>
      <w:r>
        <w:t xml:space="preserve"> </w:t>
      </w:r>
      <w:hyperlink r:id="rId40">
        <w:r>
          <w:rPr>
            <w:color w:val="1B6D83"/>
            <w:rFonts w:ascii="DejaVu Sans" w:hAnsi="DejaVu Sans"/>
          </w:rPr>
          <w:t>[R072]</w:t>
        </w:r>
      </w:hyperlink>
      <w:r>
        <w:t xml:space="preserve"> </w:t>
      </w:r>
      <w:hyperlink r:id="rId90">
        <w:r>
          <w:rPr>
            <w:color w:val="1B6D83"/>
            <w:rFonts w:ascii="DejaVu Sans" w:hAnsi="DejaVu Sans"/>
          </w:rPr>
          <w:t>[R110]</w:t>
        </w:r>
      </w:hyperlink>
      <w:r>
        <w:t xml:space="preserve"> </w:t>
      </w:r>
      <w:hyperlink r:id="rId91">
        <w:r>
          <w:rPr>
            <w:color w:val="1B6D83"/>
            <w:rFonts w:ascii="DejaVu Sans" w:hAnsi="DejaVu Sans"/>
          </w:rPr>
          <w:t>[R111]</w:t>
        </w:r>
      </w:hyperlink>
    </w:p>
    <w:p>
      <w:r>
        <w:t>Из более специальных хроник наиболее свободны цифровые Dāṭhāvaṃsa и Jinacarita на ABT. Для Nikāyasaṅgrahaya сопоставлены старый бесплатный английский перевод 1908 года и новое критическое издание/перевод Sven Bretfeld 2026 года. Последний важен как научный контроль, а не заменяется старым текстом только ради бесплатности.</w:t>
      </w:r>
      <w:r>
        <w:t xml:space="preserve"> </w:t>
      </w:r>
      <w:hyperlink r:id="rId92">
        <w:r>
          <w:rPr>
            <w:color w:val="1B6D83"/>
            <w:rFonts w:ascii="DejaVu Sans" w:hAnsi="DejaVu Sans"/>
          </w:rPr>
          <w:t>[R055]</w:t>
        </w:r>
      </w:hyperlink>
      <w:r>
        <w:t xml:space="preserve"> </w:t>
      </w:r>
      <w:hyperlink r:id="rId93">
        <w:r>
          <w:rPr>
            <w:color w:val="1B6D83"/>
            <w:rFonts w:ascii="DejaVu Sans" w:hAnsi="DejaVu Sans"/>
          </w:rPr>
          <w:t>[R057]</w:t>
        </w:r>
      </w:hyperlink>
      <w:r>
        <w:t xml:space="preserve"> </w:t>
      </w:r>
      <w:hyperlink r:id="rId94">
        <w:r>
          <w:rPr>
            <w:color w:val="1B6D83"/>
            <w:rFonts w:ascii="DejaVu Sans" w:hAnsi="DejaVu Sans"/>
          </w:rPr>
          <w:t>[R058]</w:t>
        </w:r>
      </w:hyperlink>
      <w:r>
        <w:t xml:space="preserve"> </w:t>
      </w:r>
      <w:hyperlink r:id="rId17">
        <w:r>
          <w:rPr>
            <w:color w:val="1B6D83"/>
            <w:rFonts w:ascii="DejaVu Sans" w:hAnsi="DejaVu Sans"/>
          </w:rPr>
          <w:t>[R127]</w:t>
        </w:r>
      </w:hyperlink>
    </w:p>
    <w:p>
      <w:r>
        <w:t>Для Moggallāna и его pañcikā, Mahārūpasiddhi, Padasādhana и Subodhālaṅkāra GRETIL даёт удобный оригинальный электронный текст, но источник лицензии соответствующих SLTP-транскрипций остаётся неоднозначным. Более чистый лицензированный путь в этой группе — Vuttodaya на ABT. Издание Subodhālaṅkāra Jaini 2000 года добавляет два субкомментария, которых нельзя считать автоматически включёнными в любой электронный основной текст.</w:t>
      </w:r>
      <w:r>
        <w:t xml:space="preserve"> </w:t>
      </w:r>
      <w:hyperlink r:id="rId95">
        <w:r>
          <w:rPr>
            <w:color w:val="1B6D83"/>
            <w:rFonts w:ascii="DejaVu Sans" w:hAnsi="DejaVu Sans"/>
          </w:rPr>
          <w:t>[R056]</w:t>
        </w:r>
      </w:hyperlink>
      <w:r>
        <w:t xml:space="preserve"> </w:t>
      </w:r>
      <w:hyperlink r:id="rId29">
        <w:r>
          <w:rPr>
            <w:color w:val="1B6D83"/>
            <w:rFonts w:ascii="DejaVu Sans" w:hAnsi="DejaVu Sans"/>
          </w:rPr>
          <w:t>[R077]</w:t>
        </w:r>
      </w:hyperlink>
      <w:r>
        <w:t xml:space="preserve"> </w:t>
      </w:r>
      <w:hyperlink r:id="rId96">
        <w:r>
          <w:rPr>
            <w:color w:val="1B6D83"/>
            <w:rFonts w:ascii="DejaVu Sans" w:hAnsi="DejaVu Sans"/>
          </w:rPr>
          <w:t>[R078]</w:t>
        </w:r>
      </w:hyperlink>
      <w:r>
        <w:t xml:space="preserve"> </w:t>
      </w:r>
      <w:hyperlink r:id="rId97">
        <w:r>
          <w:rPr>
            <w:color w:val="1B6D83"/>
            <w:rFonts w:ascii="DejaVu Sans" w:hAnsi="DejaVu Sans"/>
          </w:rPr>
          <w:t>[R079]</w:t>
        </w:r>
      </w:hyperlink>
      <w:r>
        <w:t xml:space="preserve"> </w:t>
      </w:r>
      <w:hyperlink r:id="rId98">
        <w:r>
          <w:rPr>
            <w:color w:val="1B6D83"/>
            <w:rFonts w:ascii="DejaVu Sans" w:hAnsi="DejaVu Sans"/>
          </w:rPr>
          <w:t>[R081]</w:t>
        </w:r>
      </w:hyperlink>
      <w:r>
        <w:t xml:space="preserve"> </w:t>
      </w:r>
      <w:hyperlink r:id="rId99">
        <w:r>
          <w:rPr>
            <w:color w:val="1B6D83"/>
            <w:rFonts w:ascii="DejaVu Sans" w:hAnsi="DejaVu Sans"/>
          </w:rPr>
          <w:t>[R082]</w:t>
        </w:r>
      </w:hyperlink>
      <w:r>
        <w:t xml:space="preserve"> </w:t>
      </w:r>
      <w:hyperlink r:id="rId30">
        <w:r>
          <w:rPr>
            <w:color w:val="1B6D83"/>
            <w:rFonts w:ascii="DejaVu Sans" w:hAnsi="DejaVu Sans"/>
          </w:rPr>
          <w:t>[R126]</w:t>
        </w:r>
      </w:hyperlink>
    </w:p>
    <w:p>
      <w:r>
        <w:t>Для последующей технической работы сохранены XML VRI, два конкретных CBETA XML — T1648 и T1462, — и один CC0 JSON английского перевода MN 9 из Bilara. Каждый набор ограничен своим составом и правами. Digital Pāli Reader полезен как сервис, но его программная лицензия не разрешает автоматически переиздавать вложенные чужие словари и тексты. Проверенный рукописный вход EAP пока предоставляет надёжную карточку, не проверенное свободное факсимиле.</w:t>
      </w:r>
      <w:r>
        <w:t xml:space="preserve"> </w:t>
      </w:r>
      <w:hyperlink r:id="rId100">
        <w:r>
          <w:rPr>
            <w:color w:val="1B6D83"/>
            <w:rFonts w:ascii="DejaVu Sans" w:hAnsi="DejaVu Sans"/>
          </w:rPr>
          <w:t>[R032]</w:t>
        </w:r>
      </w:hyperlink>
      <w:r>
        <w:t xml:space="preserve"> </w:t>
      </w:r>
      <w:hyperlink r:id="rId101">
        <w:r>
          <w:rPr>
            <w:color w:val="1B6D83"/>
            <w:rFonts w:ascii="DejaVu Sans" w:hAnsi="DejaVu Sans"/>
          </w:rPr>
          <w:t>[R089]</w:t>
        </w:r>
      </w:hyperlink>
      <w:r>
        <w:t xml:space="preserve"> </w:t>
      </w:r>
      <w:hyperlink r:id="rId54">
        <w:r>
          <w:rPr>
            <w:color w:val="1B6D83"/>
            <w:rFonts w:ascii="DejaVu Sans" w:hAnsi="DejaVu Sans"/>
          </w:rPr>
          <w:t>[R090]</w:t>
        </w:r>
      </w:hyperlink>
      <w:r>
        <w:t xml:space="preserve"> </w:t>
      </w:r>
      <w:hyperlink r:id="rId102">
        <w:r>
          <w:rPr>
            <w:color w:val="1B6D83"/>
            <w:rFonts w:ascii="DejaVu Sans" w:hAnsi="DejaVu Sans"/>
          </w:rPr>
          <w:t>[R091]</w:t>
        </w:r>
      </w:hyperlink>
      <w:r>
        <w:t xml:space="preserve"> </w:t>
      </w:r>
      <w:hyperlink r:id="rId16">
        <w:r>
          <w:rPr>
            <w:color w:val="1B6D83"/>
            <w:rFonts w:ascii="DejaVu Sans" w:hAnsi="DejaVu Sans"/>
          </w:rPr>
          <w:t>[R092]</w:t>
        </w:r>
      </w:hyperlink>
      <w:r>
        <w:t xml:space="preserve"> </w:t>
      </w:r>
      <w:hyperlink r:id="rId36">
        <w:r>
          <w:rPr>
            <w:color w:val="1B6D83"/>
            <w:rFonts w:ascii="DejaVu Sans" w:hAnsi="DejaVu Sans"/>
          </w:rPr>
          <w:t>[R113]</w:t>
        </w:r>
      </w:hyperlink>
    </w:p>
    <w:p>
      <w:pPr>
        <w:pStyle w:val="Heading1"/>
      </w:pPr>
      <w:r>
        <w:t>4. Карта прав и практического использования</w:t>
      </w:r>
    </w:p>
    <w:p>
      <w:r>
        <w:t>Для ToS предлагается не единый список «свободных книг», а три рабочих слоя: публикация библиографических карточек и внешних ссылок; локальное исследование доступных копий; отдельно — повторное распространение и производные данные там, где есть проверенное основание. Теги действуют только в сочетании с rights_scope, coverage и verification_status. Пометка RIGHTS_REVIEW_REQUIRED блокирует автоматическое расширение разрешения на другие компоненты или действия.</w:t>
      </w:r>
    </w:p>
    <w:p>
      <w:pPr>
        <w:pStyle w:val="Heading2"/>
      </w:pPr>
      <w:r>
        <w:t>Лицензированные оригиналы и данные</w:t>
      </w:r>
    </w:p>
    <w:p>
      <w:r>
        <w:t>GRETIL-версии Visuddhimagga и семи томов Samantapāsādikā содержат явную CC BY-SA 4.0. В реестре разрешёнными в пределах этой электронной транскрипции отмечены атрибутированное зеркало, полнотекстовый индекс, embeddings и собственный перевод. Следует сохранять указание редакции, лицензию и изменения, а для распространяемой адаптации выполнять ShareAlike. Это не лицензия на любой GRETIL-текст, фотографию рукописи или английский перевод.</w:t>
      </w:r>
      <w:r>
        <w:t xml:space="preserve"> </w:t>
      </w:r>
      <w:hyperlink r:id="rId11">
        <w:r>
          <w:rPr>
            <w:color w:val="1B6D83"/>
            <w:rFonts w:ascii="DejaVu Sans" w:hAnsi="DejaVu Sans"/>
          </w:rPr>
          <w:t>[R001]</w:t>
        </w:r>
      </w:hyperlink>
      <w:r>
        <w:t xml:space="preserve"> </w:t>
      </w:r>
      <w:hyperlink r:id="rId12">
        <w:r>
          <w:rPr>
            <w:color w:val="1B6D83"/>
            <w:rFonts w:ascii="DejaVu Sans" w:hAnsi="DejaVu Sans"/>
          </w:rPr>
          <w:t>[R027]</w:t>
        </w:r>
      </w:hyperlink>
    </w:p>
    <w:p>
      <w:r>
        <w:t>На Ancient Buddhist Texts новые авторские материалы охватываются CC BY-SA 3.0 Unported, с перечисленными исключениями. Особенно полезны палийские слои Dīpavaṃsa, Jinacarita, Vuttodaya и Dāṭhāvaṃsa. Для этих записей установлена основа собственного перевода ToS; на английские-only версии этот тег не переносится. Исторические public-domain слои и современные добавления описаны раздельно, без требования новой лицензии к уже свободному старому слою.</w:t>
      </w:r>
      <w:r>
        <w:t xml:space="preserve"> </w:t>
      </w:r>
      <w:hyperlink r:id="rId103">
        <w:r>
          <w:rPr>
            <w:color w:val="1B6D83"/>
            <w:rFonts w:ascii="DejaVu Sans" w:hAnsi="DejaVu Sans"/>
          </w:rPr>
          <w:t>[R054]</w:t>
        </w:r>
      </w:hyperlink>
      <w:r>
        <w:t xml:space="preserve"> </w:t>
      </w:r>
      <w:hyperlink r:id="rId103">
        <w:r>
          <w:rPr>
            <w:color w:val="1B6D83"/>
            <w:rFonts w:ascii="DejaVu Sans" w:hAnsi="DejaVu Sans"/>
          </w:rPr>
          <w:t>[R055]</w:t>
        </w:r>
      </w:hyperlink>
      <w:r>
        <w:t xml:space="preserve"> </w:t>
      </w:r>
      <w:hyperlink r:id="rId103">
        <w:r>
          <w:rPr>
            <w:color w:val="1B6D83"/>
            <w:rFonts w:ascii="DejaVu Sans" w:hAnsi="DejaVu Sans"/>
          </w:rPr>
          <w:t>[R056]</w:t>
        </w:r>
      </w:hyperlink>
      <w:r>
        <w:t xml:space="preserve"> </w:t>
      </w:r>
      <w:hyperlink r:id="rId103">
        <w:r>
          <w:rPr>
            <w:color w:val="1B6D83"/>
            <w:rFonts w:ascii="DejaVu Sans" w:hAnsi="DejaVu Sans"/>
          </w:rPr>
          <w:t>[R057]</w:t>
        </w:r>
      </w:hyperlink>
    </w:p>
    <w:p>
      <w:r>
        <w:t>В CBETA подтверждён режим CC BY-NC-SA 4.0 для используемых текстовых XML Taishō T1648 и T1462. Допустимые в реестре операции ограничены некоммерческим текстовым слоем с атрибуцией, сохранением уведомлений и версии. Изображения Taishō не включены в это разрешение. Из-за дополнительных формул сайта о сохранении смысла новая адаптация оставлена на ручную проверку; безусловный OWN_TRANSLATION_POSSIBLE для этих записей не поставлен.</w:t>
      </w:r>
      <w:r>
        <w:t xml:space="preserve"> </w:t>
      </w:r>
      <w:hyperlink r:id="rId104">
        <w:r>
          <w:rPr>
            <w:color w:val="1B6D83"/>
            <w:rFonts w:ascii="DejaVu Sans" w:hAnsi="DejaVu Sans"/>
          </w:rPr>
          <w:t>[R090]</w:t>
        </w:r>
      </w:hyperlink>
      <w:r>
        <w:t xml:space="preserve"> </w:t>
      </w:r>
      <w:hyperlink r:id="rId104">
        <w:r>
          <w:rPr>
            <w:color w:val="1B6D83"/>
            <w:rFonts w:ascii="DejaVu Sans" w:hAnsi="DejaVu Sans"/>
          </w:rPr>
          <w:t>[R091]</w:t>
        </w:r>
      </w:hyperlink>
    </w:p>
    <w:p>
      <w:r>
        <w:t>VRI разрешает некоммерческое включение своих XML в проекты с атрибуцией; это собственные условия, не Creative Commons. Положительные теги ограничены фактически входящим в выбранный набор XML. Отдельные образцы не декодировались веб-инструментом, поэтому полнота отдельных произведений не заявлена. Embeddings здесь — применение общего разрешения на данные, а не дословное специальное разрешение на ИИ; коммерциализация и публикация новых переводов требуют проверки.</w:t>
      </w:r>
      <w:r>
        <w:t xml:space="preserve"> </w:t>
      </w:r>
      <w:hyperlink r:id="rId105">
        <w:r>
          <w:rPr>
            <w:color w:val="1B6D83"/>
            <w:rFonts w:ascii="DejaVu Sans" w:hAnsi="DejaVu Sans"/>
          </w:rPr>
          <w:t>[R089]</w:t>
        </w:r>
      </w:hyperlink>
    </w:p>
    <w:p>
      <w:r>
        <w:t>CC0 в проверенной лицензии Bilara относится к переводам. Реестр подтверждает конкретно английский JSON MN 9; лицензию не перенесли автоматически на все палийские root/variant-файлы. Это свободный цифровой вход к каноническому источнику, но не лицензия на Papañcasūdanī и не основание утверждать наличие целиком свободного комментаторского корпуса.</w:t>
      </w:r>
      <w:r>
        <w:t xml:space="preserve"> </w:t>
      </w:r>
      <w:hyperlink r:id="rId106">
        <w:r>
          <w:rPr>
            <w:color w:val="1B6D83"/>
            <w:rFonts w:ascii="DejaVu Sans" w:hAnsi="DejaVu Sans"/>
          </w:rPr>
          <w:t>[R113]</w:t>
        </w:r>
      </w:hyperlink>
    </w:p>
    <w:p>
      <w:pPr>
        <w:pStyle w:val="Heading2"/>
      </w:pPr>
      <w:r>
        <w:t>Некоммерческие переводы, чтение и неизменные копии</w:t>
      </w:r>
    </w:p>
    <w:p>
      <w:r>
        <w:t>PTS прямо перечисляет пять переводов Ñāṇamoli под CC BY-NC 4.0: Dispeller of Delusion; The Guide; The Minor Readings and The Illustrator of the Ultimate Meaning; The Path of Discrimination; Piṭaka Disclosure. Они сохранены как практически пригодные NC-материалы, хотя проверенный способ получения здесь — покупка. После законного получения допускаются некоммерческие OCR, индексирование и распространение лицензированного текста с атрибуцией. Постороннее введение или иллюстрации нового тиража не включаются без проверки.</w:t>
      </w:r>
      <w:r>
        <w:t xml:space="preserve"> </w:t>
      </w:r>
      <w:hyperlink r:id="rId13">
        <w:r>
          <w:rPr>
            <w:color w:val="1B6D83"/>
            <w:rFonts w:ascii="DejaVu Sans" w:hAnsi="DejaVu Sans"/>
          </w:rPr>
          <w:t>[R060]</w:t>
        </w:r>
      </w:hyperlink>
      <w:r>
        <w:t xml:space="preserve"> </w:t>
      </w:r>
      <w:hyperlink r:id="rId13">
        <w:r>
          <w:rPr>
            <w:color w:val="1B6D83"/>
            <w:rFonts w:ascii="DejaVu Sans" w:hAnsi="DejaVu Sans"/>
          </w:rPr>
          <w:t>[R061]</w:t>
        </w:r>
      </w:hyperlink>
      <w:r>
        <w:t xml:space="preserve"> </w:t>
      </w:r>
      <w:hyperlink r:id="rId13">
        <w:r>
          <w:rPr>
            <w:color w:val="1B6D83"/>
            <w:rFonts w:ascii="DejaVu Sans" w:hAnsi="DejaVu Sans"/>
          </w:rPr>
          <w:t>[R062]</w:t>
        </w:r>
      </w:hyperlink>
      <w:r>
        <w:t xml:space="preserve"> </w:t>
      </w:r>
      <w:hyperlink r:id="rId13">
        <w:r>
          <w:rPr>
            <w:color w:val="1B6D83"/>
            <w:rFonts w:ascii="DejaVu Sans" w:hAnsi="DejaVu Sans"/>
          </w:rPr>
          <w:t>[R063]</w:t>
        </w:r>
      </w:hyperlink>
      <w:r>
        <w:t xml:space="preserve"> </w:t>
      </w:r>
      <w:hyperlink r:id="rId13">
        <w:r>
          <w:rPr>
            <w:color w:val="1B6D83"/>
            <w:rFonts w:ascii="DejaVu Sans" w:hAnsi="DejaVu Sans"/>
          </w:rPr>
          <w:t>[R064]</w:t>
        </w:r>
      </w:hyperlink>
    </w:p>
    <w:p>
      <w:r>
        <w:t>Отдельное объявление PTS 2013 года даёт CC BY-NC 3.0 английскому Buddhist Manual of Psychological Ethics. Ни эта лицензия, ни список 2021 года не распространяются автоматически на Visuddhimagga, The Expositor, переводы Masefield или все выпуски JPTS. Открытое разрешение на названный перевод — положительное основание; сходство издателя, автора либо названия таким основанием не является.</w:t>
      </w:r>
      <w:r>
        <w:t xml:space="preserve"> </w:t>
      </w:r>
      <w:hyperlink r:id="rId13">
        <w:r>
          <w:rPr>
            <w:color w:val="1B6D83"/>
            <w:rFonts w:ascii="DejaVu Sans" w:hAnsi="DejaVu Sans"/>
          </w:rPr>
          <w:t>[R131]</w:t>
        </w:r>
      </w:hyperlink>
    </w:p>
    <w:p>
      <w:r>
        <w:t>Для английской публикации MN 9 с выбранным комментарием действует собственное разрешение BPS: бесплатное распространение, не более 50 печатных экземпляров, сохранение полного уведомления; производные материалы должны обозначать своё происхождение. Оно не является CC или запретом производных ND. Но в данной записи нет чистого палийского исходника: новый перевод через этот английский текст нельзя автоматически представить как перевод с пали.</w:t>
      </w:r>
      <w:r>
        <w:t xml:space="preserve"> </w:t>
      </w:r>
      <w:hyperlink r:id="rId62">
        <w:r>
          <w:rPr>
            <w:color w:val="1B6D83"/>
            <w:rFonts w:ascii="DejaVu Sans" w:hAnsi="DejaVu Sans"/>
          </w:rPr>
          <w:t>[R109]</w:t>
        </w:r>
      </w:hyperlink>
    </w:p>
    <w:p>
      <w:r>
        <w:t>Явный режим «только неизменённым» установлен для справочной таблицы Ñāṇatusita: разрешена копия полного PDF вместе с информационным листом. Поэтому здесь сочетаются MIRROR_OK и UNCHANGED_ONLY, но отсутствует отдельное разрешение на публикацию отредактированного OCR или производного индекса. Для SHB-сканов видимая NC-ND-пометка загрузчика не принята за доказанную лицензию всех компонентов; эти пакеты остаются для чтения и дальнейшей проверки.</w:t>
      </w:r>
      <w:r>
        <w:t xml:space="preserve"> </w:t>
      </w:r>
      <w:hyperlink r:id="rId107">
        <w:r>
          <w:rPr>
            <w:color w:val="1B6D83"/>
            <w:rFonts w:ascii="DejaVu Sans" w:hAnsi="DejaVu Sans"/>
          </w:rPr>
          <w:t>[R029]</w:t>
        </w:r>
      </w:hyperlink>
      <w:r>
        <w:t xml:space="preserve"> </w:t>
      </w:r>
      <w:hyperlink r:id="rId108">
        <w:r>
          <w:rPr>
            <w:color w:val="1B6D83"/>
            <w:rFonts w:ascii="DejaVu Sans" w:hAnsi="DejaVu Sans"/>
          </w:rPr>
          <w:t>[R030]</w:t>
        </w:r>
      </w:hyperlink>
      <w:r>
        <w:t xml:space="preserve"> </w:t>
      </w:r>
      <w:hyperlink r:id="rId109">
        <w:r>
          <w:rPr>
            <w:color w:val="1B6D83"/>
            <w:rFonts w:ascii="DejaVu Sans" w:hAnsi="DejaVu Sans"/>
          </w:rPr>
          <w:t>[R031]</w:t>
        </w:r>
      </w:hyperlink>
      <w:r>
        <w:t xml:space="preserve"> </w:t>
      </w:r>
      <w:hyperlink r:id="rId47">
        <w:r>
          <w:rPr>
            <w:color w:val="1B6D83"/>
            <w:rFonts w:ascii="DejaVu Sans" w:hAnsi="DejaVu Sans"/>
          </w:rPr>
          <w:t>[R114]</w:t>
        </w:r>
      </w:hyperlink>
    </w:p>
    <w:p>
      <w:r>
        <w:t>Современные HKU PDF, значительная часть PTS, русские издания и другие защищённые версии остаются в слоях FREE_READ/FREE_DOWNLOAD, PREVIEW, PURCHASE либо LINK_ONLY — по реально подтверждённому доступу. Наличие скачивания не даёт автоматически права размещать копию на ToS. В библиотечной записи разрешён путь заимствования по правилам учреждения, но не обход читательских ограничений и не последующая публикация файла.</w:t>
      </w:r>
      <w:r>
        <w:t xml:space="preserve"> </w:t>
      </w:r>
      <w:hyperlink r:id="rId61">
        <w:r>
          <w:rPr>
            <w:color w:val="1B6D83"/>
            <w:rFonts w:ascii="DejaVu Sans" w:hAnsi="DejaVu Sans"/>
          </w:rPr>
          <w:t>[R028]</w:t>
        </w:r>
      </w:hyperlink>
      <w:r>
        <w:t xml:space="preserve"> </w:t>
      </w:r>
      <w:hyperlink r:id="rId15">
        <w:r>
          <w:rPr>
            <w:color w:val="1B6D83"/>
            <w:rFonts w:ascii="DejaVu Sans" w:hAnsi="DejaVu Sans"/>
          </w:rPr>
          <w:t>[R039]</w:t>
        </w:r>
      </w:hyperlink>
      <w:r>
        <w:t xml:space="preserve"> </w:t>
      </w:r>
      <w:hyperlink r:id="rId78">
        <w:r>
          <w:rPr>
            <w:color w:val="1B6D83"/>
            <w:rFonts w:ascii="DejaVu Sans" w:hAnsi="DejaVu Sans"/>
          </w:rPr>
          <w:t>[R094]</w:t>
        </w:r>
      </w:hyperlink>
      <w:r>
        <w:t xml:space="preserve"> </w:t>
      </w:r>
      <w:hyperlink r:id="rId52">
        <w:r>
          <w:rPr>
            <w:color w:val="1B6D83"/>
            <w:rFonts w:ascii="DejaVu Sans" w:hAnsi="DejaVu Sans"/>
          </w:rPr>
          <w:t>[R095]</w:t>
        </w:r>
      </w:hyperlink>
    </w:p>
    <w:p>
      <w:pPr>
        <w:pStyle w:val="Heading2"/>
      </w:pPr>
      <w:r>
        <w:t>Где возможно собственное переводческое ядро ToS</w:t>
      </w:r>
    </w:p>
    <w:p>
      <w:r>
        <w:t>Практическое начало — палийские Visuddhimagga и Samantapāsādikā из указанных GRETIL-редакций, а также конкретные ABT-оригиналы хроник и метрического пособия. Перевод следует связывать с использованной редакцией, не выдавая её за автограф или за окончательную реконструкцию. Современные английские, немецкие и русские переводы полезны для сопоставления, но их фразы и аппарат нельзя переносить под видом независимо переведённого древнего текста.</w:t>
      </w:r>
      <w:r>
        <w:t xml:space="preserve"> </w:t>
      </w:r>
      <w:hyperlink r:id="rId11">
        <w:r>
          <w:rPr>
            <w:color w:val="1B6D83"/>
            <w:rFonts w:ascii="DejaVu Sans" w:hAnsi="DejaVu Sans"/>
          </w:rPr>
          <w:t>[R001]</w:t>
        </w:r>
      </w:hyperlink>
      <w:r>
        <w:t xml:space="preserve"> </w:t>
      </w:r>
      <w:hyperlink r:id="rId12">
        <w:r>
          <w:rPr>
            <w:color w:val="1B6D83"/>
            <w:rFonts w:ascii="DejaVu Sans" w:hAnsi="DejaVu Sans"/>
          </w:rPr>
          <w:t>[R027]</w:t>
        </w:r>
      </w:hyperlink>
      <w:r>
        <w:t xml:space="preserve"> </w:t>
      </w:r>
      <w:hyperlink r:id="rId32">
        <w:r>
          <w:rPr>
            <w:color w:val="1B6D83"/>
            <w:rFonts w:ascii="DejaVu Sans" w:hAnsi="DejaVu Sans"/>
          </w:rPr>
          <w:t>[R054]</w:t>
        </w:r>
      </w:hyperlink>
      <w:r>
        <w:t xml:space="preserve"> </w:t>
      </w:r>
      <w:hyperlink r:id="rId92">
        <w:r>
          <w:rPr>
            <w:color w:val="1B6D83"/>
            <w:rFonts w:ascii="DejaVu Sans" w:hAnsi="DejaVu Sans"/>
          </w:rPr>
          <w:t>[R055]</w:t>
        </w:r>
      </w:hyperlink>
      <w:r>
        <w:t xml:space="preserve"> </w:t>
      </w:r>
      <w:hyperlink r:id="rId95">
        <w:r>
          <w:rPr>
            <w:color w:val="1B6D83"/>
            <w:rFonts w:ascii="DejaVu Sans" w:hAnsi="DejaVu Sans"/>
          </w:rPr>
          <w:t>[R056]</w:t>
        </w:r>
      </w:hyperlink>
      <w:r>
        <w:t xml:space="preserve"> </w:t>
      </w:r>
      <w:hyperlink r:id="rId93">
        <w:r>
          <w:rPr>
            <w:color w:val="1B6D83"/>
            <w:rFonts w:ascii="DejaVu Sans" w:hAnsi="DejaVu Sans"/>
          </w:rPr>
          <w:t>[R057]</w:t>
        </w:r>
      </w:hyperlink>
    </w:p>
    <w:p>
      <w:r>
        <w:t>Для будущего интерфейса ToS наиболее безопасно показывать карточку, ссылку на оригинальный репозиторий, язык, объём и точную лицензию; кнопку собственного скачивания включать только для доказанно разрешённого компонента. При публикации индекса отдельно решать, показывает ли он лишь результаты поиска или воспроизводимые большие фрагменты текста. При embeddings отдельно контролировать источник, некоммерческое условие и возможное восстановление текста: это исследовательские условия использования, не универсальная юридическая гарантия.</w:t>
      </w:r>
    </w:p>
    <w:p>
      <w:pPr>
        <w:pStyle w:val="Heading1"/>
      </w:pPr>
      <w:r>
        <w:t>5. Характерные правовые и источниковедческие тонкости</w:t>
      </w:r>
    </w:p>
    <w:p>
      <w:pPr>
        <w:pStyle w:val="Heading2"/>
      </w:pPr>
      <w:r>
        <w:t>Версия, пакет и физический свидетель — разные объекты</w:t>
      </w:r>
    </w:p>
    <w:p>
      <w:r>
        <w:t>Полный текст одного издания не равен полному корпусу. Samantapāsādikā I–VII не включает VIII том индексов; издание Apadāna-комментария не охватывает весь Apadāna; HKU Papañcasūdanī не переводит все Majjhima-комментарии; Book of Pairs III — лишь часть Yamaka. Так же один поздний fascicle ṭīkā не доказывает доступность полного субкомментария. Эти ограничения сохранены даже там, где карточка или файл открываются без оплаты.</w:t>
      </w:r>
      <w:r>
        <w:t xml:space="preserve"> </w:t>
      </w:r>
      <w:hyperlink r:id="rId20">
        <w:r>
          <w:rPr>
            <w:color w:val="1B6D83"/>
            <w:rFonts w:ascii="DejaVu Sans" w:hAnsi="DejaVu Sans"/>
          </w:rPr>
          <w:t>[R021]</w:t>
        </w:r>
      </w:hyperlink>
      <w:r>
        <w:t xml:space="preserve"> </w:t>
      </w:r>
      <w:hyperlink r:id="rId65">
        <w:r>
          <w:rPr>
            <w:color w:val="1B6D83"/>
            <w:rFonts w:ascii="DejaVu Sans" w:hAnsi="DejaVu Sans"/>
          </w:rPr>
          <w:t>[R022]</w:t>
        </w:r>
      </w:hyperlink>
      <w:r>
        <w:t xml:space="preserve"> </w:t>
      </w:r>
      <w:hyperlink r:id="rId12">
        <w:r>
          <w:rPr>
            <w:color w:val="1B6D83"/>
            <w:rFonts w:ascii="DejaVu Sans" w:hAnsi="DejaVu Sans"/>
          </w:rPr>
          <w:t>[R027]</w:t>
        </w:r>
      </w:hyperlink>
      <w:r>
        <w:t xml:space="preserve"> </w:t>
      </w:r>
      <w:hyperlink r:id="rId61">
        <w:r>
          <w:rPr>
            <w:color w:val="1B6D83"/>
            <w:rFonts w:ascii="DejaVu Sans" w:hAnsi="DejaVu Sans"/>
          </w:rPr>
          <w:t>[R028]</w:t>
        </w:r>
      </w:hyperlink>
      <w:r>
        <w:t xml:space="preserve"> </w:t>
      </w:r>
      <w:hyperlink r:id="rId16">
        <w:r>
          <w:rPr>
            <w:color w:val="1B6D83"/>
            <w:rFonts w:ascii="DejaVu Sans" w:hAnsi="DejaVu Sans"/>
          </w:rPr>
          <w:t>[R092]</w:t>
        </w:r>
      </w:hyperlink>
      <w:r>
        <w:t xml:space="preserve"> </w:t>
      </w:r>
      <w:hyperlink r:id="rId88">
        <w:r>
          <w:rPr>
            <w:color w:val="1B6D83"/>
            <w:rFonts w:ascii="DejaVu Sans" w:hAnsi="DejaVu Sans"/>
          </w:rPr>
          <w:t>[R123]</w:t>
        </w:r>
      </w:hyperlink>
    </w:p>
    <w:p>
      <w:r>
        <w:t>SHB представлен тремя пакетами по разделам комментариев, а VRI — одним XML-репозиторием. Отдельные главы, листы и файлы не превращены в независимые находки ради количества. В то же время палийское издание, английский перевод и конкретная рукопись разведены, поскольку они имеют разные способы доступа, редакции и права.</w:t>
      </w:r>
      <w:r>
        <w:t xml:space="preserve"> </w:t>
      </w:r>
      <w:hyperlink r:id="rId107">
        <w:r>
          <w:rPr>
            <w:color w:val="1B6D83"/>
            <w:rFonts w:ascii="DejaVu Sans" w:hAnsi="DejaVu Sans"/>
          </w:rPr>
          <w:t>[R029]</w:t>
        </w:r>
      </w:hyperlink>
      <w:r>
        <w:t xml:space="preserve"> </w:t>
      </w:r>
      <w:hyperlink r:id="rId108">
        <w:r>
          <w:rPr>
            <w:color w:val="1B6D83"/>
            <w:rFonts w:ascii="DejaVu Sans" w:hAnsi="DejaVu Sans"/>
          </w:rPr>
          <w:t>[R030]</w:t>
        </w:r>
      </w:hyperlink>
      <w:r>
        <w:t xml:space="preserve"> </w:t>
      </w:r>
      <w:hyperlink r:id="rId109">
        <w:r>
          <w:rPr>
            <w:color w:val="1B6D83"/>
            <w:rFonts w:ascii="DejaVu Sans" w:hAnsi="DejaVu Sans"/>
          </w:rPr>
          <w:t>[R031]</w:t>
        </w:r>
      </w:hyperlink>
      <w:r>
        <w:t xml:space="preserve"> </w:t>
      </w:r>
      <w:hyperlink r:id="rId101">
        <w:r>
          <w:rPr>
            <w:color w:val="1B6D83"/>
            <w:rFonts w:ascii="DejaVu Sans" w:hAnsi="DejaVu Sans"/>
          </w:rPr>
          <w:t>[R089]</w:t>
        </w:r>
      </w:hyperlink>
      <w:r>
        <w:t xml:space="preserve"> </w:t>
      </w:r>
      <w:hyperlink r:id="rId16">
        <w:r>
          <w:rPr>
            <w:color w:val="1B6D83"/>
            <w:rFonts w:ascii="DejaVu Sans" w:hAnsi="DejaVu Sans"/>
          </w:rPr>
          <w:t>[R092]</w:t>
        </w:r>
      </w:hyperlink>
    </w:p>
    <w:p>
      <w:r>
        <w:t>Дата рукописи 1768 года в EAP относится к экземпляру, а не к возникновению Dīgha-комментария. Свободная лицензия текста каталога даёт основание повторно использовать метаданные с атрибуцией, но не фотографии. Пока читатель изображений не проверен, этот объект не заявлен как свободное факсимиле или готовая основа OCR.</w:t>
      </w:r>
      <w:r>
        <w:t xml:space="preserve"> </w:t>
      </w:r>
      <w:hyperlink r:id="rId16">
        <w:r>
          <w:rPr>
            <w:color w:val="1B6D83"/>
            <w:rFonts w:ascii="DejaVu Sans" w:hAnsi="DejaVu Sans"/>
          </w:rPr>
          <w:t>[R092]</w:t>
        </w:r>
      </w:hyperlink>
    </w:p>
    <w:p>
      <w:pPr>
        <w:pStyle w:val="Heading2"/>
      </w:pPr>
      <w:r>
        <w:t>Открытая лицензия может соседствовать с ограниченным слоем</w:t>
      </w:r>
    </w:p>
    <w:p>
      <w:r>
        <w:t>Общая страница ABT прямо исключает ряд материалов PTS, использованных по индивидуальному разрешению. Поэтому в Asoka and the Missions собственный английский перевод и примечания Ānandajoti могут иметь открытый режим, а палийские фрагменты Extended Mahāvaṃsa — нет автоматически. Аналогично лицензия DPR на собственные компоненты разработчиков не покрывает весь прикреплённый текстовый мир.</w:t>
      </w:r>
      <w:r>
        <w:t xml:space="preserve"> </w:t>
      </w:r>
      <w:hyperlink r:id="rId110">
        <w:r>
          <w:rPr>
            <w:color w:val="1B6D83"/>
            <w:rFonts w:ascii="DejaVu Sans" w:hAnsi="DejaVu Sans"/>
          </w:rPr>
          <w:t>[R032]</w:t>
        </w:r>
      </w:hyperlink>
      <w:r>
        <w:t xml:space="preserve"> </w:t>
      </w:r>
      <w:hyperlink r:id="rId103">
        <w:r>
          <w:rPr>
            <w:color w:val="1B6D83"/>
            <w:rFonts w:ascii="DejaVu Sans" w:hAnsi="DejaVu Sans"/>
          </w:rPr>
          <w:t>[R059]</w:t>
        </w:r>
      </w:hyperlink>
    </w:p>
    <w:p>
      <w:r>
        <w:t>С SLTP сохранилась неоднозначная история «GNU / public domain»: формулировка об изначально неясной лицензии не превращена в точную GFDL или CC-лицензию. У GRETIL проверялись заголовки конкретных файлов. В лицензированных экземплярах остаётся также старый boilerplate о scholarly purposes; он отмечен, чтобы перед коммерческим использованием не игнорировать противоречивые формулы. Нынешний образовательный контекст ToS не освобождает от условий остальных источников.</w:t>
      </w:r>
      <w:r>
        <w:t xml:space="preserve"> </w:t>
      </w:r>
      <w:hyperlink r:id="rId11">
        <w:r>
          <w:rPr>
            <w:color w:val="1B6D83"/>
            <w:rFonts w:ascii="DejaVu Sans" w:hAnsi="DejaVu Sans"/>
          </w:rPr>
          <w:t>[R001]</w:t>
        </w:r>
      </w:hyperlink>
      <w:r>
        <w:t xml:space="preserve"> </w:t>
      </w:r>
      <w:hyperlink r:id="rId29">
        <w:r>
          <w:rPr>
            <w:color w:val="1B6D83"/>
            <w:rFonts w:ascii="DejaVu Sans" w:hAnsi="DejaVu Sans"/>
          </w:rPr>
          <w:t>[R077]</w:t>
        </w:r>
      </w:hyperlink>
      <w:r>
        <w:t xml:space="preserve"> </w:t>
      </w:r>
      <w:hyperlink r:id="rId111">
        <w:r>
          <w:rPr>
            <w:color w:val="1B6D83"/>
            <w:rFonts w:ascii="DejaVu Sans" w:hAnsi="DejaVu Sans"/>
          </w:rPr>
          <w:t>[R083]</w:t>
        </w:r>
      </w:hyperlink>
      <w:r>
        <w:t xml:space="preserve"> </w:t>
      </w:r>
      <w:hyperlink r:id="rId112">
        <w:r>
          <w:rPr>
            <w:color w:val="1B6D83"/>
            <w:rFonts w:ascii="DejaVu Sans" w:hAnsi="DejaVu Sans"/>
          </w:rPr>
          <w:t>[R112]</w:t>
        </w:r>
      </w:hyperlink>
    </w:p>
    <w:p>
      <w:r>
        <w:t>У институционального Mahāvaṃsa 1912 года на Internet Archive зафиксирована именно американская юрисдикционная отметка, а не международная свободная лицензия. Метка коллекции cdl в этой карточке означает California Digital Library, не Controlled Digital Lending. Реально найденный библиотечный маршрут OverDrive — лицензированная электронная выдача, также не установленный CDL.</w:t>
      </w:r>
      <w:r>
        <w:t xml:space="preserve"> </w:t>
      </w:r>
      <w:hyperlink r:id="rId78">
        <w:r>
          <w:rPr>
            <w:color w:val="1B6D83"/>
            <w:rFonts w:ascii="DejaVu Sans" w:hAnsi="DejaVu Sans"/>
          </w:rPr>
          <w:t>[R094]</w:t>
        </w:r>
      </w:hyperlink>
      <w:r>
        <w:t xml:space="preserve"> </w:t>
      </w:r>
      <w:hyperlink r:id="rId90">
        <w:r>
          <w:rPr>
            <w:color w:val="1B6D83"/>
            <w:rFonts w:ascii="DejaVu Sans" w:hAnsi="DejaVu Sans"/>
          </w:rPr>
          <w:t>[R110]</w:t>
        </w:r>
      </w:hyperlink>
    </w:p>
    <w:p>
      <w:pPr>
        <w:pStyle w:val="Heading2"/>
      </w:pPr>
      <w:r>
        <w:t>Разногласия не исправлены молча</w:t>
      </w:r>
    </w:p>
    <w:p>
      <w:r>
        <w:t>PTS-карточка совместного Abhidhammatthasaṅgaha/Vibhāvinī даёт X–XI века, тогда как справочная таблица относит Sumaṅgala и Vibhāvinī к XII веку. В реестре это расхождение сохранено, а не заменено одной уверенной датой. У Expanded/Extended Mahāvaṃsa происхождение и датировка также требуют более тонкого разбора, чем простое отнесение по письму поздней рукописи. Наконец, традиционное Buddhaghosa-авторство комментария Kathāvatthu не принято автоматически: PTS сама отмечает альтернативную атрибуцию.</w:t>
      </w:r>
      <w:r>
        <w:t xml:space="preserve"> </w:t>
      </w:r>
      <w:hyperlink r:id="rId28">
        <w:r>
          <w:rPr>
            <w:color w:val="1B6D83"/>
            <w:rFonts w:ascii="DejaVu Sans" w:hAnsi="DejaVu Sans"/>
          </w:rPr>
          <w:t>[R034]</w:t>
        </w:r>
      </w:hyperlink>
      <w:r>
        <w:t xml:space="preserve"> </w:t>
      </w:r>
      <w:hyperlink r:id="rId113">
        <w:r>
          <w:rPr>
            <w:color w:val="1B6D83"/>
            <w:rFonts w:ascii="DejaVu Sans" w:hAnsi="DejaVu Sans"/>
          </w:rPr>
          <w:t>[R059]</w:t>
        </w:r>
      </w:hyperlink>
      <w:r>
        <w:t xml:space="preserve"> </w:t>
      </w:r>
      <w:hyperlink r:id="rId21">
        <w:r>
          <w:rPr>
            <w:color w:val="1B6D83"/>
            <w:rFonts w:ascii="DejaVu Sans" w:hAnsi="DejaVu Sans"/>
          </w:rPr>
          <w:t>[R065]</w:t>
        </w:r>
      </w:hyperlink>
      <w:r>
        <w:t xml:space="preserve"> </w:t>
      </w:r>
      <w:hyperlink r:id="rId40">
        <w:r>
          <w:rPr>
            <w:color w:val="1B6D83"/>
            <w:rFonts w:ascii="DejaVu Sans" w:hAnsi="DejaVu Sans"/>
          </w:rPr>
          <w:t>[R072]</w:t>
        </w:r>
      </w:hyperlink>
      <w:r>
        <w:t xml:space="preserve"> </w:t>
      </w:r>
      <w:hyperlink r:id="rId47">
        <w:r>
          <w:rPr>
            <w:color w:val="1B6D83"/>
            <w:rFonts w:ascii="DejaVu Sans" w:hAnsi="DejaVu Sans"/>
          </w:rPr>
          <w:t>[R114]</w:t>
        </w:r>
      </w:hyperlink>
    </w:p>
    <w:p>
      <w:r>
        <w:t>Древность произведения, законность чтения, точность транскрипции и право переработки — четыре независимые проверки. Даже разрешённая электронная копия может содержать ошибки; даже превосходное критическое издание может быть непригодно для зеркалирования. В registry права не выдаются как гарантия текстологической достоверности.</w:t>
      </w:r>
    </w:p>
    <w:p>
      <w:pPr>
        <w:pStyle w:val="Heading1"/>
      </w:pPr>
      <w:r>
        <w:t>6. Пробелы и дальнейший поиск</w:t>
      </w:r>
    </w:p>
    <w:p>
      <w:r>
        <w:t>Лист gaps содержит 26 конкретных позиций, а не перечень общих порталов. Для ранних Sinhala Aṭṭhakathā проблема — отсутствие установленного самостоятельного сохранившегося корпуса. Для Visuddhimagga-mahāṭīkā, Mahāsannaya, ряда Vinaya-ṭīkā и комментариев Sumaṅgala проблема иная: произведения/названия известны, но отдельный проверенный путь к полному тексту ещё не получен. Эти два вида отсутствия принципиально разведены.</w:t>
      </w:r>
      <w:r>
        <w:t xml:space="preserve"> </w:t>
      </w:r>
      <w:hyperlink r:id="rId47">
        <w:r>
          <w:rPr>
            <w:color w:val="1B6D83"/>
            <w:rFonts w:ascii="DejaVu Sans" w:hAnsi="DejaVu Sans"/>
          </w:rPr>
          <w:t>[R114]</w:t>
        </w:r>
      </w:hyperlink>
    </w:p>
    <w:p>
      <w:r>
        <w:t>Главные языковые лакуны — полные английские пути к большим Nikāya-комментариям и Theragāthā-aṭṭhakathā, точная карта сингальских sannaya и тибетские оригинальные свидетели Vimuttimagga. Современные защищённые переводы, которые удалось найти, включены в registry, а не потеряны как «несвободные». Каталожные позиции Out of stock и библиотечный доступ также сохранены.</w:t>
      </w:r>
      <w:r>
        <w:t xml:space="preserve"> </w:t>
      </w:r>
      <w:hyperlink r:id="rId23">
        <w:r>
          <w:rPr>
            <w:color w:val="1B6D83"/>
            <w:rFonts w:ascii="DejaVu Sans" w:hAnsi="DejaVu Sans"/>
          </w:rPr>
          <w:t>[R018]</w:t>
        </w:r>
      </w:hyperlink>
      <w:r>
        <w:t xml:space="preserve"> </w:t>
      </w:r>
      <w:hyperlink r:id="rId61">
        <w:r>
          <w:rPr>
            <w:color w:val="1B6D83"/>
            <w:rFonts w:ascii="DejaVu Sans" w:hAnsi="DejaVu Sans"/>
          </w:rPr>
          <w:t>[R028]</w:t>
        </w:r>
      </w:hyperlink>
      <w:r>
        <w:t xml:space="preserve"> </w:t>
      </w:r>
      <w:hyperlink r:id="rId28">
        <w:r>
          <w:rPr>
            <w:color w:val="1B6D83"/>
            <w:rFonts w:ascii="DejaVu Sans" w:hAnsi="DejaVu Sans"/>
          </w:rPr>
          <w:t>[R034]</w:t>
        </w:r>
      </w:hyperlink>
      <w:r>
        <w:t xml:space="preserve"> </w:t>
      </w:r>
      <w:hyperlink r:id="rId79">
        <w:r>
          <w:rPr>
            <w:color w:val="1B6D83"/>
            <w:rFonts w:ascii="DejaVu Sans" w:hAnsi="DejaVu Sans"/>
          </w:rPr>
          <w:t>[R035]</w:t>
        </w:r>
      </w:hyperlink>
      <w:r>
        <w:t xml:space="preserve"> </w:t>
      </w:r>
      <w:hyperlink r:id="rId15">
        <w:r>
          <w:rPr>
            <w:color w:val="1B6D83"/>
            <w:rFonts w:ascii="DejaVu Sans" w:hAnsi="DejaVu Sans"/>
          </w:rPr>
          <w:t>[R039]</w:t>
        </w:r>
      </w:hyperlink>
    </w:p>
    <w:p>
      <w:r>
        <w:t>Технически не удалось подтвердить полный бинарный доступ и copyright для PDF Path of Purification на ATI и Comprehensive Manual у Pariyatti; раскрыть факсимиле EAP; прочитать достаточно данных CrossAsia и BDRC; открыть выбранную Princeton-карточку Warren–Kosambi. Такие неудачи не обозначены как отсутствие текста. Непроверенный русский PDF и два рукописных веб-указателя вынесены как unverified_candidate, без утверждения о законности полного доступа.</w:t>
      </w:r>
    </w:p>
    <w:p>
      <w:r>
        <w:t>Внепериодные кандидаты, требующие продолжения, названы поимённо: Visuddhimaggadīpanī XVI века, поздние толкования Abhidhammatthasaṅgaha, полемика Ledi, новая Dīgha-ṭīkā 1801 года, английский Sāsanavaṃsa и Jinakālamālī. Saddhammopāyana с собственной комментаторской линией выделена как пограничная проверка Abhayagiri; она не включена автоматически в Mahāvihāra-корпус.</w:t>
      </w:r>
      <w:r>
        <w:t xml:space="preserve"> </w:t>
      </w:r>
      <w:hyperlink r:id="rId16">
        <w:r>
          <w:rPr>
            <w:color w:val="1B6D83"/>
            <w:rFonts w:ascii="DejaVu Sans" w:hAnsi="DejaVu Sans"/>
          </w:rPr>
          <w:t>[R092]</w:t>
        </w:r>
      </w:hyperlink>
      <w:r>
        <w:t xml:space="preserve"> </w:t>
      </w:r>
      <w:hyperlink r:id="rId47">
        <w:r>
          <w:rPr>
            <w:color w:val="1B6D83"/>
            <w:rFonts w:ascii="DejaVu Sans" w:hAnsi="DejaVu Sans"/>
          </w:rPr>
          <w:t>[R114]</w:t>
        </w:r>
      </w:hyperlink>
      <w:r>
        <w:t xml:space="preserve"> </w:t>
      </w:r>
      <w:hyperlink r:id="rId46">
        <w:r>
          <w:rPr>
            <w:color w:val="1B6D83"/>
            <w:rFonts w:ascii="DejaVu Sans" w:hAnsi="DejaVu Sans"/>
          </w:rPr>
          <w:t>[R118]</w:t>
        </w:r>
      </w:hyperlink>
    </w:p>
    <w:p>
      <w:pPr>
        <w:pStyle w:val="Heading2"/>
      </w:pPr>
      <w:r>
        <w:t>Семь приоритетных направлений</w:t>
      </w:r>
    </w:p>
    <w:p>
      <w:r>
        <w:t>1. Завершить оригинальные ṭīkā-цепочки. Сопоставить Visuddhimagga-mahāṭīkā, Sāratthadīpanī, Vimativinodanī и Vajirabuddhi-ṭīkā с конкретными XML/изданиями, проверить заголовки, окончания и полноту. Это важнее добавления ещё одного общего канонического портала.</w:t>
      </w:r>
    </w:p>
    <w:p>
      <w:r>
        <w:t>2. Проверить сингальскую передачу. Найти конкретные тома Mahāsannaya, исторические sannaya и рукописные каталожные номера; не смешивать их с современными сокращениями Visuddhi Margaya.</w:t>
      </w:r>
    </w:p>
    <w:p>
      <w:r>
        <w:t>3. Закрыть два крупных английских PDF. Повторно открыть официальные файлы ATI и Pariyatti, проверить титул, редакцию и уведомления. При отсутствии разрешения оставить внешний download-маршрут без зеркала.</w:t>
      </w:r>
    </w:p>
    <w:p>
      <w:r>
        <w:t>4. Разрешить права SHB и SLTP. Проверить томовые copyright-страницы, исходные лицензии транскрипций и полномочия загрузчиков. Не подменять это общей лицензией сайта или одного GitHub-репозитория.</w:t>
      </w:r>
    </w:p>
    <w:p>
      <w:r>
        <w:t>5. Получить рукописные факсимиле. Начать с EAP1150/1/83 и EAP1398/1/174; затем проверить CrossAsia/BDRC. Сохранить shelfmark, дату экземпляра, язык, письмо, объём и отдельные права на изображения.</w:t>
      </w:r>
    </w:p>
    <w:p>
      <w:r>
        <w:t>6. Достроить позднюю педагогику. Искать точные оригинальные тексты Maṇisāramañjūsā, yojanā Ñāṇakitti, Ledi Paramatthadīpanī и Anudīpanī; связь здесь уже конкретная комментарийная, а не просто общая принадлежность к Theravāda.</w:t>
      </w:r>
    </w:p>
    <w:p>
      <w:r>
        <w:t>7. Проверить границы и полноту. Сопоставить Apadāna-комментарий с полным корпусом, уточнить авторов-одноимёнцев Sumaṅgala и Moggallāna, разобрать школьную атрибуцию Saddhammopāyana и нужные ланкийские разделы Jinakālamālī. Новые находки добавлять адресно, не раздувая хронологический охват до общей библиографии.</w:t>
      </w:r>
    </w:p>
    <w:p>
      <w:pPr>
        <w:pStyle w:val="Heading1"/>
      </w:pPr>
      <w:r>
        <w:t>7. Итоговая оценка</w:t>
      </w:r>
    </w:p>
    <w:p>
      <w:r>
        <w:t>Основное палийское комментаторское ядро покрыто хорошо на уровне конкретных изданий и законных способов доступа. Оригиналы доступны шире переводов; для больших комментариев цифровая полнота и права требуют больше контроля, чем для отдельных компендиумов. Английское покрытие разнообразно, но не сплошное; русский слой сосредоточен прежде всего на Visuddhimagga и Abhidhammatthasaṅgaha. Рукописные изображения — наиболее слабая часть завершённого пакета.</w:t>
      </w:r>
    </w:p>
    <w:p>
      <w:r>
        <w:t>Наиболее свободный полезный слой расположен в определённых GRETIL- и ABT-текстах, лицензированных переводах PTS и адресных XML/JSON, а не в репозиториях целиком. Главные ограничения — утраченный сингальский субстрат, неполные переводы/издания, смешанные цифровые права и отдельные нераскрывшиеся файлы.</w:t>
      </w:r>
    </w:p>
    <w:p>
      <w:r>
        <w:t>Пакет пригоден для передачи Codex как исследовательский реестр: 131 запись, фиксированные поля, адресные источники и 26 проверяемых продолжений поиска. Он не является готовым разрешением на автоматическую публикацию всего найденного. Практическое разделение для дальнейшей работы — внешние карточки; исследовательские копии; проверенные лицензионные компоненты для индексации, собственных переводов и распространения.</w:t>
      </w:r>
    </w:p>
    <w:sectPr w:rsidR="00FC693F" w:rsidRPr="0006063C" w:rsidSect="00034616">
      <w:headerReference w:type="default" r:id="rId9"/>
      <w:footerReference w:type="default" r:id="rId10"/>
      <w:pgSz w:w="11906" w:h="16838"/>
      <w:pgMar w:top="1049"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sz w:val="16"/>
      </w:rPr>
      <w:t xml:space="preserve">Проверено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607584"/>
        <w:sz w:val="16"/>
      </w:rPr>
      <w:t>ДРЕВО СОФИИ  /  T2-39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173B4B"/>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b/>
      <w:bCs/>
      <w:color w:val="173B4B"/>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DejaVu Sans" w:hAnsi="DejaVu Sans"/>
      <w:b/>
      <w:bCs/>
      <w:color w:val="173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DejaVu Sans" w:hAnsi="DejaVu Sans"/>
      <w:color w:val="173B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DejaVu Sans" w:hAnsi="DejaVu Sans"/>
      <w:i/>
      <w:iCs/>
      <w:color w:val="173B4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DejaVu Sans" w:hAnsi="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5E6C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etil.sub.uni-goettingen.de/gretil/2_pali/4_comm/buvismou.htm" TargetMode="External"/><Relationship Id="rId12" Type="http://schemas.openxmlformats.org/officeDocument/2006/relationships/hyperlink" Target="https://gretil.sub.uni-goettingen.de/gretil/2_pali/4_comm/samp_1ou.htm" TargetMode="External"/><Relationship Id="rId13" Type="http://schemas.openxmlformats.org/officeDocument/2006/relationships/hyperlink" Target="https://palitextsociety.org/copyright-information/" TargetMode="External"/><Relationship Id="rId14" Type="http://schemas.openxmlformats.org/officeDocument/2006/relationships/hyperlink" Target="https://www.harrassowitz-verlag.de/title_6723.ahtml" TargetMode="External"/><Relationship Id="rId15" Type="http://schemas.openxmlformats.org/officeDocument/2006/relationships/hyperlink" Target="https://www.buddhism.hku.hk/publication-post/the-path-to-freedom-vimuttimagga/" TargetMode="External"/><Relationship Id="rId16" Type="http://schemas.openxmlformats.org/officeDocument/2006/relationships/hyperlink" Target="https://searcharchives.bl.uk/catalog/040-003541264" TargetMode="External"/><Relationship Id="rId17" Type="http://schemas.openxmlformats.org/officeDocument/2006/relationships/hyperlink" Target="https://palitextsociety.org/product/nikayasangrahaya-a-history-of-the-sasanas-transmission-by-devarak%E1%B9%A3ita-jayabahu-dharmakirti-ii/" TargetMode="External"/><Relationship Id="rId18" Type="http://schemas.openxmlformats.org/officeDocument/2006/relationships/hyperlink" Target="https://palitextsociety.org/product/samantapasadika/" TargetMode="External"/><Relationship Id="rId19" Type="http://schemas.openxmlformats.org/officeDocument/2006/relationships/hyperlink" Target="https://palitextsociety.org/product/ka%E1%B9%85khavitara%E1%B9%87i/" TargetMode="External"/><Relationship Id="rId20" Type="http://schemas.openxmlformats.org/officeDocument/2006/relationships/hyperlink" Target="https://palitextsociety.org/product/pa%E1%B9%ADisambhidamagga-commentary-saddhammappakasini/" TargetMode="External"/><Relationship Id="rId21" Type="http://schemas.openxmlformats.org/officeDocument/2006/relationships/hyperlink" Target="https://palitextsociety.org/product/kathavatthu-commentary-pancappakara%E1%B9%87atthakatha/" TargetMode="External"/><Relationship Id="rId22" Type="http://schemas.openxmlformats.org/officeDocument/2006/relationships/hyperlink" Target="https://palitextsociety.org/product/udana-commentary-2/" TargetMode="External"/><Relationship Id="rId23" Type="http://schemas.openxmlformats.org/officeDocument/2006/relationships/hyperlink" Target="https://palitextsociety.org/product/theragatha-commentary-paramatthadipani-v/" TargetMode="External"/><Relationship Id="rId24" Type="http://schemas.openxmlformats.org/officeDocument/2006/relationships/hyperlink" Target="https://palitextsociety.org/product/therigatha-commentary-paramatthadipani-vi/" TargetMode="External"/><Relationship Id="rId25" Type="http://schemas.openxmlformats.org/officeDocument/2006/relationships/hyperlink" Target="https://palitextsociety.org/product/the-anthology-of-undertakings-and-dhammapalas-commentary/" TargetMode="External"/><Relationship Id="rId26" Type="http://schemas.openxmlformats.org/officeDocument/2006/relationships/hyperlink" Target="https://palitextsociety.org/product/udana-commentary/" TargetMode="External"/><Relationship Id="rId27" Type="http://schemas.openxmlformats.org/officeDocument/2006/relationships/hyperlink" Target="https://palitextsociety.org/product/buddhadattas-manuals/" TargetMode="External"/><Relationship Id="rId28" Type="http://schemas.openxmlformats.org/officeDocument/2006/relationships/hyperlink" Target="https://palitextsociety.org/product/abhidhammatthasa%E1%B9%85gaha-and-abhidhammatthavibhavini-%E1%B9%ADika/" TargetMode="External"/><Relationship Id="rId29" Type="http://schemas.openxmlformats.org/officeDocument/2006/relationships/hyperlink" Target="https://gretil.sub.uni-goettingen.de/gretil/2_pali/9_phil/gramm/moggal1u.htm" TargetMode="External"/><Relationship Id="rId30" Type="http://schemas.openxmlformats.org/officeDocument/2006/relationships/hyperlink" Target="https://palitextsociety.org/product/subodhala%E1%B9%85kara-pora%E1%B9%87a-%E1%B9%ADika-abhinava-%E1%B9%ADika/" TargetMode="External"/><Relationship Id="rId31" Type="http://schemas.openxmlformats.org/officeDocument/2006/relationships/hyperlink" Target="https://palitextsociety.org/product/mohavicchedani/" TargetMode="External"/><Relationship Id="rId32" Type="http://schemas.openxmlformats.org/officeDocument/2006/relationships/hyperlink" Target="https://ancient-buddhist-texts.net/Texts-and-Translations/Dipavamsa/index.htm" TargetMode="External"/><Relationship Id="rId33" Type="http://schemas.openxmlformats.org/officeDocument/2006/relationships/hyperlink" Target="https://palitextsociety.org/product/the-guide/" TargetMode="External"/><Relationship Id="rId34" Type="http://schemas.openxmlformats.org/officeDocument/2006/relationships/hyperlink" Target="https://palitextsociety.org/product/the-path-of-discrimination/" TargetMode="External"/><Relationship Id="rId35" Type="http://schemas.openxmlformats.org/officeDocument/2006/relationships/hyperlink" Target="https://palitextsociety.org/product/pi%E1%B9%ADaka-disclosure/" TargetMode="External"/><Relationship Id="rId36" Type="http://schemas.openxmlformats.org/officeDocument/2006/relationships/hyperlink" Target="https://github.com/suttacentral/bilara-data" TargetMode="External"/><Relationship Id="rId37" Type="http://schemas.openxmlformats.org/officeDocument/2006/relationships/hyperlink" Target="https://palitextsociety.org/product/dhammasa%E1%B9%85ga%E1%B9%87i/" TargetMode="External"/><Relationship Id="rId38" Type="http://schemas.openxmlformats.org/officeDocument/2006/relationships/hyperlink" Target="https://palitextsociety.org/product/mahava%E1%B9%83sa-%E1%B9%ADika-va%E1%B9%83satthappakasini/" TargetMode="External"/><Relationship Id="rId39" Type="http://schemas.openxmlformats.org/officeDocument/2006/relationships/hyperlink" Target="https://palitextsociety.org/product/culava%E1%B9%83sa/" TargetMode="External"/><Relationship Id="rId40" Type="http://schemas.openxmlformats.org/officeDocument/2006/relationships/hyperlink" Target="https://palitextsociety.org/product/extended-mahava%E1%B9%83sa/" TargetMode="External"/><Relationship Id="rId41" Type="http://schemas.openxmlformats.org/officeDocument/2006/relationships/hyperlink" Target="https://palitextsociety.org/product/mahabodhiva%E1%B9%83sa/" TargetMode="External"/><Relationship Id="rId42" Type="http://schemas.openxmlformats.org/officeDocument/2006/relationships/hyperlink" Target="https://palitextsociety.org/product/buddhaghosuppatti/" TargetMode="External"/><Relationship Id="rId43" Type="http://schemas.openxmlformats.org/officeDocument/2006/relationships/hyperlink" Target="https://palitextsociety.org/product/thupava%E1%B9%83sa/" TargetMode="External"/><Relationship Id="rId44" Type="http://schemas.openxmlformats.org/officeDocument/2006/relationships/hyperlink" Target="https://palitextsociety.org/product/gandhava%E1%B9%83sa/" TargetMode="External"/><Relationship Id="rId45" Type="http://schemas.openxmlformats.org/officeDocument/2006/relationships/hyperlink" Target="https://palitextsociety.org/product/simavivadavinicchayakatha/" TargetMode="External"/><Relationship Id="rId46" Type="http://schemas.openxmlformats.org/officeDocument/2006/relationships/hyperlink" Target="https://palitextsociety.org/product/sasanava%E1%B9%83sa/" TargetMode="External"/><Relationship Id="rId47" Type="http://schemas.openxmlformats.org/officeDocument/2006/relationships/hyperlink" Target="https://gretil.sub.uni-goettingen.de/gretil_elib/Nyt008__Nyanatusita_ReferenceTableOfPaliLiterature.pdf" TargetMode="External"/><Relationship Id="rId48" Type="http://schemas.openxmlformats.org/officeDocument/2006/relationships/hyperlink" Target="https://palitextsociety.org/product/visuddhimagga/" TargetMode="External"/><Relationship Id="rId49" Type="http://schemas.openxmlformats.org/officeDocument/2006/relationships/hyperlink" Target="https://palitextsociety.org/product/the-path-of-purity/" TargetMode="External"/><Relationship Id="rId50" Type="http://schemas.openxmlformats.org/officeDocument/2006/relationships/hyperlink" Target="https://store.pariyatti.org/products/1386" TargetMode="External"/><Relationship Id="rId51" Type="http://schemas.openxmlformats.org/officeDocument/2006/relationships/hyperlink" Target="https://www.accesstoinsight.org/lib/authors/nanamoli/index.html" TargetMode="External"/><Relationship Id="rId52" Type="http://schemas.openxmlformats.org/officeDocument/2006/relationships/hyperlink" Target="https://ganga.ru/book/visuddhimagga-tom-1" TargetMode="External"/><Relationship Id="rId53" Type="http://schemas.openxmlformats.org/officeDocument/2006/relationships/hyperlink" Target="https://online.buddhistcc.com/books/visuddhi-margaya.html" TargetMode="External"/><Relationship Id="rId54" Type="http://schemas.openxmlformats.org/officeDocument/2006/relationships/hyperlink" Target="https://cbetaonline.dila.edu.tw/zh/T1648" TargetMode="External"/><Relationship Id="rId55" Type="http://schemas.openxmlformats.org/officeDocument/2006/relationships/hyperlink" Target="https://palitextsociety.org/product/the-inception-of-discipline-samantapasadika-bahiranidana/" TargetMode="External"/><Relationship Id="rId56" Type="http://schemas.openxmlformats.org/officeDocument/2006/relationships/hyperlink" Target="https://palitextsociety.org/product/overcoming-doubts-ka%E1%B9%85khavitara%E1%B9%87i-vol-i-the-bhikkhu-patimokkha-commentary/" TargetMode="External"/><Relationship Id="rId57" Type="http://schemas.openxmlformats.org/officeDocument/2006/relationships/hyperlink" Target="https://palitextsociety.org/product/suma%E1%B9%85galavilasini/" TargetMode="External"/><Relationship Id="rId58" Type="http://schemas.openxmlformats.org/officeDocument/2006/relationships/hyperlink" Target="https://palitextsociety.org/product/papancasudani/" TargetMode="External"/><Relationship Id="rId59" Type="http://schemas.openxmlformats.org/officeDocument/2006/relationships/hyperlink" Target="https://palitextsociety.org/product/saratthappakasini/" TargetMode="External"/><Relationship Id="rId60" Type="http://schemas.openxmlformats.org/officeDocument/2006/relationships/hyperlink" Target="https://palitextsociety.org/product/manorathapura%E1%B9%87i/" TargetMode="External"/><Relationship Id="rId61" Type="http://schemas.openxmlformats.org/officeDocument/2006/relationships/hyperlink" Target="https://www.buddhism.hku.hk/publication-post/papancasudani-commentary/" TargetMode="External"/><Relationship Id="rId62" Type="http://schemas.openxmlformats.org/officeDocument/2006/relationships/hyperlink" Target="https://accesstoinsight.org/lib/authors/nanamoli/wheel377.html" TargetMode="External"/><Relationship Id="rId63" Type="http://schemas.openxmlformats.org/officeDocument/2006/relationships/hyperlink" Target="https://ancient-buddhist-texts.net/English-Texts/Buddhist-Legends/index.htm" TargetMode="External"/><Relationship Id="rId64" Type="http://schemas.openxmlformats.org/officeDocument/2006/relationships/hyperlink" Target="https://ancient-buddhist-texts.net/English-Texts/Dhamma-Verses-Comm/index.htm" TargetMode="External"/><Relationship Id="rId65" Type="http://schemas.openxmlformats.org/officeDocument/2006/relationships/hyperlink" Target="https://palitextsociety.org/product/apadana-commentary-visuddhajanavilasini/" TargetMode="External"/><Relationship Id="rId66" Type="http://schemas.openxmlformats.org/officeDocument/2006/relationships/hyperlink" Target="https://palitextsociety.org/product/the-commentary-on-the-verses-of-the-theris/" TargetMode="External"/><Relationship Id="rId67" Type="http://schemas.openxmlformats.org/officeDocument/2006/relationships/hyperlink" Target="https://palitextsociety.org/product/the-commentary-on-the-itivuttaka/" TargetMode="External"/><Relationship Id="rId68" Type="http://schemas.openxmlformats.org/officeDocument/2006/relationships/hyperlink" Target="https://palitextsociety.org/product/the-clarifier-of-the-sweet-meaning/" TargetMode="External"/><Relationship Id="rId69" Type="http://schemas.openxmlformats.org/officeDocument/2006/relationships/hyperlink" Target="https://palitextsociety.org/product/peta-stories/" TargetMode="External"/><Relationship Id="rId70" Type="http://schemas.openxmlformats.org/officeDocument/2006/relationships/hyperlink" Target="https://palitextsociety.org/product/vimana-stories/" TargetMode="External"/><Relationship Id="rId71" Type="http://schemas.openxmlformats.org/officeDocument/2006/relationships/hyperlink" Target="https://palitextsociety.org/product/the-suttanipata-an-ancient-collection-of-the-buddhas-discourses-together-with-its-commentaries/" TargetMode="External"/><Relationship Id="rId72" Type="http://schemas.openxmlformats.org/officeDocument/2006/relationships/hyperlink" Target="https://palitextsociety.org/product/atthasalini/" TargetMode="External"/><Relationship Id="rId73" Type="http://schemas.openxmlformats.org/officeDocument/2006/relationships/hyperlink" Target="https://palitextsociety.org/product/dispeller-of-delusion/" TargetMode="External"/><Relationship Id="rId74" Type="http://schemas.openxmlformats.org/officeDocument/2006/relationships/hyperlink" Target="https://palitextsociety.org/product/the-expositor/" TargetMode="External"/><Relationship Id="rId75" Type="http://schemas.openxmlformats.org/officeDocument/2006/relationships/hyperlink" Target="https://palitextsociety.org/product/darlegung-der-bedeutung/" TargetMode="External"/><Relationship Id="rId76" Type="http://schemas.openxmlformats.org/officeDocument/2006/relationships/hyperlink" Target="https://palitextsociety.org/product/a-buddhist-manual-of-psychological-ethics/" TargetMode="External"/><Relationship Id="rId77" Type="http://schemas.openxmlformats.org/officeDocument/2006/relationships/hyperlink" Target="https://store.pariyatti.org/products/6269" TargetMode="External"/><Relationship Id="rId78" Type="http://schemas.openxmlformats.org/officeDocument/2006/relationships/hyperlink" Target="https://nlb.overdrive.com/media/1142240" TargetMode="External"/><Relationship Id="rId79" Type="http://schemas.openxmlformats.org/officeDocument/2006/relationships/hyperlink" Target="https://palitextsociety.org/product/the-summary-of-the-topics-of-abhidhamma-and-exposition-of-the-topics-of-abhidhamma/" TargetMode="External"/><Relationship Id="rId80" Type="http://schemas.openxmlformats.org/officeDocument/2006/relationships/hyperlink" Target="https://palitextsociety.org/product/compendium-of-philosophy/" TargetMode="External"/><Relationship Id="rId81" Type="http://schemas.openxmlformats.org/officeDocument/2006/relationships/hyperlink" Target="https://www.ganga.ru/book/ischerpyvayushchee-rukovodstvo-po-abhidhamme" TargetMode="External"/><Relationship Id="rId82" Type="http://schemas.openxmlformats.org/officeDocument/2006/relationships/hyperlink" Target="https://palitextsociety.org/product/khuddasikkha-and-mulasikkha/" TargetMode="External"/><Relationship Id="rId83" Type="http://schemas.openxmlformats.org/officeDocument/2006/relationships/hyperlink" Target="https://palitextsociety.org/product/namarupapariccheda/" TargetMode="External"/><Relationship Id="rId84" Type="http://schemas.openxmlformats.org/officeDocument/2006/relationships/hyperlink" Target="https://palitextsociety.org/product/namarupasamaso-khemappakara%E1%B9%87a/" TargetMode="External"/><Relationship Id="rId85" Type="http://schemas.openxmlformats.org/officeDocument/2006/relationships/hyperlink" Target="https://palitextsociety.org/product/paramatthavinicchaya/" TargetMode="External"/><Relationship Id="rId86" Type="http://schemas.openxmlformats.org/officeDocument/2006/relationships/hyperlink" Target="https://palitextsociety.org/product/saccasa%E1%B9%85khepa/" TargetMode="External"/><Relationship Id="rId87" Type="http://schemas.openxmlformats.org/officeDocument/2006/relationships/hyperlink" Target="https://palitextsociety.org/product/yamaka-commentary/" TargetMode="External"/><Relationship Id="rId88" Type="http://schemas.openxmlformats.org/officeDocument/2006/relationships/hyperlink" Target="https://palitextsociety.org/product/the-book-of-pairs-and-its-commentary-a-translation-of-the-yamaka-and-yamakappakara%E1%B9%87a%E1%B9%AD%E1%B9%ADhakatha-vol-iii/" TargetMode="External"/><Relationship Id="rId89" Type="http://schemas.openxmlformats.org/officeDocument/2006/relationships/hyperlink" Target="https://palitextsociety.org/product/mahava%E1%B9%83sa/" TargetMode="External"/><Relationship Id="rId90" Type="http://schemas.openxmlformats.org/officeDocument/2006/relationships/hyperlink" Target="https://archive.org/details/mahavamsagreatch00geigrich" TargetMode="External"/><Relationship Id="rId91" Type="http://schemas.openxmlformats.org/officeDocument/2006/relationships/hyperlink" Target="https://gretil.sub.uni-goettingen.de/gretil/2_pali/3_chron/mahava_u.htm" TargetMode="External"/><Relationship Id="rId92" Type="http://schemas.openxmlformats.org/officeDocument/2006/relationships/hyperlink" Target="https://ancient-buddhist-texts.net/Texts-and-Translations/Jinacaritam-Victorious-Buddha/index.htm" TargetMode="External"/><Relationship Id="rId93" Type="http://schemas.openxmlformats.org/officeDocument/2006/relationships/hyperlink" Target="https://ancient-buddhist-texts.net/Buddhist-Texts/X2-Dathavamsa/index.htm" TargetMode="External"/><Relationship Id="rId94" Type="http://schemas.openxmlformats.org/officeDocument/2006/relationships/hyperlink" Target="https://ancient-buddhist-texts.net/Reference/The-Theravada-Lineage/index.htm" TargetMode="External"/><Relationship Id="rId95" Type="http://schemas.openxmlformats.org/officeDocument/2006/relationships/hyperlink" Target="https://ancient-buddhist-texts.net/Textual-Studies/Vuttodaya/index.htm" TargetMode="External"/><Relationship Id="rId96" Type="http://schemas.openxmlformats.org/officeDocument/2006/relationships/hyperlink" Target="https://gretil.sub.uni-goettingen.de/gretil/2_pali/9_phil/gramm/moggal2u.htm" TargetMode="External"/><Relationship Id="rId97" Type="http://schemas.openxmlformats.org/officeDocument/2006/relationships/hyperlink" Target="https://gretil.sub.uni-goettingen.de/gretil/2_pali/9_phil/rhet/subodh_u.htm" TargetMode="External"/><Relationship Id="rId98" Type="http://schemas.openxmlformats.org/officeDocument/2006/relationships/hyperlink" Target="https://gretil.sub.uni-goettingen.de/gretil/2_pali/9_phil/gramm/maharu_u.htm" TargetMode="External"/><Relationship Id="rId99" Type="http://schemas.openxmlformats.org/officeDocument/2006/relationships/hyperlink" Target="https://gretil.sub.uni-goettingen.de/gretil/2_pali/9_phil/gramm/padasa_u.htm" TargetMode="External"/><Relationship Id="rId100" Type="http://schemas.openxmlformats.org/officeDocument/2006/relationships/hyperlink" Target="https://github.com/digitalpalireader/digitalpalireader" TargetMode="External"/><Relationship Id="rId101" Type="http://schemas.openxmlformats.org/officeDocument/2006/relationships/hyperlink" Target="https://github.com/VipassanaTech/tipitaka-xml" TargetMode="External"/><Relationship Id="rId102" Type="http://schemas.openxmlformats.org/officeDocument/2006/relationships/hyperlink" Target="https://cbetaonline.dila.edu.tw/zh/T1462" TargetMode="External"/><Relationship Id="rId103" Type="http://schemas.openxmlformats.org/officeDocument/2006/relationships/hyperlink" Target="https://ancient-buddhist-texts.net/Miscellaneous/Copyright-Notice.htm" TargetMode="External"/><Relationship Id="rId104" Type="http://schemas.openxmlformats.org/officeDocument/2006/relationships/hyperlink" Target="https://cbeta.org/copyright" TargetMode="External"/><Relationship Id="rId105" Type="http://schemas.openxmlformats.org/officeDocument/2006/relationships/hyperlink" Target="https://github.com/VipassanaTech/tipitaka-xml/blob/main/README.md" TargetMode="External"/><Relationship Id="rId106" Type="http://schemas.openxmlformats.org/officeDocument/2006/relationships/hyperlink" Target="https://raw.githubusercontent.com/suttacentral/bilara-data/published/LICENSE.md" TargetMode="External"/><Relationship Id="rId107" Type="http://schemas.openxmlformats.org/officeDocument/2006/relationships/hyperlink" Target="https://archive.org/details/shbsuttatthakatha" TargetMode="External"/><Relationship Id="rId108" Type="http://schemas.openxmlformats.org/officeDocument/2006/relationships/hyperlink" Target="https://archive.org/details/shbvinayatthakatha" TargetMode="External"/><Relationship Id="rId109" Type="http://schemas.openxmlformats.org/officeDocument/2006/relationships/hyperlink" Target="https://archive.org/details/shbabhidhammatthakatha" TargetMode="External"/><Relationship Id="rId110" Type="http://schemas.openxmlformats.org/officeDocument/2006/relationships/hyperlink" Target="https://github.com/digitalpalireader/digitalpalireader/blob/master/LICENSE" TargetMode="External"/><Relationship Id="rId111" Type="http://schemas.openxmlformats.org/officeDocument/2006/relationships/hyperlink" Target="https://gretil.sub.uni-goettingen.de/gretil/2_pali/6_suanco/upasak_u.htm" TargetMode="External"/><Relationship Id="rId112" Type="http://schemas.openxmlformats.org/officeDocument/2006/relationships/hyperlink" Target="https://accesstoinsight.org/tipitaka/sltp/" TargetMode="External"/><Relationship Id="rId113" Type="http://schemas.openxmlformats.org/officeDocument/2006/relationships/hyperlink" Target="https://ancient-buddhist-texts.net/Texts-and-Translations/Asokan-Missions/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T2-39</dc:title>
  <dc:subject>Шри-ланкийская палийская схоластика и комментаторский handoff</dc:subject>
  <dc:creator>ToS / Древо Софии</dc:creator>
  <cp:keywords>T2-39, Pali, corpus, rights, Mahavihara, Buddhaghosa</cp:keywords>
  <dc:description>generated by python-docx</dc:description>
  <cp:lastModifiedBy/>
  <cp:revision>1</cp:revision>
  <dcterms:created xsi:type="dcterms:W3CDTF">2013-12-23T23:15:00Z</dcterms:created>
  <dcterms:modified xsi:type="dcterms:W3CDTF">2013-12-23T23:15:00Z</dcterms:modified>
  <cp:category/>
</cp:coreProperties>
</file>