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80"/>
        <w:jc w:val="center"/>
      </w:pPr>
      <w:r>
        <w:rPr>
          <w:rFonts w:ascii="Noto Sans" w:hAnsi="Noto Sans" w:eastAsia="Noto Sans"/>
          <w:b/>
          <w:i w:val="0"/>
          <w:color w:val="2C7A7B"/>
          <w:sz w:val="26"/>
          <w:lang w:val="ru-RU" w:eastAsia="ru-RU"/>
        </w:rPr>
        <w:t>ToS / Древо Софии</w:t>
      </w:r>
    </w:p>
    <w:p>
      <w:pPr>
        <w:spacing w:after="100"/>
        <w:jc w:val="center"/>
      </w:pPr>
      <w:r>
        <w:rPr>
          <w:rFonts w:ascii="Noto Sans" w:hAnsi="Noto Sans" w:eastAsia="Noto Sans"/>
          <w:b/>
          <w:i w:val="0"/>
          <w:color w:val="0F4C5C"/>
          <w:sz w:val="50"/>
          <w:lang w:val="ru-RU" w:eastAsia="ru-RU"/>
        </w:rPr>
        <w:t>ToS Corpus &amp; Rights Registry</w:t>
      </w:r>
    </w:p>
    <w:p>
      <w:pPr>
        <w:spacing w:after="80"/>
        <w:jc w:val="center"/>
      </w:pPr>
      <w:r>
        <w:rPr>
          <w:rFonts w:ascii="Noto Sans" w:hAnsi="Noto Sans" w:eastAsia="Noto Sans"/>
          <w:b/>
          <w:i w:val="0"/>
          <w:color w:val="17252A"/>
          <w:sz w:val="38"/>
          <w:lang w:val="ru-RU" w:eastAsia="ru-RU"/>
        </w:rPr>
        <w:t>A13 - Вторая храмовая Иудея</w:t>
      </w:r>
    </w:p>
    <w:p>
      <w:pPr>
        <w:spacing w:after="340"/>
        <w:jc w:val="center"/>
      </w:pPr>
      <w:r>
        <w:rPr>
          <w:rFonts w:ascii="Noto Sans" w:hAnsi="Noto Sans" w:eastAsia="Noto Sans"/>
          <w:b w:val="0"/>
          <w:i/>
          <w:color w:val="5F6B70"/>
          <w:sz w:val="23"/>
          <w:lang w:val="ru-RU" w:eastAsia="ru-RU"/>
        </w:rPr>
        <w:t>Тора, пророческие книги, sectarian/halakhic corpora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4C5C"/>
          <w:left w:val="single" w:sz="6" w:space="0" w:color="0F4C5C"/>
          <w:bottom w:val="single" w:sz="6" w:space="0" w:color="0F4C5C"/>
          <w:right w:val="single" w:sz="6" w:space="0" w:color="0F4C5C"/>
          <w:insideH w:val="single" w:sz="6" w:space="0" w:color="0F4C5C"/>
          <w:insideV w:val="single" w:sz="6" w:space="0" w:color="0F4C5C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2409"/>
            <w:shd w:fill="E8F1F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Строка</w:t>
              <w:br/>
            </w:r>
            <w:r>
              <w:rPr>
                <w:rFonts w:ascii="Noto Sans" w:hAnsi="Noto Sans" w:eastAsia="Noto Sans"/>
                <w:b/>
                <w:i w:val="0"/>
                <w:color w:val="17252A"/>
                <w:sz w:val="20"/>
                <w:lang w:val="ru-RU" w:eastAsia="ru-RU"/>
              </w:rPr>
              <w:t>A13 / 12</w:t>
            </w:r>
          </w:p>
        </w:tc>
        <w:tc>
          <w:tcPr>
            <w:tcW w:type="dxa" w:w="2409"/>
            <w:shd w:fill="F8FA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Статус</w:t>
              <w:br/>
            </w:r>
            <w:r>
              <w:rPr>
                <w:rFonts w:ascii="Noto Sans" w:hAnsi="Noto Sans" w:eastAsia="Noto Sans"/>
                <w:b/>
                <w:i w:val="0"/>
                <w:color w:val="17252A"/>
                <w:sz w:val="20"/>
                <w:lang w:val="ru-RU" w:eastAsia="ru-RU"/>
              </w:rPr>
              <w:t>B</w:t>
            </w:r>
          </w:p>
        </w:tc>
        <w:tc>
          <w:tcPr>
            <w:tcW w:type="dxa" w:w="2409"/>
            <w:shd w:fill="E8F1F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Уверенность</w:t>
              <w:br/>
            </w:r>
            <w:r>
              <w:rPr>
                <w:rFonts w:ascii="Noto Sans" w:hAnsi="Noto Sans" w:eastAsia="Noto Sans"/>
                <w:b/>
                <w:i w:val="0"/>
                <w:color w:val="17252A"/>
                <w:sz w:val="20"/>
                <w:lang w:val="ru-RU" w:eastAsia="ru-RU"/>
              </w:rPr>
              <w:t>4</w:t>
            </w:r>
          </w:p>
        </w:tc>
        <w:tc>
          <w:tcPr>
            <w:tcW w:type="dxa" w:w="2409"/>
            <w:shd w:fill="F8FAF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Проверка</w:t>
              <w:br/>
            </w:r>
            <w:r>
              <w:rPr>
                <w:rFonts w:ascii="Noto Sans" w:hAnsi="Noto Sans" w:eastAsia="Noto Sans"/>
                <w:b/>
                <w:i w:val="0"/>
                <w:color w:val="17252A"/>
                <w:sz w:val="20"/>
                <w:lang w:val="ru-RU" w:eastAsia="ru-RU"/>
              </w:rPr>
              <w:t>2026-09-03</w:t>
            </w:r>
          </w:p>
        </w:tc>
        <w:trPr>
          <w:tblHeader/>
        </w:trPr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2494"/>
        <w:gridCol w:w="2494"/>
        <w:gridCol w:w="2494"/>
        <w:gridCol w:w="2494"/>
      </w:tblGrid>
      <w:tr>
        <w:tc>
          <w:tcPr>
            <w:tcW w:type="dxa" w:w="2409"/>
            <w:shd w:fill="F9FBFC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0F4C5C"/>
                <w:sz w:val="36"/>
                <w:lang w:val="ru-RU" w:eastAsia="ru-RU"/>
              </w:rPr>
              <w:t>112</w:t>
              <w:br/>
            </w:r>
            <w:r>
              <w:rPr>
                <w:rFonts w:ascii="Noto Sans" w:hAnsi="Noto Sans" w:eastAsia="Noto Sans"/>
                <w:b w:val="0"/>
                <w:i w:val="0"/>
                <w:color w:val="5F6B70"/>
                <w:sz w:val="16"/>
                <w:lang w:val="ru-RU" w:eastAsia="ru-RU"/>
              </w:rPr>
              <w:t>пути доступа</w:t>
            </w:r>
          </w:p>
        </w:tc>
        <w:tc>
          <w:tcPr>
            <w:tcW w:type="dxa" w:w="2409"/>
            <w:shd w:fill="F9FBFC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0F4C5C"/>
                <w:sz w:val="36"/>
                <w:lang w:val="ru-RU" w:eastAsia="ru-RU"/>
              </w:rPr>
              <w:t>85</w:t>
              <w:br/>
            </w:r>
            <w:r>
              <w:rPr>
                <w:rFonts w:ascii="Noto Sans" w:hAnsi="Noto Sans" w:eastAsia="Noto Sans"/>
                <w:b w:val="0"/>
                <w:i w:val="0"/>
                <w:color w:val="5F6B70"/>
                <w:sz w:val="16"/>
                <w:lang w:val="ru-RU" w:eastAsia="ru-RU"/>
              </w:rPr>
              <w:t>именованных первичных объектов</w:t>
            </w:r>
          </w:p>
        </w:tc>
        <w:tc>
          <w:tcPr>
            <w:tcW w:type="dxa" w:w="2409"/>
            <w:shd w:fill="F9FBFC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0F4C5C"/>
                <w:sz w:val="36"/>
                <w:lang w:val="ru-RU" w:eastAsia="ru-RU"/>
              </w:rPr>
              <w:t>37</w:t>
              <w:br/>
            </w:r>
            <w:r>
              <w:rPr>
                <w:rFonts w:ascii="Noto Sans" w:hAnsi="Noto Sans" w:eastAsia="Noto Sans"/>
                <w:b w:val="0"/>
                <w:i w:val="0"/>
                <w:color w:val="5F6B70"/>
                <w:sz w:val="16"/>
                <w:lang w:val="ru-RU" w:eastAsia="ru-RU"/>
              </w:rPr>
              <w:t>репозиториев и проектов</w:t>
            </w:r>
          </w:p>
        </w:tc>
        <w:tc>
          <w:tcPr>
            <w:tcW w:type="dxa" w:w="2409"/>
            <w:shd w:fill="F9FBFC"/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0F4C5C"/>
                <w:sz w:val="36"/>
                <w:lang w:val="ru-RU" w:eastAsia="ru-RU"/>
              </w:rPr>
              <w:t>18</w:t>
              <w:br/>
            </w:r>
            <w:r>
              <w:rPr>
                <w:rFonts w:ascii="Noto Sans" w:hAnsi="Noto Sans" w:eastAsia="Noto Sans"/>
                <w:b w:val="0"/>
                <w:i w:val="0"/>
                <w:color w:val="5F6B70"/>
                <w:sz w:val="16"/>
                <w:lang w:val="ru-RU" w:eastAsia="ru-RU"/>
              </w:rPr>
              <w:t>целевых пробелов</w:t>
            </w:r>
          </w:p>
        </w:tc>
        <w:trPr>
          <w:tblHeader/>
        </w:trPr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F4C5C"/>
          <w:left w:val="single" w:sz="8" w:space="0" w:color="0F4C5C"/>
          <w:bottom w:val="single" w:sz="8" w:space="0" w:color="0F4C5C"/>
          <w:right w:val="single" w:sz="8" w:space="0" w:color="0F4C5C"/>
          <w:insideH w:val="single" w:sz="8" w:space="0" w:color="0F4C5C"/>
          <w:insideV w:val="single" w:sz="8" w:space="0" w:color="0F4C5C"/>
        </w:tblBorders>
      </w:tblPr>
      <w:tblGrid>
        <w:gridCol w:w="9978"/>
      </w:tblGrid>
      <w:tr>
        <w:tc>
          <w:tcPr>
            <w:tcW w:type="dxa" w:w="9751"/>
            <w:shd w:fill="EDF5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before="0" w:after="80" w:line="259" w:lineRule="auto"/>
              <w:jc w:val="left"/>
            </w:pPr>
            <w:r>
              <w:rPr>
                <w:rFonts w:ascii="Noto Sans" w:hAnsi="Noto Sans" w:eastAsia="Noto Sans"/>
                <w:b/>
                <w:i w:val="0"/>
                <w:color w:val="0F4C5C"/>
                <w:sz w:val="21"/>
                <w:lang w:val="ru-RU" w:eastAsia="ru-RU"/>
              </w:rPr>
              <w:t>Назначение пакета</w:t>
            </w:r>
          </w:p>
          <w:p>
            <w:pPr>
              <w:spacing w:before="0" w:after="40" w:line="259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8"/>
                <w:lang w:val="ru-RU" w:eastAsia="ru-RU"/>
              </w:rPr>
              <w:t>Это отдельный исследовательский слой к исходному Deep Research. Он не редактирует исторический очерк и не меняет ID A13 или статус B.</w:t>
            </w:r>
          </w:p>
          <w:p>
            <w:pPr>
              <w:spacing w:before="0" w:after="40" w:line="259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8"/>
                <w:lang w:val="ru-RU" w:eastAsia="ru-RU"/>
              </w:rPr>
              <w:t>В реестре одна строка соответствует практически отличимому способу доступа: конкретному произведению, свидетелю, изданию, переводу, цифровому тексту, dataset или каталогу.</w:t>
            </w:r>
          </w:p>
          <w:p>
            <w:pPr>
              <w:spacing w:before="0" w:after="40" w:line="259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8"/>
                <w:lang w:val="ru-RU" w:eastAsia="ru-RU"/>
              </w:rPr>
              <w:t>Свободное чтение, скачивание, повторное размещение, OCR, полнотекстовая индексация, embeddings и собственный перевод разделены как разные действия.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200" w:after="0"/>
        <w:jc w:val="center"/>
      </w:pPr>
      <w:r>
        <w:rPr>
          <w:rFonts w:ascii="Noto Sans" w:hAnsi="Noto Sans" w:eastAsia="Noto Sans"/>
          <w:b/>
          <w:i w:val="0"/>
          <w:color w:val="5F6B70"/>
          <w:sz w:val="16"/>
          <w:lang w:val="ru-RU" w:eastAsia="ru-RU"/>
        </w:rPr>
        <w:t>Исходный документ:</w:t>
      </w:r>
      <w:r>
        <w:rPr>
          <w:rFonts w:ascii="Noto Sans" w:hAnsi="Noto Sans" w:eastAsia="Noto Sans"/>
          <w:b w:val="0"/>
          <w:i w:val="0"/>
          <w:color w:val="5F6B70"/>
          <w:sz w:val="16"/>
          <w:lang w:val="ru-RU" w:eastAsia="ru-RU"/>
        </w:rPr>
        <w:t xml:space="preserve"> ToS Deep Research_ A13 - Вторая храмовая Иудея.docx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Содержание</w:t>
      </w:r>
    </w:p>
    <w:p>
      <w:pPr>
        <w:pageBreakBefore w:val="0"/>
        <w:spacing w:before="0" w:after="60" w:line="259" w:lineRule="auto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1. Паспорт</w:t>
      </w:r>
    </w:p>
    <w:p>
      <w:pPr>
        <w:pageBreakBefore w:val="0"/>
        <w:spacing w:before="0" w:after="60" w:line="259" w:lineRule="auto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2. Охват корпуса</w:t>
      </w:r>
    </w:p>
    <w:p>
      <w:pPr>
        <w:pageBreakBefore w:val="0"/>
        <w:spacing w:before="0" w:after="60" w:line="259" w:lineRule="auto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3. Лучшие пути доступа</w:t>
      </w:r>
    </w:p>
    <w:p>
      <w:pPr>
        <w:pageBreakBefore w:val="0"/>
        <w:spacing w:before="0" w:after="60" w:line="259" w:lineRule="auto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4. Карта прав и практического использования</w:t>
      </w:r>
    </w:p>
    <w:p>
      <w:pPr>
        <w:pageBreakBefore w:val="0"/>
        <w:spacing w:before="0" w:after="60" w:line="259" w:lineRule="auto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5. Характерные правовые тонкости</w:t>
      </w:r>
    </w:p>
    <w:p>
      <w:pPr>
        <w:pageBreakBefore w:val="0"/>
        <w:spacing w:before="0" w:after="60" w:line="259" w:lineRule="auto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6. Пробелы и дальнейший поиск</w:t>
      </w:r>
    </w:p>
    <w:p>
      <w:pPr>
        <w:pageBreakBefore w:val="0"/>
        <w:spacing w:before="0" w:after="60" w:line="259" w:lineRule="auto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C7A7B"/>
          <w:left w:val="single" w:sz="8" w:space="0" w:color="2C7A7B"/>
          <w:bottom w:val="single" w:sz="8" w:space="0" w:color="2C7A7B"/>
          <w:right w:val="single" w:sz="8" w:space="0" w:color="2C7A7B"/>
          <w:insideH w:val="single" w:sz="8" w:space="0" w:color="2C7A7B"/>
          <w:insideV w:val="single" w:sz="8" w:space="0" w:color="2C7A7B"/>
        </w:tblBorders>
      </w:tblPr>
      <w:tblGrid>
        <w:gridCol w:w="9978"/>
      </w:tblGrid>
      <w:tr>
        <w:tc>
          <w:tcPr>
            <w:tcW w:type="dxa" w:w="9751"/>
            <w:shd w:fill="F7F9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before="0" w:after="80" w:line="259" w:lineRule="auto"/>
              <w:jc w:val="left"/>
            </w:pPr>
            <w:r>
              <w:rPr>
                <w:rFonts w:ascii="Noto Sans" w:hAnsi="Noto Sans" w:eastAsia="Noto Sans"/>
                <w:b/>
                <w:i w:val="0"/>
                <w:color w:val="2C7A7B"/>
                <w:sz w:val="21"/>
                <w:lang w:val="ru-RU" w:eastAsia="ru-RU"/>
              </w:rPr>
              <w:t>Как читать количественные итоги</w:t>
            </w:r>
          </w:p>
          <w:p>
            <w:pPr>
              <w:spacing w:before="0" w:after="40" w:line="259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8"/>
                <w:lang w:val="ru-RU" w:eastAsia="ru-RU"/>
              </w:rPr>
              <w:t>Число записей не равно числу произведений. Один и тот же текст может иметь официальный факсимильный вход, отдельную транскрипцию, старый перевод, современное критическое издание и библиотечный маршрут.</w:t>
            </w:r>
          </w:p>
          <w:p>
            <w:pPr>
              <w:spacing w:before="0" w:after="40" w:line="259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8"/>
                <w:lang w:val="ru-RU" w:eastAsia="ru-RU"/>
              </w:rPr>
              <w:t>Категории доступа пересекаются: одна запись может одновременно предлагать чтение и скачивание, а другая - preview и покупку.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pageBreakBefore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shd w:fill="E8F1F3"/>
          </w:tcPr>
          <w:p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ID и строка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17252A"/>
                <w:sz w:val="17"/>
                <w:lang w:val="ru-RU" w:eastAsia="ru-RU"/>
              </w:rPr>
              <w:t>A13 / 12 / B / 4.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shd w:fill="E8F1F3"/>
          </w:tcPr>
          <w:p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Название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shd w:fill="FAFCFC"/>
          </w:tcPr>
          <w:p>
            <w:r>
              <w:rPr>
                <w:rFonts w:ascii="Noto Sans" w:hAnsi="Noto Sans" w:eastAsia="Noto Sans"/>
                <w:b w:val="0"/>
                <w:i w:val="0"/>
                <w:color w:val="17252A"/>
                <w:sz w:val="17"/>
                <w:lang w:val="ru-RU" w:eastAsia="ru-RU"/>
              </w:rPr>
              <w:t>Вторая храмовая Иудея: Тора, пророческие книги, sectarian/halakhic corpora.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shd w:fill="E8F1F3"/>
          </w:tcPr>
          <w:p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Исходный статус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17252A"/>
                <w:sz w:val="17"/>
                <w:lang w:val="ru-RU" w:eastAsia="ru-RU"/>
              </w:rPr>
              <w:t>B. Статус и границы мастер-строки сохранены.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shd w:fill="E8F1F3"/>
          </w:tcPr>
          <w:p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Исходный DR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shd w:fill="FAFCFC"/>
          </w:tcPr>
          <w:p>
            <w:r>
              <w:rPr>
                <w:rFonts w:ascii="Noto Sans" w:hAnsi="Noto Sans" w:eastAsia="Noto Sans"/>
                <w:b w:val="0"/>
                <w:i w:val="0"/>
                <w:color w:val="17252A"/>
                <w:sz w:val="17"/>
                <w:lang w:val="ru-RU" w:eastAsia="ru-RU"/>
              </w:rPr>
              <w:t>ToS Deep Research_ A13 - Вторая храмовая Иудея.docx.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shd w:fill="E8F1F3"/>
          </w:tcPr>
          <w:p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Дата проверки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17252A"/>
                <w:sz w:val="17"/>
                <w:lang w:val="ru-RU" w:eastAsia="ru-RU"/>
              </w:rPr>
              <w:t>2026-09-03.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shd w:fill="E8F1F3"/>
          </w:tcPr>
          <w:p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Языки поиска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shd w:fill="FAFCFC"/>
          </w:tcPr>
          <w:p>
            <w:r>
              <w:rPr>
                <w:rFonts w:ascii="Noto Sans" w:hAnsi="Noto Sans" w:eastAsia="Noto Sans"/>
                <w:b w:val="0"/>
                <w:i w:val="0"/>
                <w:color w:val="17252A"/>
                <w:sz w:val="17"/>
                <w:lang w:val="ru-RU" w:eastAsia="ru-RU"/>
              </w:rPr>
              <w:t>Русский и английский; оригинальные названия и идентификаторы на древнееврейском, арамейском и греческом; отдельные каталожные запросы по немецким и международным наименованиям.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shd w:fill="E8F1F3"/>
          </w:tcPr>
          <w:p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Ядро корпуса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17252A"/>
                <w:sz w:val="17"/>
                <w:lang w:val="ru-RU" w:eastAsia="ru-RU"/>
              </w:rPr>
              <w:t>Тора/Пятикнижие; Ezra-Nehemiah; пророческий архив; Community Rule; Pesher Habakkuk и pesharim; Temple Scroll; 4QMMT; Mishmarot/календарные тексты; Hodayot; Instruction и Mysteries; 8HevXIIgr.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shd w:fill="E8F1F3"/>
          </w:tcPr>
          <w:p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Искомые объекты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shd w:fill="FAFCFC"/>
          </w:tcPr>
          <w:p>
            <w:r>
              <w:rPr>
                <w:rFonts w:ascii="Noto Sans" w:hAnsi="Noto Sans" w:eastAsia="Noto Sans"/>
                <w:b w:val="0"/>
                <w:i w:val="0"/>
                <w:color w:val="17252A"/>
                <w:sz w:val="17"/>
                <w:lang w:val="ru-RU" w:eastAsia="ru-RU"/>
              </w:rPr>
              <w:t>Произведения, корпусные группы, физические свидетели, переводы и критические издания, цифровые тексты и факсимиле, datasets/API, каталоги и вторичная навигация.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shd w:fill="E8F1F3"/>
          </w:tcPr>
          <w:p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Правовой метод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" w:hAnsi="Noto Sans" w:eastAsia="Noto Sans"/>
                <w:b w:val="0"/>
                <w:i w:val="0"/>
                <w:color w:val="17252A"/>
                <w:sz w:val="17"/>
                <w:lang w:val="ru-RU" w:eastAsia="ru-RU"/>
              </w:rPr>
              <w:t>Раздельная оценка прав на древнее произведение, конкретную редакцию/перевод, цифровой объект и условия платформы.</w:t>
            </w:r>
          </w:p>
        </w:tc>
      </w:tr>
      <w:tr>
        <w:trPr>
          <w:cantSplit/>
        </w:trPr>
        <w:tc>
          <w:tcPr>
            <w:tcW w:type="dxa" w:w="2891"/>
            <w:tcMar>
              <w:top w:w="70" w:type="dxa"/>
              <w:start w:w="80" w:type="dxa"/>
              <w:bottom w:w="70" w:type="dxa"/>
              <w:end w:w="80" w:type="dxa"/>
            </w:tcMar>
            <w:shd w:fill="E8F1F3"/>
          </w:tcPr>
          <w:p>
            <w:r>
              <w:rPr>
                <w:rFonts w:ascii="Noto Sans" w:hAnsi="Noto Sans" w:eastAsia="Noto Sans"/>
                <w:b/>
                <w:i w:val="0"/>
                <w:color w:val="0F4C5C"/>
                <w:sz w:val="17"/>
                <w:lang w:val="ru-RU" w:eastAsia="ru-RU"/>
              </w:rPr>
              <w:t>Формат поставки</w:t>
            </w:r>
          </w:p>
        </w:tc>
        <w:tc>
          <w:tcPr>
            <w:tcW w:type="dxa" w:w="6860"/>
            <w:tcMar>
              <w:top w:w="70" w:type="dxa"/>
              <w:start w:w="80" w:type="dxa"/>
              <w:bottom w:w="70" w:type="dxa"/>
              <w:end w:w="80" w:type="dxa"/>
            </w:tcMar>
            <w:shd w:fill="FAFCFC"/>
          </w:tcPr>
          <w:p>
            <w:r>
              <w:rPr>
                <w:rFonts w:ascii="Noto Sans" w:hAnsi="Noto Sans" w:eastAsia="Noto Sans"/>
                <w:b w:val="0"/>
                <w:i w:val="0"/>
                <w:color w:val="17252A"/>
                <w:sz w:val="17"/>
                <w:lang w:val="ru-RU" w:eastAsia="ru-RU"/>
              </w:rPr>
              <w:t>XLSX-реестр registry + gaps и настоящий человекочитаемый DOCX-отчет.</w:t>
            </w:r>
          </w:p>
        </w:tc>
      </w:tr>
    </w:tbl>
    <w:p>
      <w:pPr>
        <w:spacing w:after="0"/>
      </w:pP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Исходный DR задает A13 как письменную экосистему закона, пророчества, комментария, календаря, общинного устава и полемической экзегезы. Поэтому исследование не ограничивалось «канонической Библией» и не сводило Кумран к одной секте: в карту включены библейские, parabiblical, sapiential, sectarian, exegetical и документальные слои, а также позднейшие каналы сохранения.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Внешний поиск шел концентрическими кругами. Сначала проверялись официальные item-level страницы ключевых свитков и книг, затем альтернативные транскрипции и переводы, после этого - ранние предшественники и поздние линии передачи, комментария и рецепции. Современные защищенные издания не исключались: они внесены как purchase, institutional_access, library_borrow или preview_or_snippet, когда это лучший научный вход.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9E2E"/>
          <w:left w:val="single" w:sz="8" w:space="0" w:color="D69E2E"/>
          <w:bottom w:val="single" w:sz="8" w:space="0" w:color="D69E2E"/>
          <w:right w:val="single" w:sz="8" w:space="0" w:color="D69E2E"/>
          <w:insideH w:val="single" w:sz="8" w:space="0" w:color="D69E2E"/>
          <w:insideV w:val="single" w:sz="8" w:space="0" w:color="D69E2E"/>
        </w:tblBorders>
      </w:tblPr>
      <w:tblGrid>
        <w:gridCol w:w="9978"/>
      </w:tblGrid>
      <w:tr>
        <w:tc>
          <w:tcPr>
            <w:tcW w:type="dxa" w:w="9751"/>
            <w:shd w:fill="FFF8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before="0" w:after="80" w:line="259" w:lineRule="auto"/>
              <w:jc w:val="left"/>
            </w:pPr>
            <w:r>
              <w:rPr>
                <w:rFonts w:ascii="Noto Sans" w:hAnsi="Noto Sans" w:eastAsia="Noto Sans"/>
                <w:b/>
                <w:i w:val="0"/>
                <w:color w:val="D69E2E"/>
                <w:sz w:val="21"/>
                <w:lang w:val="ru-RU" w:eastAsia="ru-RU"/>
              </w:rPr>
              <w:t>Главная методическая граница</w:t>
            </w:r>
          </w:p>
          <w:p>
            <w:pPr>
              <w:spacing w:before="0" w:after="40" w:line="259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8"/>
                <w:lang w:val="ru-RU" w:eastAsia="ru-RU"/>
              </w:rPr>
              <w:t>Древность исходного текста не делает свободными современную реконструкцию, перевод, аппарат, фотографию, OCR или TEI-разметку.</w:t>
            </w:r>
          </w:p>
          <w:p>
            <w:pPr>
              <w:spacing w:before="0" w:after="40" w:line="259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8"/>
                <w:lang w:val="ru-RU" w:eastAsia="ru-RU"/>
              </w:rPr>
              <w:t>Фрагмент или один свидетель не объявлялся полным доступом ко всему произведению или корпусу.</w:t>
            </w:r>
          </w:p>
          <w:p>
            <w:pPr>
              <w:spacing w:before="0" w:after="40" w:line="259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8"/>
                <w:lang w:val="ru-RU" w:eastAsia="ru-RU"/>
              </w:rPr>
              <w:t>Положительные теги tos_use ограничены полями rights_scope и coverage.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2. Охват корпуса</w:t>
      </w: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2.1. Ядро, извлеченное из исходного DR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Центр исследования составили четыре взаимосвязанных поля: 1) Тора и пророческие книги как нормативный и интерпретируемый архив; 2) постэкзильная модель общины в Ezra-Nehemiah; 3) кумранские уставные, галахические, календарные, гимнические, мудростные и pesher-тексты; 4) материальная и многоязычная передача через конкретные свитки Иудейской пустыни.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Поле</w:t>
            </w:r>
          </w:p>
        </w:tc>
        <w:tc>
          <w:tcPr>
            <w:tcW w:type="dxa" w:w="5556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Включенные объекты</w:t>
            </w:r>
          </w:p>
        </w:tc>
        <w:tc>
          <w:tcPr>
            <w:tcW w:type="dxa" w:w="1814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Роль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Нормативное ядро</w:t>
            </w:r>
          </w:p>
        </w:tc>
        <w:tc>
          <w:tcPr>
            <w:tcW w:type="dxa" w:w="55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Тора/Пятикнижие; Ezra; Nehemiah; Isaiah и Jeremiah; WLC/OSHB/BHSA; Sefaria и JPS 1917.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core</w:t>
            </w:r>
          </w:p>
        </w:tc>
      </w:tr>
      <w:tr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Устав и община</w:t>
            </w:r>
          </w:p>
        </w:tc>
        <w:tc>
          <w:tcPr>
            <w:tcW w:type="dxa" w:w="5556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Community Rule (1QS/1Q28), связанные rule-texts, Rule of the Congregation, Damascus Document.</w:t>
            </w:r>
          </w:p>
        </w:tc>
        <w:tc>
          <w:tcPr>
            <w:tcW w:type="dxa" w:w="181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core / same_corpus_or_tradition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Галаха и Храм</w:t>
            </w:r>
          </w:p>
        </w:tc>
        <w:tc>
          <w:tcPr>
            <w:tcW w:type="dxa" w:w="55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4QMMT, Temple Scroll, Mishmarot/calendrical manuscripts, поздняя Mishnah Middot/Yadayim как прямой handoff.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core / continuation</w:t>
            </w:r>
          </w:p>
        </w:tc>
      </w:tr>
      <w:tr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Комментарий и пророчество</w:t>
            </w:r>
          </w:p>
        </w:tc>
        <w:tc>
          <w:tcPr>
            <w:tcW w:type="dxa" w:w="5556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Pesher Habakkuk, pesharim как жанр, Greek Twelve Minor Prophets from Nahal Hever.</w:t>
            </w:r>
          </w:p>
        </w:tc>
        <w:tc>
          <w:tcPr>
            <w:tcW w:type="dxa" w:w="181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core / transmission_or_preservation</w:t>
            </w:r>
          </w:p>
        </w:tc>
      </w:tr>
      <w:tr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Гимн, мудрость, апокалиптика</w:t>
            </w:r>
          </w:p>
        </w:tc>
        <w:tc>
          <w:tcPr>
            <w:tcW w:type="dxa" w:w="555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Hodayot, Instruction, Mysteries, Songs of the Sabbath Sacrifice, Jubilees, 1 Enoch и родственные произведения.</w:t>
            </w:r>
          </w:p>
        </w:tc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core / same_corpus_or_tradition</w:t>
            </w:r>
          </w:p>
        </w:tc>
      </w:tr>
      <w:tr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Материальная сохранность</w:t>
            </w:r>
          </w:p>
        </w:tc>
        <w:tc>
          <w:tcPr>
            <w:tcW w:type="dxa" w:w="5556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Официальные IAA/Israel Museum facsimiles, CUDL witnesses, En-Gedi virtual unwrapping, Aleppo Codex, Ktiv.</w:t>
            </w:r>
          </w:p>
        </w:tc>
        <w:tc>
          <w:tcPr>
            <w:tcW w:type="dxa" w:w="181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physical_witness / infrastructure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2.2. Объекты, добавленные веб-поиском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Веб-поиск существенно расширил исходную карту. Помимо официальных свитков IAA и пяти крупных факсимиле Israel Museum, найдены машиночитаемые транскрипции ETCBC, Open Dead Sea, Scripta Qumranica Electronica, открытая Qimron composite edition, подписные электронные библиотеки Brill и серия Discoveries in the Judaean Desert. Для библейского слоя добавлены Public Domain и открыто лицензированные Hebrew Bible datasets, публичнодоменные переводы JPS 1917 и Brenton, современная NETS, Swete CC BY-SA, Rahlfs-Hanhart и Göttingen Septuagint.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В хронологический ореол вошли Samaritan Pentateuch, Nash Papyrus, Ketef Hinnom, Elephantine Passover Letter, Cairo Genizah witnesses of the Damascus Document, Hebrew Ben Sira fragments, En-Gedi Leviticus scroll, Aleppo Codex, Mishnah и Targums. Для поздневторохрамной и пост-70 рецепции добавлены Josephus, 4 Ezra, 2 Baruch и машиночитаемый Online Critical Pseudepigrapha.</w:t>
      </w: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2.3. Открытый хронологический контур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57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Контур</w:t>
            </w:r>
          </w:p>
        </w:tc>
        <w:tc>
          <w:tcPr>
            <w:tcW w:type="dxa" w:w="3402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Объекты</w:t>
            </w:r>
          </w:p>
        </w:tc>
        <w:tc>
          <w:tcPr>
            <w:tcW w:type="dxa" w:w="4592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Конкретная связь с A13</w:t>
            </w:r>
          </w:p>
        </w:tc>
      </w:tr>
      <w:t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Поиск назад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Ketef Hinnom amulets; Elephantine Passover Letter; ранний Torah/prophetic archive; Samaritan Pentateuchal tradition; Nash Papyrus.</w:t>
            </w:r>
          </w:p>
        </w:tc>
        <w:tc>
          <w:tcPr>
            <w:tcW w:type="dxa" w:w="459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Передают до- и раннепостэкзильные формулы, имперско-арамейскую документальность, варианты Пятикнижия и ранние библейские чтения, на которые опирается или с которыми соотносится A13.</w:t>
            </w:r>
          </w:p>
        </w:tc>
      </w:tr>
      <w:tr>
        <w:tc>
          <w:tcPr>
            <w:tcW w:type="dxa" w:w="1757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Ядро строки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Torah, Prophets, Ezra-Nehemiah, Community Rule, 4QMMT, Temple Scroll, pesharim, Mishmarot, Hodayot, Instruction/Mysteries, 8HevXIIgr.</w:t>
            </w:r>
          </w:p>
        </w:tc>
        <w:tc>
          <w:tcPr>
            <w:tcW w:type="dxa" w:w="459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Нормативность Завета, община через текст, храм и чистота, календарь как космический порядок, историзирующая герменевтика и текстовая множественность.</w:t>
            </w:r>
          </w:p>
        </w:tc>
      </w:tr>
      <w:t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Поиск вперед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Mishnah Middot/Yadayim; Targum Onkelos/Jonathan; Josephus; 4 Ezra; 2 Baruch; En-Gedi and Aleppo witnesses; OCP editions.</w:t>
            </w:r>
          </w:p>
        </w:tc>
        <w:tc>
          <w:tcPr>
            <w:tcW w:type="dxa" w:w="459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Показывают институциональное продолжение галахи, переводческую и комментаторскую передачу, рецепцию Второго храма, апокалиптический afterlife и позднюю сохранность библейского текста.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2.4. Релевантность и количественный итог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35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Показатель</w:t>
            </w:r>
          </w:p>
        </w:tc>
        <w:tc>
          <w:tcPr>
            <w:tcW w:type="dxa" w:w="1701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Объем</w:t>
            </w:r>
          </w:p>
        </w:tc>
        <w:tc>
          <w:tcPr>
            <w:tcW w:type="dxa" w:w="5216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Как интерпретировать</w:t>
            </w:r>
          </w:p>
        </w:tc>
      </w:tr>
      <w:t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Всего способов доступа</w:t>
            </w:r>
          </w:p>
        </w:tc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112</w:t>
            </w:r>
          </w:p>
        </w:tc>
        <w:tc>
          <w:tcPr>
            <w:tcW w:type="dxa" w:w="52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Каждая строка реестра - практически отличимый маршрут.</w:t>
            </w:r>
          </w:p>
        </w:tc>
      </w:tr>
      <w:tr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Именованные первичные объекты</w:t>
            </w:r>
          </w:p>
        </w:tc>
        <w:tc>
          <w:tcPr>
            <w:tcW w:type="dxa" w:w="170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около 85</w:t>
            </w:r>
          </w:p>
        </w:tc>
        <w:tc>
          <w:tcPr>
            <w:tcW w:type="dxa" w:w="5216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Произведения, witness-группы, переводы и издания; не включает 11 инфраструктурных/навигационных строк.</w:t>
            </w:r>
          </w:p>
        </w:tc>
      </w:tr>
      <w:t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Репозитории и проекты</w:t>
            </w:r>
          </w:p>
        </w:tc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37</w:t>
            </w:r>
          </w:p>
        </w:tc>
        <w:tc>
          <w:tcPr>
            <w:tcW w:type="dxa" w:w="52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Официальные архивы, библиотеки, издатели, open repositories и scholarly platforms.</w:t>
            </w:r>
          </w:p>
        </w:tc>
      </w:tr>
      <w:tr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core</w:t>
            </w:r>
          </w:p>
        </w:tc>
        <w:tc>
          <w:tcPr>
            <w:tcW w:type="dxa" w:w="170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40 путей</w:t>
            </w:r>
          </w:p>
        </w:tc>
        <w:tc>
          <w:tcPr>
            <w:tcW w:type="dxa" w:w="5216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31 различимый заголовок/семейство ядра представлено несколькими свидетелями и версиями.</w:t>
            </w:r>
          </w:p>
        </w:tc>
      </w:tr>
      <w:t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same_corpus_or_tradition</w:t>
            </w:r>
          </w:p>
        </w:tc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20 путей</w:t>
            </w:r>
          </w:p>
        </w:tc>
        <w:tc>
          <w:tcPr>
            <w:tcW w:type="dxa" w:w="52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Прямые corpus relatives, rule/parabiblical/apocalyptic/sapiential материалы.</w:t>
            </w:r>
          </w:p>
        </w:tc>
      </w:tr>
      <w:tr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antecedent</w:t>
            </w:r>
          </w:p>
        </w:tc>
        <w:tc>
          <w:tcPr>
            <w:tcW w:type="dxa" w:w="170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3 пути</w:t>
            </w:r>
          </w:p>
        </w:tc>
        <w:tc>
          <w:tcPr>
            <w:tcW w:type="dxa" w:w="5216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Ранние или входящие источники и документальные предпосылки.</w:t>
            </w:r>
          </w:p>
        </w:tc>
      </w:tr>
      <w:t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transmission_or_preservation</w:t>
            </w:r>
          </w:p>
        </w:tc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19 путей</w:t>
            </w:r>
          </w:p>
        </w:tc>
        <w:tc>
          <w:tcPr>
            <w:tcW w:type="dxa" w:w="52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Переводы, поздние witnesses, компиляции и линии сохранения.</w:t>
            </w:r>
          </w:p>
        </w:tc>
      </w:tr>
      <w:tr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continuation</w:t>
            </w:r>
          </w:p>
        </w:tc>
        <w:tc>
          <w:tcPr>
            <w:tcW w:type="dxa" w:w="170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4 пути</w:t>
            </w:r>
          </w:p>
        </w:tc>
        <w:tc>
          <w:tcPr>
            <w:tcW w:type="dxa" w:w="5216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Раввинистический и апокалиптический handoff после ядра.</w:t>
            </w:r>
          </w:p>
        </w:tc>
      </w:tr>
      <w:t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commentary_or_reception</w:t>
            </w:r>
          </w:p>
        </w:tc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7 путей</w:t>
            </w:r>
          </w:p>
        </w:tc>
        <w:tc>
          <w:tcPr>
            <w:tcW w:type="dxa" w:w="52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Josephus и связанные рецепционные тексты.</w:t>
            </w:r>
          </w:p>
        </w:tc>
      </w:tr>
      <w:tr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boundary</w:t>
            </w:r>
          </w:p>
        </w:tc>
        <w:tc>
          <w:tcPr>
            <w:tcW w:type="dxa" w:w="170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2 пути</w:t>
            </w:r>
          </w:p>
        </w:tc>
        <w:tc>
          <w:tcPr>
            <w:tcW w:type="dxa" w:w="5216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Два Hebrew Ben Sira witnesses на границе A12 wisdom и A13 scripturality.</w:t>
            </w:r>
          </w:p>
        </w:tc>
      </w:tr>
      <w:tr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supporting / infrastructure / navigation</w:t>
            </w:r>
          </w:p>
        </w:tc>
        <w:tc>
          <w:tcPr>
            <w:tcW w:type="dxa" w:w="170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6 / 10 / 1</w:t>
            </w:r>
          </w:p>
        </w:tc>
        <w:tc>
          <w:tcPr>
            <w:tcW w:type="dxa" w:w="52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Вспомогательные witnesses, цифровые корпуса и одна навигационная страница.</w:t>
            </w:r>
          </w:p>
        </w:tc>
      </w:tr>
    </w:tbl>
    <w:p>
      <w:pPr>
        <w:spacing w:after="0"/>
      </w:pP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Категория boundary намеренно не раздута: Ben Sira включен потому, что его еврейские рукописные свидетели непосредственно стоят между левантийской мудростной книжностью и второхрамной средой scripturality. Masada отмечена как важный boundary-кандидат на листе gaps, но не выдана за завершенный item-level корпус.</w:t>
      </w:r>
    </w:p>
    <w:p>
      <w:pPr>
        <w:pStyle w:val="Heading1"/>
        <w:keepNext/>
        <w:pageBreakBefore w:val="0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3. Лучшие пути доступа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Ниже названы наиболее сильные маршруты, а не все 112 строк. Полные URL, rights statements, stable identifiers и ограничения находятся в XLSX.</w:t>
      </w: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3.1. Свитки Мертвого моря как материальный корпус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928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Задача</w:t>
            </w:r>
          </w:p>
        </w:tc>
        <w:tc>
          <w:tcPr>
            <w:tcW w:type="dxa" w:w="2494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Лучший вход</w:t>
            </w:r>
          </w:p>
        </w:tc>
        <w:tc>
          <w:tcPr>
            <w:tcW w:type="dxa" w:w="2948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Что дает</w:t>
            </w:r>
          </w:p>
        </w:tc>
        <w:tc>
          <w:tcPr>
            <w:tcW w:type="dxa" w:w="2381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Правовой режим</w:t>
            </w:r>
          </w:p>
        </w:tc>
      </w:tr>
      <w:tr>
        <w:tc>
          <w:tcPr>
            <w:tcW w:type="dxa" w:w="192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Общий официальный вход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11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IAA Leon Levy Digital Library</w:t>
              </w:r>
            </w:hyperlink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Лучший официальный поиск по sigla, cave, language и manuscript image; высокое качество изображений.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Читать и исследовать можно; повторное размещение изображений не разрешено без отдельного согласия.</w:t>
            </w:r>
          </w:p>
        </w:tc>
      </w:tr>
      <w:tr>
        <w:tc>
          <w:tcPr>
            <w:tcW w:type="dxa" w:w="192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Крупные факсимиле</w:t>
            </w:r>
          </w:p>
        </w:tc>
        <w:tc>
          <w:tcPr>
            <w:tcW w:type="dxa" w:w="249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12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Great Isaiah Scroll</w:t>
              </w:r>
            </w:hyperlink>
          </w:p>
          <w:p>
            <w:pPr>
              <w:spacing w:before="0" w:after="0" w:line="245" w:lineRule="auto"/>
            </w:pPr>
            <w:hyperlink r:id="rId13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Temple Scroll</w:t>
              </w:r>
            </w:hyperlink>
          </w:p>
          <w:p>
            <w:pPr>
              <w:spacing w:before="0" w:after="0" w:line="245" w:lineRule="auto"/>
            </w:pPr>
            <w:hyperlink r:id="rId14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Community Rule</w:t>
              </w:r>
            </w:hyperlink>
          </w:p>
          <w:p>
            <w:pPr>
              <w:spacing w:before="0" w:after="0" w:line="245" w:lineRule="auto"/>
            </w:pPr>
            <w:hyperlink r:id="rId15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Pesher Habakkuk</w:t>
              </w:r>
            </w:hyperlink>
          </w:p>
        </w:tc>
        <w:tc>
          <w:tcPr>
            <w:tcW w:type="dxa" w:w="294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Лучшие визуальные viewers для нескольких якорных свитков.</w:t>
            </w:r>
          </w:p>
        </w:tc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Israel Museum: all rights reserved; link-only для публичного ToS.</w:t>
            </w:r>
          </w:p>
        </w:tc>
      </w:tr>
      <w:tr>
        <w:tc>
          <w:tcPr>
            <w:tcW w:type="dxa" w:w="192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Цифровое сопоставление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16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Scripta Qumranica Electronica</w:t>
              </w:r>
            </w:hyperlink>
          </w:p>
        </w:tc>
        <w:tc>
          <w:tcPr>
            <w:tcW w:type="dxa" w:w="294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Связывает fragments, readings и scholarly tooling; полезно как infrastructure.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Компонентная лицензия не установлена: RIGHTS_REVIEW_REQUIRED.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3.2. Устав, pesher, галаха, календарь и мудрость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57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Объект</w:t>
            </w:r>
          </w:p>
        </w:tc>
        <w:tc>
          <w:tcPr>
            <w:tcW w:type="dxa" w:w="2835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Бесплатный оригинал / чтение</w:t>
            </w:r>
          </w:p>
        </w:tc>
        <w:tc>
          <w:tcPr>
            <w:tcW w:type="dxa" w:w="2438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Лучший научный вариант</w:t>
            </w:r>
          </w:p>
        </w:tc>
        <w:tc>
          <w:tcPr>
            <w:tcW w:type="dxa" w:w="2721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Практическая оговорка</w:t>
            </w:r>
          </w:p>
        </w:tc>
      </w:tr>
      <w:t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Community Rule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17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IAA 1QS</w:t>
              </w:r>
            </w:hyperlink>
          </w:p>
          <w:p>
            <w:pPr>
              <w:spacing w:before="0" w:after="0" w:line="245" w:lineRule="auto"/>
            </w:pPr>
            <w:hyperlink r:id="rId14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Israel Museum facsimile</w:t>
              </w:r>
            </w:hyperlink>
          </w:p>
          <w:p>
            <w:pPr>
              <w:spacing w:before="0" w:after="0" w:line="245" w:lineRule="auto"/>
            </w:pPr>
            <w:hyperlink r:id="rId18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Open Dead Sea text</w:t>
              </w:r>
            </w:hyperlink>
          </w:p>
        </w:tc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19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DJD XXVI (OUP)</w:t>
              </w:r>
            </w:hyperlink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Факсимиле защищены; Open Dead Sea source transcription - CC BY-NC, machine English/interface требуют проверки.</w:t>
            </w:r>
          </w:p>
        </w:tc>
      </w:tr>
      <w:tr>
        <w:tc>
          <w:tcPr>
            <w:tcW w:type="dxa" w:w="1757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Pesher Habakkuk</w:t>
            </w:r>
          </w:p>
        </w:tc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15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Israel Museum facsimile</w:t>
              </w:r>
            </w:hyperlink>
          </w:p>
        </w:tc>
        <w:tc>
          <w:tcPr>
            <w:tcW w:type="dxa" w:w="243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Критические DJD/Brill routes см. registry; систематический pesharim corpus остается gap.</w:t>
            </w:r>
          </w:p>
        </w:tc>
        <w:tc>
          <w:tcPr>
            <w:tcW w:type="dxa" w:w="272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Бесплатный просмотр не равен праву зеркалирования.</w:t>
            </w:r>
          </w:p>
        </w:tc>
      </w:tr>
      <w:t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Temple Scroll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20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IAA 11Q20</w:t>
              </w:r>
            </w:hyperlink>
          </w:p>
          <w:p>
            <w:pPr>
              <w:spacing w:before="0" w:after="0" w:line="245" w:lineRule="auto"/>
            </w:pPr>
            <w:hyperlink r:id="rId21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IAA 11Q21</w:t>
              </w:r>
            </w:hyperlink>
          </w:p>
          <w:p>
            <w:pPr>
              <w:spacing w:before="0" w:after="0" w:line="245" w:lineRule="auto"/>
            </w:pPr>
            <w:hyperlink r:id="rId13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Israel Museum</w:t>
              </w:r>
            </w:hyperlink>
          </w:p>
        </w:tc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Лучшее научное чтение - DJD/Brill и специализированные издания; доступ защищенный.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OWN_TRANSLATION_POSSIBLE только в пределах читаемого факсимиле, без права копировать изображения.</w:t>
            </w:r>
          </w:p>
        </w:tc>
      </w:tr>
      <w:tr>
        <w:tc>
          <w:tcPr>
            <w:tcW w:type="dxa" w:w="1757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4QMMT</w:t>
            </w:r>
          </w:p>
        </w:tc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22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IAA 4Q399</w:t>
              </w:r>
            </w:hyperlink>
          </w:p>
          <w:p>
            <w:pPr>
              <w:spacing w:before="0" w:after="0" w:line="245" w:lineRule="auto"/>
            </w:pPr>
            <w:hyperlink r:id="rId23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IAA 4Q395</w:t>
              </w:r>
            </w:hyperlink>
          </w:p>
        </w:tc>
        <w:tc>
          <w:tcPr>
            <w:tcW w:type="dxa" w:w="243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24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DJD X critical edition</w:t>
              </w:r>
            </w:hyperlink>
          </w:p>
        </w:tc>
        <w:tc>
          <w:tcPr>
            <w:tcW w:type="dxa" w:w="272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Древние fragments свободны как произведение, но реконструкция и аппарат DJD защищены.</w:t>
            </w:r>
          </w:p>
        </w:tc>
      </w:tr>
      <w:tr>
        <w:tc>
          <w:tcPr>
            <w:tcW w:type="dxa" w:w="175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Mishmarot / calendrical texts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25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4Q320</w:t>
              </w:r>
            </w:hyperlink>
          </w:p>
          <w:p>
            <w:pPr>
              <w:spacing w:before="0" w:after="0" w:line="245" w:lineRule="auto"/>
            </w:pPr>
            <w:hyperlink r:id="rId26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4Q321</w:t>
              </w:r>
            </w:hyperlink>
          </w:p>
          <w:p>
            <w:pPr>
              <w:spacing w:before="0" w:after="0" w:line="245" w:lineRule="auto"/>
            </w:pPr>
            <w:hyperlink r:id="rId27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4Q325</w:t>
              </w:r>
            </w:hyperlink>
          </w:p>
        </w:tc>
        <w:tc>
          <w:tcPr>
            <w:tcW w:type="dxa" w:w="243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28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DJD XXI</w:t>
              </w:r>
            </w:hyperlink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Официальные witnesses доступны, но полного открытого machine-readable calendrical corpus пока нет.</w:t>
            </w:r>
          </w:p>
        </w:tc>
      </w:tr>
      <w:tr>
        <w:tc>
          <w:tcPr>
            <w:tcW w:type="dxa" w:w="1757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Hodayot / Instruction / Mysteries</w:t>
            </w:r>
          </w:p>
        </w:tc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29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IAA Hodayot</w:t>
              </w:r>
            </w:hyperlink>
          </w:p>
          <w:p>
            <w:pPr>
              <w:spacing w:before="0" w:after="0" w:line="245" w:lineRule="auto"/>
            </w:pPr>
            <w:hyperlink r:id="rId30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IAA Instruction</w:t>
              </w:r>
            </w:hyperlink>
          </w:p>
          <w:p>
            <w:pPr>
              <w:spacing w:before="0" w:after="0" w:line="245" w:lineRule="auto"/>
            </w:pPr>
            <w:hyperlink r:id="rId31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IAA Mysteries</w:t>
              </w:r>
            </w:hyperlink>
          </w:p>
        </w:tc>
        <w:tc>
          <w:tcPr>
            <w:tcW w:type="dxa" w:w="243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32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DJD Instruction</w:t>
              </w:r>
            </w:hyperlink>
          </w:p>
          <w:p>
            <w:pPr>
              <w:spacing w:before="0" w:after="0" w:line="245" w:lineRule="auto"/>
            </w:pPr>
            <w:hyperlink r:id="rId33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DJD Hodayot</w:t>
              </w:r>
            </w:hyperlink>
          </w:p>
        </w:tc>
        <w:tc>
          <w:tcPr>
            <w:tcW w:type="dxa" w:w="272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Для свободного full text полезны composite/open corpora; для цитирования reading предпочитаются критические издания.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3.3. Машиночитаемый кумранский слой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814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Ресурс</w:t>
            </w:r>
          </w:p>
        </w:tc>
        <w:tc>
          <w:tcPr>
            <w:tcW w:type="dxa" w:w="2494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Доступ</w:t>
            </w:r>
          </w:p>
        </w:tc>
        <w:tc>
          <w:tcPr>
            <w:tcW w:type="dxa" w:w="2891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Сильная сторона</w:t>
            </w:r>
          </w:p>
        </w:tc>
        <w:tc>
          <w:tcPr>
            <w:tcW w:type="dxa" w:w="2551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Лицензия / ToS</w:t>
            </w:r>
          </w:p>
        </w:tc>
      </w:tr>
      <w:t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ETCBC/dss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34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GitHub repository</w:t>
              </w:r>
            </w:hyperlink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Структурированные транскрипции и Text-Fabric-oriented data.</w:t>
            </w:r>
          </w:p>
        </w:tc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CC BY-NC 4.0: attribution + noncommercial; images and external editions excluded.</w:t>
            </w:r>
          </w:p>
        </w:tc>
      </w:tr>
      <w:tr>
        <w:tc>
          <w:tcPr>
            <w:tcW w:type="dxa" w:w="181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Open Dead Sea</w:t>
            </w:r>
          </w:p>
        </w:tc>
        <w:tc>
          <w:tcPr>
            <w:tcW w:type="dxa" w:w="249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35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Catalog</w:t>
              </w:r>
            </w:hyperlink>
          </w:p>
        </w:tc>
        <w:tc>
          <w:tcPr>
            <w:tcW w:type="dxa" w:w="289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Удобное чтение, alignment и machine English для части материала.</w:t>
            </w:r>
          </w:p>
        </w:tc>
        <w:tc>
          <w:tcPr>
            <w:tcW w:type="dxa" w:w="255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Только идентифицированный source transcription layer унаследован как CC BY-NC; остальное review_required.</w:t>
            </w:r>
          </w:p>
        </w:tc>
      </w:tr>
      <w:t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Qimron composite edition</w:t>
            </w:r>
          </w:p>
        </w:tc>
        <w:tc>
          <w:tcPr>
            <w:tcW w:type="dxa" w:w="249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36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Zenodo deposit</w:t>
              </w:r>
            </w:hyperlink>
          </w:p>
        </w:tc>
        <w:tc>
          <w:tcPr>
            <w:tcW w:type="dxa" w:w="289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Один из сильнейших бесплатных практических входов в Hebrew composite text.</w:t>
            </w:r>
          </w:p>
        </w:tc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Лицензия item-level не подтверждена достаточно прямо; не зеркалировать автоматически.</w:t>
            </w:r>
          </w:p>
        </w:tc>
      </w:tr>
      <w:tr>
        <w:tc>
          <w:tcPr>
            <w:tcW w:type="dxa" w:w="181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Brill DSEL</w:t>
            </w:r>
          </w:p>
        </w:tc>
        <w:tc>
          <w:tcPr>
            <w:tcW w:type="dxa" w:w="249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37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Biblical</w:t>
              </w:r>
            </w:hyperlink>
          </w:p>
          <w:p>
            <w:pPr>
              <w:spacing w:before="0" w:after="0" w:line="245" w:lineRule="auto"/>
            </w:pPr>
            <w:hyperlink r:id="rId38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Non-Biblical</w:t>
              </w:r>
            </w:hyperlink>
          </w:p>
        </w:tc>
        <w:tc>
          <w:tcPr>
            <w:tcW w:type="dxa" w:w="289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Наиболее полный подписной digital scholarly environment.</w:t>
            </w:r>
          </w:p>
        </w:tc>
        <w:tc>
          <w:tcPr>
            <w:tcW w:type="dxa" w:w="255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Institutional access; in copyright; link/purchase route.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3.4. Тора, Ezra-Nehemiah и пророки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814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Задача</w:t>
            </w:r>
          </w:p>
        </w:tc>
        <w:tc>
          <w:tcPr>
            <w:tcW w:type="dxa" w:w="2721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Лучший вход</w:t>
            </w:r>
          </w:p>
        </w:tc>
        <w:tc>
          <w:tcPr>
            <w:tcW w:type="dxa" w:w="2835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Почему выбран</w:t>
            </w:r>
          </w:p>
        </w:tc>
        <w:tc>
          <w:tcPr>
            <w:tcW w:type="dxa" w:w="2381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Права и использование</w:t>
            </w:r>
          </w:p>
        </w:tc>
      </w:tr>
      <w:t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Оригинальный Hebrew text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39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WLC / eBible (PD)</w:t>
              </w:r>
            </w:hyperlink>
          </w:p>
          <w:p>
            <w:pPr>
              <w:spacing w:before="0" w:after="0" w:line="245" w:lineRule="auto"/>
            </w:pPr>
            <w:hyperlink r:id="rId40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OSHB (PD + CC BY 4.0)</w:t>
              </w:r>
            </w:hyperlink>
          </w:p>
          <w:p>
            <w:pPr>
              <w:spacing w:before="0" w:after="0" w:line="245" w:lineRule="auto"/>
            </w:pPr>
            <w:hyperlink r:id="rId41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BHSA (CC BY-NC 4.0)</w:t>
              </w:r>
            </w:hyperlink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WLC - наиболее чистый публичнодоменный слой; OSHB добавляет открытую morphology; BHSA богаче лингвистически, но NC.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Лучшие основы для собственного перевода ToS и full-text indexing; объем всегда ограничен конкретной редакцией/data layer.</w:t>
            </w:r>
          </w:p>
        </w:tc>
      </w:tr>
      <w:tr>
        <w:tc>
          <w:tcPr>
            <w:tcW w:type="dxa" w:w="181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Бесплатное параллельное чтение</w:t>
            </w:r>
          </w:p>
        </w:tc>
        <w:tc>
          <w:tcPr>
            <w:tcW w:type="dxa" w:w="272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42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Torah / Sefaria</w:t>
              </w:r>
            </w:hyperlink>
          </w:p>
          <w:p>
            <w:pPr>
              <w:spacing w:before="0" w:after="0" w:line="245" w:lineRule="auto"/>
            </w:pPr>
            <w:hyperlink r:id="rId43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Ezra</w:t>
              </w:r>
            </w:hyperlink>
          </w:p>
          <w:p>
            <w:pPr>
              <w:spacing w:before="0" w:after="0" w:line="245" w:lineRule="auto"/>
            </w:pPr>
            <w:hyperlink r:id="rId44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Nehemiah</w:t>
              </w:r>
            </w:hyperlink>
          </w:p>
          <w:p>
            <w:pPr>
              <w:spacing w:before="0" w:after="0" w:line="245" w:lineRule="auto"/>
            </w:pPr>
            <w:hyperlink r:id="rId45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Isaiah</w:t>
              </w:r>
            </w:hyperlink>
          </w:p>
        </w:tc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Hebrew + JPS 1917 и version-aware навигация.</w:t>
            </w:r>
          </w:p>
        </w:tc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Повторное использование только после проверки выбранной version license; JPS 1917 public domain.</w:t>
            </w:r>
          </w:p>
        </w:tc>
      </w:tr>
      <w:t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Старый английский перевод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46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JPS 1917</w:t>
              </w:r>
            </w:hyperlink>
          </w:p>
          <w:p>
            <w:pPr>
              <w:spacing w:before="0" w:after="0" w:line="245" w:lineRule="auto"/>
            </w:pPr>
            <w:hyperlink r:id="rId47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Wikisource</w:t>
              </w:r>
            </w:hyperlink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Полный публичнодоменный Tanakh в историческом английском.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MIRROR_OK для underlying translation; отдельно сохранять Wikimedia notices для page contributions.</w:t>
            </w:r>
          </w:p>
        </w:tc>
      </w:tr>
      <w:tr>
        <w:tc>
          <w:tcPr>
            <w:tcW w:type="dxa" w:w="181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Русский перевод</w:t>
            </w:r>
          </w:p>
        </w:tc>
        <w:tc>
          <w:tcPr>
            <w:tcW w:type="dxa" w:w="272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48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Синодальный перевод / Викитека</w:t>
              </w:r>
            </w:hyperlink>
          </w:p>
        </w:tc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Полный публичнодоменный русский библейский слой.</w:t>
            </w:r>
          </w:p>
        </w:tc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Полезен как old translation, но не заменяет перевод с Hebrew/Greek witnesses.</w:t>
            </w:r>
          </w:p>
        </w:tc>
      </w:tr>
      <w:tr>
        <w:tc>
          <w:tcPr>
            <w:tcW w:type="dxa" w:w="181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Современная критика</w:t>
            </w:r>
          </w:p>
        </w:tc>
        <w:tc>
          <w:tcPr>
            <w:tcW w:type="dxa" w:w="272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49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BHS / BHQ</w:t>
              </w:r>
            </w:hyperlink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Лучший современный печатный/лицензионный scholarly route для Masoretic base.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In copyright; purchase/institutional access; no mirroring.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3.5. Греческая библейская передача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871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Задача</w:t>
            </w:r>
          </w:p>
        </w:tc>
        <w:tc>
          <w:tcPr>
            <w:tcW w:type="dxa" w:w="2551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Бесплатный вход</w:t>
            </w:r>
          </w:p>
        </w:tc>
        <w:tc>
          <w:tcPr>
            <w:tcW w:type="dxa" w:w="3005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Лучший научный слой</w:t>
            </w:r>
          </w:p>
        </w:tc>
        <w:tc>
          <w:tcPr>
            <w:tcW w:type="dxa" w:w="2324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Ограничение</w:t>
            </w:r>
          </w:p>
        </w:tc>
      </w:tr>
      <w:tr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Древний Jewish-Greek witness</w:t>
            </w:r>
          </w:p>
        </w:tc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50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IAA 8HevXIIgr</w:t>
              </w:r>
            </w:hyperlink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51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DJD VIII</w:t>
              </w:r>
            </w:hyperlink>
          </w:p>
        </w:tc>
        <w:tc>
          <w:tcPr>
            <w:tcW w:type="dxa" w:w="23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Факсимиле link-only; критическое издание purchase/institutional.</w:t>
            </w:r>
          </w:p>
        </w:tc>
      </w:tr>
      <w:tr>
        <w:tc>
          <w:tcPr>
            <w:tcW w:type="dxa" w:w="187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Public Domain English</w:t>
            </w:r>
          </w:p>
        </w:tc>
        <w:tc>
          <w:tcPr>
            <w:tcW w:type="dxa" w:w="255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52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Brenton</w:t>
              </w:r>
            </w:hyperlink>
          </w:p>
          <w:p>
            <w:pPr>
              <w:spacing w:before="0" w:after="0" w:line="245" w:lineRule="auto"/>
            </w:pPr>
            <w:hyperlink r:id="rId53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Updated Brenton / CC0</w:t>
              </w:r>
            </w:hyperlink>
          </w:p>
        </w:tc>
        <w:tc>
          <w:tcPr>
            <w:tcW w:type="dxa" w:w="300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Бесплатное чтение и скачивание в нескольких форматах.</w:t>
            </w:r>
          </w:p>
        </w:tc>
        <w:tc>
          <w:tcPr>
            <w:tcW w:type="dxa" w:w="232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Наиболее свободный английский переводной слой.</w:t>
            </w:r>
          </w:p>
        </w:tc>
      </w:tr>
      <w:tr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Современный English scholarly</w:t>
            </w:r>
          </w:p>
        </w:tc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54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NETS</w:t>
              </w:r>
            </w:hyperlink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Современная научная NETS целиком доступна для личного scholarly use.</w:t>
            </w:r>
          </w:p>
        </w:tc>
        <w:tc>
          <w:tcPr>
            <w:tcW w:type="dxa" w:w="23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Не считать свободной для общего перераспространения.</w:t>
            </w:r>
          </w:p>
        </w:tc>
      </w:tr>
      <w:tr>
        <w:tc>
          <w:tcPr>
            <w:tcW w:type="dxa" w:w="187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Greek machine-readable</w:t>
            </w:r>
          </w:p>
        </w:tc>
        <w:tc>
          <w:tcPr>
            <w:tcW w:type="dxa" w:w="255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55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Swete GitHub</w:t>
              </w:r>
            </w:hyperlink>
          </w:p>
        </w:tc>
        <w:tc>
          <w:tcPr>
            <w:tcW w:type="dxa" w:w="300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Greek text and annotations; удобен для search, alignment и translation experiments.</w:t>
            </w:r>
          </w:p>
        </w:tc>
        <w:tc>
          <w:tcPr>
            <w:tcW w:type="dxa" w:w="232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CC BY-SA 4.0; code MIT; attribution and ShareAlike.</w:t>
            </w:r>
          </w:p>
        </w:tc>
      </w:tr>
      <w:tr>
        <w:tc>
          <w:tcPr>
            <w:tcW w:type="dxa" w:w="187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Современные critical editions</w:t>
            </w:r>
          </w:p>
        </w:tc>
        <w:tc>
          <w:tcPr>
            <w:tcW w:type="dxa" w:w="255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56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Rahlfs-Hanhart online</w:t>
              </w:r>
            </w:hyperlink>
          </w:p>
          <w:p>
            <w:pPr>
              <w:spacing w:before="0" w:after="0" w:line="245" w:lineRule="auto"/>
            </w:pPr>
            <w:hyperlink r:id="rId57" w:history="1">
              <w:r>
                <w:rPr>
                  <w:rFonts w:ascii="Noto Sans" w:hAnsi="Noto Sans" w:eastAsia="Noto Sans"/>
                  <w:u w:val="single"/>
                  <w:color w:val="1D4ED8"/>
                  <w:sz w:val="15"/>
                  <w:szCs w:val="15"/>
                  <w:lang w:val="ru-RU"/>
                </w:rPr>
                <w:t>Göttingen Septuagint</w:t>
              </w:r>
            </w:hyperlink>
          </w:p>
        </w:tc>
        <w:tc>
          <w:tcPr>
            <w:tcW w:type="dxa" w:w="300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Read-only Rahlfs-Hanhart и наиболее авторитетные book-by-book Göttingen volumes.</w:t>
            </w:r>
          </w:p>
        </w:tc>
        <w:tc>
          <w:tcPr>
            <w:tcW w:type="dxa" w:w="232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In copyright; link/purchase/institutional.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3.6. Пограничные и поздние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098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Объект</w:t>
            </w:r>
          </w:p>
        </w:tc>
        <w:tc>
          <w:tcPr>
            <w:tcW w:type="dxa" w:w="2835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Лучший вход</w:t>
            </w:r>
          </w:p>
        </w:tc>
        <w:tc>
          <w:tcPr>
            <w:tcW w:type="dxa" w:w="4819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Причина и режим</w:t>
            </w:r>
          </w:p>
        </w:tc>
      </w:tr>
      <w:tr>
        <w:tc>
          <w:tcPr>
            <w:tcW w:type="dxa" w:w="209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Samaritan Pentateuch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58" w:history="1">
              <w:r>
                <w:rPr>
                  <w:rFonts w:ascii="Noto Sans" w:hAnsi="Noto Sans" w:eastAsia="Noto Sans"/>
                  <w:u w:val="single"/>
                  <w:color w:val="1D4ED8"/>
                  <w:sz w:val="16"/>
                  <w:szCs w:val="16"/>
                  <w:lang w:val="ru-RU"/>
                </w:rPr>
                <w:t>Open Book Publishers</w:t>
              </w:r>
            </w:hyperlink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Полное modern open edition, parallel Samaritan Hebrew/English, CC BY-NC 4.0; лучший открытый scholarly route.</w:t>
            </w:r>
          </w:p>
        </w:tc>
      </w:tr>
      <w:tr>
        <w:tc>
          <w:tcPr>
            <w:tcW w:type="dxa" w:w="209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Damascus Document</w:t>
            </w:r>
          </w:p>
        </w:tc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59" w:history="1">
              <w:r>
                <w:rPr>
                  <w:rFonts w:ascii="Noto Sans" w:hAnsi="Noto Sans" w:eastAsia="Noto Sans"/>
                  <w:u w:val="single"/>
                  <w:color w:val="1D4ED8"/>
                  <w:sz w:val="16"/>
                  <w:szCs w:val="16"/>
                  <w:lang w:val="ru-RU"/>
                </w:rPr>
                <w:t>Cairo A</w:t>
              </w:r>
            </w:hyperlink>
          </w:p>
          <w:p>
            <w:pPr>
              <w:spacing w:before="0" w:after="0" w:line="245" w:lineRule="auto"/>
            </w:pPr>
            <w:hyperlink r:id="rId60" w:history="1">
              <w:r>
                <w:rPr>
                  <w:rFonts w:ascii="Noto Sans" w:hAnsi="Noto Sans" w:eastAsia="Noto Sans"/>
                  <w:u w:val="single"/>
                  <w:color w:val="1D4ED8"/>
                  <w:sz w:val="16"/>
                  <w:szCs w:val="16"/>
                  <w:lang w:val="ru-RU"/>
                </w:rPr>
                <w:t>Cairo B</w:t>
              </w:r>
            </w:hyperlink>
          </w:p>
        </w:tc>
        <w:tc>
          <w:tcPr>
            <w:tcW w:type="dxa" w:w="4819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CUDL facsimiles; item-level image rights require checking before mirroring.</w:t>
            </w:r>
          </w:p>
        </w:tc>
      </w:tr>
      <w:tr>
        <w:tc>
          <w:tcPr>
            <w:tcW w:type="dxa" w:w="209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Ben Sira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61" w:history="1">
              <w:r>
                <w:rPr>
                  <w:rFonts w:ascii="Noto Sans" w:hAnsi="Noto Sans" w:eastAsia="Noto Sans"/>
                  <w:u w:val="single"/>
                  <w:color w:val="1D4ED8"/>
                  <w:sz w:val="16"/>
                  <w:szCs w:val="16"/>
                  <w:lang w:val="ru-RU"/>
                </w:rPr>
                <w:t>Fragment 10:19-11:10</w:t>
              </w:r>
            </w:hyperlink>
          </w:p>
          <w:p>
            <w:pPr>
              <w:spacing w:before="0" w:after="0" w:line="245" w:lineRule="auto"/>
            </w:pPr>
            <w:hyperlink r:id="rId62" w:history="1">
              <w:r>
                <w:rPr>
                  <w:rFonts w:ascii="Noto Sans" w:hAnsi="Noto Sans" w:eastAsia="Noto Sans"/>
                  <w:u w:val="single"/>
                  <w:color w:val="1D4ED8"/>
                  <w:sz w:val="16"/>
                  <w:szCs w:val="16"/>
                  <w:lang w:val="ru-RU"/>
                </w:rPr>
                <w:t>Fragment 39:15-40:8</w:t>
              </w:r>
            </w:hyperlink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Boundary witnesses between wisdom and A13 scripturality; fragment-limited.</w:t>
            </w:r>
          </w:p>
        </w:tc>
      </w:tr>
      <w:tr>
        <w:tc>
          <w:tcPr>
            <w:tcW w:type="dxa" w:w="209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Elephantine</w:t>
            </w:r>
          </w:p>
        </w:tc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63" w:history="1">
              <w:r>
                <w:rPr>
                  <w:rFonts w:ascii="Noto Sans" w:hAnsi="Noto Sans" w:eastAsia="Noto Sans"/>
                  <w:u w:val="single"/>
                  <w:color w:val="1D4ED8"/>
                  <w:sz w:val="16"/>
                  <w:szCs w:val="16"/>
                  <w:lang w:val="ru-RU"/>
                </w:rPr>
                <w:t>Passover Letter + TEI</w:t>
              </w:r>
            </w:hyperlink>
          </w:p>
        </w:tc>
        <w:tc>
          <w:tcPr>
            <w:tcW w:type="dxa" w:w="4819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Imperial Aramaic antecedent; CC BY-NC-SA 4.0; clean item-level transcription/translation/data route.</w:t>
            </w:r>
          </w:p>
        </w:tc>
      </w:tr>
      <w:tr>
        <w:tc>
          <w:tcPr>
            <w:tcW w:type="dxa" w:w="209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Josephus</w:t>
            </w:r>
          </w:p>
        </w:tc>
        <w:tc>
          <w:tcPr>
            <w:tcW w:type="dxa" w:w="283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64" w:history="1">
              <w:r>
                <w:rPr>
                  <w:rFonts w:ascii="Noto Sans" w:hAnsi="Noto Sans" w:eastAsia="Noto Sans"/>
                  <w:u w:val="single"/>
                  <w:color w:val="1D4ED8"/>
                  <w:sz w:val="16"/>
                  <w:szCs w:val="16"/>
                  <w:lang w:val="ru-RU"/>
                </w:rPr>
                <w:t>Scaife Antiquities</w:t>
              </w:r>
            </w:hyperlink>
          </w:p>
          <w:p>
            <w:pPr>
              <w:spacing w:before="0" w:after="0" w:line="245" w:lineRule="auto"/>
            </w:pPr>
            <w:hyperlink r:id="rId65" w:history="1">
              <w:r>
                <w:rPr>
                  <w:rFonts w:ascii="Noto Sans" w:hAnsi="Noto Sans" w:eastAsia="Noto Sans"/>
                  <w:u w:val="single"/>
                  <w:color w:val="1D4ED8"/>
                  <w:sz w:val="16"/>
                  <w:szCs w:val="16"/>
                  <w:lang w:val="ru-RU"/>
                </w:rPr>
                <w:t>Gutenberg Whiston</w:t>
              </w:r>
            </w:hyperlink>
          </w:p>
        </w:tc>
        <w:tc>
          <w:tcPr>
            <w:tcW w:type="dxa" w:w="4819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Direct late Second Temple narrative/reception; public-domain Greek/English layers available.</w:t>
            </w:r>
          </w:p>
        </w:tc>
      </w:tr>
      <w:tr>
        <w:tc>
          <w:tcPr>
            <w:tcW w:type="dxa" w:w="209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Pseudepigrapha</w:t>
            </w:r>
          </w:p>
        </w:tc>
        <w:tc>
          <w:tcPr>
            <w:tcW w:type="dxa" w:w="283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hyperlink r:id="rId66" w:history="1">
              <w:r>
                <w:rPr>
                  <w:rFonts w:ascii="Noto Sans" w:hAnsi="Noto Sans" w:eastAsia="Noto Sans"/>
                  <w:u w:val="single"/>
                  <w:color w:val="1D4ED8"/>
                  <w:sz w:val="16"/>
                  <w:szCs w:val="16"/>
                  <w:lang w:val="ru-RU"/>
                </w:rPr>
                <w:t>Online Critical Pseudepigrapha</w:t>
              </w:r>
            </w:hyperlink>
          </w:p>
        </w:tc>
        <w:tc>
          <w:tcPr>
            <w:tcW w:type="dxa" w:w="4819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39 open critical TEI editions; strongest machine-readable halo corpus, with GPL/CC component review.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4. Карта прав и практического использования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Реестр содержит 95 записей с бесплатным полным чтением и 45 со скачиванием. Эти числа пересекаются и не означают право повторной публикации. 65 записей оставлены link-only, а 104 требуют компонентной или item-level проверки хотя бы для одного действия.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154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Группа</w:t>
            </w:r>
          </w:p>
        </w:tc>
        <w:tc>
          <w:tcPr>
            <w:tcW w:type="dxa" w:w="1417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Объем</w:t>
            </w:r>
          </w:p>
        </w:tc>
        <w:tc>
          <w:tcPr>
            <w:tcW w:type="dxa" w:w="3402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Что входит</w:t>
            </w:r>
          </w:p>
        </w:tc>
        <w:tc>
          <w:tcPr>
            <w:tcW w:type="dxa" w:w="2778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Практический режим ToS</w:t>
            </w:r>
          </w:p>
        </w:tc>
      </w:tr>
      <w:t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Потенциально зеркалировать без лицензирования</w:t>
            </w:r>
          </w:p>
        </w:tc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12 записей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Public Domain / CC0 layers: WLC, JPS 1917, Synodal 1876, Brenton, Updated Brenton, Gutenberg Josephus.</w:t>
            </w:r>
          </w:p>
        </w:tc>
        <w:tc>
          <w:tcPr>
            <w:tcW w:type="dxa" w:w="277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Проверять юрисдикцию, source notice и trademark/platform условия; не переносить PD status на modern markup/interface.</w:t>
            </w:r>
          </w:p>
        </w:tc>
      </w:tr>
      <w:tr>
        <w:tc>
          <w:tcPr>
            <w:tcW w:type="dxa" w:w="215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Зеркалировать с атрибуцией</w:t>
            </w:r>
          </w:p>
        </w:tc>
        <w:tc>
          <w:tcPr>
            <w:tcW w:type="dxa" w:w="1417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24 записей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OSHB CC BY 4.0; Swete CC BY-SA; ETCBC/BHSA/Open Dead Sea/Open Book/Elephantine/En-Gedi NC layers; OCP deposited files.</w:t>
            </w:r>
          </w:p>
        </w:tc>
        <w:tc>
          <w:tcPr>
            <w:tcW w:type="dxa" w:w="277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Сохранять attribution, license notice, source metadata и component boundaries.</w:t>
            </w:r>
          </w:p>
        </w:tc>
      </w:tr>
      <w:t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Только некоммерчески</w:t>
            </w:r>
          </w:p>
        </w:tc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10 записей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CC BY-NC or CC BY-NC-SA data/text: ETCBC/dss, BHSA, Open Book Samaritan Pentateuch, Elephantine, En-Gedi outputs.</w:t>
            </w:r>
          </w:p>
        </w:tc>
        <w:tc>
          <w:tcPr>
            <w:tcW w:type="dxa" w:w="277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ToS подходит по текущему некоммерческому назначению, но NC не дает права игнорировать attribution/SA/third-party exceptions.</w:t>
            </w:r>
          </w:p>
        </w:tc>
      </w:tr>
      <w:tr>
        <w:tc>
          <w:tcPr>
            <w:tcW w:type="dxa" w:w="215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ShareAlike</w:t>
            </w:r>
          </w:p>
        </w:tc>
        <w:tc>
          <w:tcPr>
            <w:tcW w:type="dxa" w:w="1417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14 записей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Swete CC BY-SA; Elephantine CC BY-NC-SA; OCP GPL/CC components.</w:t>
            </w:r>
          </w:p>
        </w:tc>
        <w:tc>
          <w:tcPr>
            <w:tcW w:type="dxa" w:w="277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Производные и перераспространение требуют совместимой copyleft/ShareAlike обработки; для translation outputs нужна ручная интерпретация.</w:t>
            </w:r>
          </w:p>
        </w:tc>
      </w:tr>
      <w:t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Бесплатно читать/скачивать, но не зеркалировать автоматически</w:t>
            </w:r>
          </w:p>
        </w:tc>
        <w:tc>
          <w:tcPr>
            <w:tcW w:type="dxa" w:w="1417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Основная масса факсимиле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IAA, Israel Museum, CUDL item pages, Aleppo Codex, Ktiv, NETS, Qimron deposit pending exact license.</w:t>
            </w:r>
          </w:p>
        </w:tc>
        <w:tc>
          <w:tcPr>
            <w:tcW w:type="dxa" w:w="277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LINK_OK / FREE_READ / LOCAL_RESEARCH_COPY; public distribution needs permission or license verification.</w:t>
            </w:r>
          </w:p>
        </w:tc>
      </w:tr>
      <w:tr>
        <w:tc>
          <w:tcPr>
            <w:tcW w:type="dxa" w:w="215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Link-only / borrow / preview / purchase</w:t>
            </w:r>
          </w:p>
        </w:tc>
        <w:tc>
          <w:tcPr>
            <w:tcW w:type="dxa" w:w="1417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16 purchase; 13 institutional; 14 preview; 4 borrow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DJD, Brill DSEL/Study Edition, Vermes, Wise-Abegg-Cook, Dead Sea Scrolls Bible, BHS/BHQ, Rahlfs-Hanhart, Göttingen, Loeb.</w:t>
            </w:r>
          </w:p>
        </w:tc>
        <w:tc>
          <w:tcPr>
            <w:tcW w:type="dxa" w:w="277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Сохранять external link and bibliographic card; не индексировать закрытый full text без договора.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4.1. OCR, полнотекстовый индекс и embeddings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Явный OCR_OK поставлен только для 9 записей, где источник и цифровой объект дают достаточно чистое основание. Для IAA и Israel Museum OCR по публично показываемым изображениям не трактуется как разрешение на публикацию производного OCR: условия ограничивают копирование и распространение. Для CUDL решение принимается item-by-item.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FULLTEXT_INDEX_OK и EMBEDDINGS_OK поставлены по 39 записей каждая. Это не blanket-разрешение на весь сайт или корпус: tags относятся к названному text/data layer и coverage. Для CC BY-NC и GPL/ShareAlike материалов ToS должен хранить source provenance и license metadata в каждом downstream index.</w:t>
      </w: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4.2. Основа для собственного перевода ToS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OWN_TRANSLATION_POSSIBLE встречается в 73 записях, но это не 73 разрешения перевести «весь корпус». Значительная часть записей относится к одному witness, fragment или selected layer. Тег означает лишь наличие конкретной основы: открытого оригинального текста, открытой транскрипции или видимого исторического факсимиле.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154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Тип основы</w:t>
            </w:r>
          </w:p>
        </w:tc>
        <w:tc>
          <w:tcPr>
            <w:tcW w:type="dxa" w:w="4195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Примеры</w:t>
            </w:r>
          </w:p>
        </w:tc>
        <w:tc>
          <w:tcPr>
            <w:tcW w:type="dxa" w:w="3402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5"/>
                <w:lang w:val="ru-RU" w:eastAsia="ru-RU"/>
              </w:rPr>
              <w:t>Вывод для ToS</w:t>
            </w:r>
          </w:p>
        </w:tc>
      </w:tr>
      <w:t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Наиболее чистая основа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WLC Public Domain; OSHB Hebrew text/morphology; Brenton/Updated Brenton; JPS 1917 and Synodal as old translation comparanda.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Можно строить свой перевод и публиковать его, не копируя modern critical apparatus; сохранять attribution для CC BY data.</w:t>
            </w:r>
          </w:p>
        </w:tc>
      </w:tr>
      <w:tr>
        <w:tc>
          <w:tcPr>
            <w:tcW w:type="dxa" w:w="215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Открытая, но условная основа</w:t>
            </w:r>
          </w:p>
        </w:tc>
        <w:tc>
          <w:tcPr>
            <w:tcW w:type="dxa" w:w="419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ETCBC/dss and BHSA CC BY-NC; Open Book Samaritan Pentateuch CC BY-NC; Elephantine CC BY-NC-SA; OCP GPL/CC.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Допустима в некоммерческом ToS с attribution/SA/copy-left review; translation scope ограничен dataset/witness coverage.</w:t>
            </w:r>
          </w:p>
        </w:tc>
      </w:tr>
      <w:tr>
        <w:tc>
          <w:tcPr>
            <w:tcW w:type="dxa" w:w="2154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Факсимильная основа</w:t>
            </w:r>
          </w:p>
        </w:tc>
        <w:tc>
          <w:tcPr>
            <w:tcW w:type="dxa" w:w="4195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IAA/Israel Museum/CUDL/Aleppo individual witnesses.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Сам ancient text public domain, но изображения protected or item-specific; переводить видимый слой можно, зеркалировать image/source encoding - не автоматически.</w:t>
            </w:r>
          </w:p>
        </w:tc>
      </w:tr>
      <w:tr>
        <w:tc>
          <w:tcPr>
            <w:tcW w:type="dxa" w:w="2154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Недостаточная чистота</w:t>
            </w:r>
          </w:p>
        </w:tc>
        <w:tc>
          <w:tcPr>
            <w:tcW w:type="dxa" w:w="4195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DJD reconstructions, BHS/BHQ, Rahlfs-Hanhart, modern DSS translations and Study Edition.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5"/>
                <w:lang w:val="ru-RU" w:eastAsia="ru-RU"/>
              </w:rPr>
              <w:t>Использовать как scholarly reference; не делать их текст единственной воспроизводимой основой без permission/legal review.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4.3. Опорные rights-evidence pages</w:t>
      </w:r>
    </w:p>
    <w:p>
      <w:pPr>
        <w:pStyle w:val="BodyText"/>
        <w:spacing w:before="0" w:after="40" w:line="259" w:lineRule="auto"/>
      </w:pPr>
      <w:hyperlink r:id="rId67" w:history="1">
        <w:r>
          <w:rPr>
            <w:rFonts w:ascii="Noto Sans" w:hAnsi="Noto Sans" w:eastAsia="Noto Sans"/>
            <w:b/>
            <w:u w:val="single"/>
            <w:color w:val="1D4ED8"/>
            <w:sz w:val="18"/>
            <w:szCs w:val="18"/>
            <w:lang w:val="ru-RU"/>
          </w:rPr>
          <w:t>IAA terms</w:t>
        </w:r>
      </w:hyperlink>
      <w:r>
        <w:rPr>
          <w:rFonts w:ascii="Noto Sans" w:hAnsi="Noto Sans" w:eastAsia="Noto Sans"/>
          <w:b w:val="0"/>
          <w:i w:val="0"/>
          <w:color w:val="5F6B70"/>
          <w:sz w:val="17"/>
          <w:lang w:val="ru-RU" w:eastAsia="ru-RU"/>
        </w:rPr>
        <w:t xml:space="preserve"> - private-use copying; no reproduction/display/modification/distribution without permission</w:t>
      </w:r>
    </w:p>
    <w:p>
      <w:pPr>
        <w:pStyle w:val="BodyText"/>
        <w:spacing w:before="0" w:after="40" w:line="259" w:lineRule="auto"/>
      </w:pPr>
      <w:hyperlink r:id="rId68" w:history="1">
        <w:r>
          <w:rPr>
            <w:rFonts w:ascii="Noto Sans" w:hAnsi="Noto Sans" w:eastAsia="Noto Sans"/>
            <w:b/>
            <w:u w:val="single"/>
            <w:color w:val="1D4ED8"/>
            <w:sz w:val="18"/>
            <w:szCs w:val="18"/>
            <w:lang w:val="ru-RU"/>
          </w:rPr>
          <w:t>Israel Museum DSS terms</w:t>
        </w:r>
      </w:hyperlink>
      <w:r>
        <w:rPr>
          <w:rFonts w:ascii="Noto Sans" w:hAnsi="Noto Sans" w:eastAsia="Noto Sans"/>
          <w:b w:val="0"/>
          <w:i w:val="0"/>
          <w:color w:val="5F6B70"/>
          <w:sz w:val="17"/>
          <w:lang w:val="ru-RU" w:eastAsia="ru-RU"/>
        </w:rPr>
        <w:t xml:space="preserve"> - all rights reserved for viewer content and images</w:t>
      </w:r>
    </w:p>
    <w:p>
      <w:pPr>
        <w:pStyle w:val="BodyText"/>
        <w:spacing w:before="0" w:after="40" w:line="259" w:lineRule="auto"/>
      </w:pPr>
      <w:hyperlink r:id="rId34" w:history="1">
        <w:r>
          <w:rPr>
            <w:rFonts w:ascii="Noto Sans" w:hAnsi="Noto Sans" w:eastAsia="Noto Sans"/>
            <w:b/>
            <w:u w:val="single"/>
            <w:color w:val="1D4ED8"/>
            <w:sz w:val="18"/>
            <w:szCs w:val="18"/>
            <w:lang w:val="ru-RU"/>
          </w:rPr>
          <w:t>ETCBC/dss</w:t>
        </w:r>
      </w:hyperlink>
      <w:r>
        <w:rPr>
          <w:rFonts w:ascii="Noto Sans" w:hAnsi="Noto Sans" w:eastAsia="Noto Sans"/>
          <w:b w:val="0"/>
          <w:i w:val="0"/>
          <w:color w:val="5F6B70"/>
          <w:sz w:val="17"/>
          <w:lang w:val="ru-RU" w:eastAsia="ru-RU"/>
        </w:rPr>
        <w:t xml:space="preserve"> - CC BY-NC 4.0 repository layer</w:t>
      </w:r>
    </w:p>
    <w:p>
      <w:pPr>
        <w:pStyle w:val="BodyText"/>
        <w:spacing w:before="0" w:after="40" w:line="259" w:lineRule="auto"/>
      </w:pPr>
      <w:hyperlink r:id="rId69" w:history="1">
        <w:r>
          <w:rPr>
            <w:rFonts w:ascii="Noto Sans" w:hAnsi="Noto Sans" w:eastAsia="Noto Sans"/>
            <w:b/>
            <w:u w:val="single"/>
            <w:color w:val="1D4ED8"/>
            <w:sz w:val="18"/>
            <w:szCs w:val="18"/>
            <w:lang w:val="ru-RU"/>
          </w:rPr>
          <w:t>eBible WLC rights</w:t>
        </w:r>
      </w:hyperlink>
      <w:r>
        <w:rPr>
          <w:rFonts w:ascii="Noto Sans" w:hAnsi="Noto Sans" w:eastAsia="Noto Sans"/>
          <w:b w:val="0"/>
          <w:i w:val="0"/>
          <w:color w:val="5F6B70"/>
          <w:sz w:val="17"/>
          <w:lang w:val="ru-RU" w:eastAsia="ru-RU"/>
        </w:rPr>
        <w:t xml:space="preserve"> - Public Domain Hebrew text</w:t>
      </w:r>
    </w:p>
    <w:p>
      <w:pPr>
        <w:pStyle w:val="BodyText"/>
        <w:spacing w:before="0" w:after="40" w:line="259" w:lineRule="auto"/>
      </w:pPr>
      <w:hyperlink r:id="rId40" w:history="1">
        <w:r>
          <w:rPr>
            <w:rFonts w:ascii="Noto Sans" w:hAnsi="Noto Sans" w:eastAsia="Noto Sans"/>
            <w:b/>
            <w:u w:val="single"/>
            <w:color w:val="1D4ED8"/>
            <w:sz w:val="18"/>
            <w:szCs w:val="18"/>
            <w:lang w:val="ru-RU"/>
          </w:rPr>
          <w:t>OSHB license</w:t>
        </w:r>
      </w:hyperlink>
      <w:r>
        <w:rPr>
          <w:rFonts w:ascii="Noto Sans" w:hAnsi="Noto Sans" w:eastAsia="Noto Sans"/>
          <w:b w:val="0"/>
          <w:i w:val="0"/>
          <w:color w:val="5F6B70"/>
          <w:sz w:val="17"/>
          <w:lang w:val="ru-RU" w:eastAsia="ru-RU"/>
        </w:rPr>
        <w:t xml:space="preserve"> - WLC PD + morphology CC BY 4.0</w:t>
      </w:r>
    </w:p>
    <w:p>
      <w:pPr>
        <w:pStyle w:val="BodyText"/>
        <w:spacing w:before="0" w:after="40" w:line="259" w:lineRule="auto"/>
      </w:pPr>
      <w:hyperlink r:id="rId58" w:history="1">
        <w:r>
          <w:rPr>
            <w:rFonts w:ascii="Noto Sans" w:hAnsi="Noto Sans" w:eastAsia="Noto Sans"/>
            <w:b/>
            <w:u w:val="single"/>
            <w:color w:val="1D4ED8"/>
            <w:sz w:val="18"/>
            <w:szCs w:val="18"/>
            <w:lang w:val="ru-RU"/>
          </w:rPr>
          <w:t>Open Book Samaritan Pentateuch</w:t>
        </w:r>
      </w:hyperlink>
      <w:r>
        <w:rPr>
          <w:rFonts w:ascii="Noto Sans" w:hAnsi="Noto Sans" w:eastAsia="Noto Sans"/>
          <w:b w:val="0"/>
          <w:i w:val="0"/>
          <w:color w:val="5F6B70"/>
          <w:sz w:val="17"/>
          <w:lang w:val="ru-RU" w:eastAsia="ru-RU"/>
        </w:rPr>
        <w:t xml:space="preserve"> - CC BY-NC 4.0 book</w:t>
      </w:r>
    </w:p>
    <w:p>
      <w:pPr>
        <w:pStyle w:val="BodyText"/>
        <w:spacing w:before="0" w:after="40" w:line="259" w:lineRule="auto"/>
      </w:pPr>
      <w:hyperlink r:id="rId63" w:history="1">
        <w:r>
          <w:rPr>
            <w:rFonts w:ascii="Noto Sans" w:hAnsi="Noto Sans" w:eastAsia="Noto Sans"/>
            <w:b/>
            <w:u w:val="single"/>
            <w:color w:val="1D4ED8"/>
            <w:sz w:val="18"/>
            <w:szCs w:val="18"/>
            <w:lang w:val="ru-RU"/>
          </w:rPr>
          <w:t>Elephantine item</w:t>
        </w:r>
      </w:hyperlink>
      <w:r>
        <w:rPr>
          <w:rFonts w:ascii="Noto Sans" w:hAnsi="Noto Sans" w:eastAsia="Noto Sans"/>
          <w:b w:val="0"/>
          <w:i w:val="0"/>
          <w:color w:val="5F6B70"/>
          <w:sz w:val="17"/>
          <w:lang w:val="ru-RU" w:eastAsia="ru-RU"/>
        </w:rPr>
        <w:t xml:space="preserve"> - CC BY-NC-SA 4.0 item/data</w:t>
      </w:r>
    </w:p>
    <w:p>
      <w:pPr>
        <w:pStyle w:val="BodyText"/>
        <w:spacing w:before="0" w:after="40" w:line="259" w:lineRule="auto"/>
      </w:pPr>
      <w:hyperlink r:id="rId70" w:history="1">
        <w:r>
          <w:rPr>
            <w:rFonts w:ascii="Noto Sans" w:hAnsi="Noto Sans" w:eastAsia="Noto Sans"/>
            <w:b/>
            <w:u w:val="single"/>
            <w:color w:val="1D4ED8"/>
            <w:sz w:val="18"/>
            <w:szCs w:val="18"/>
            <w:lang w:val="ru-RU"/>
          </w:rPr>
          <w:t>OCP repository</w:t>
        </w:r>
      </w:hyperlink>
      <w:r>
        <w:rPr>
          <w:rFonts w:ascii="Noto Sans" w:hAnsi="Noto Sans" w:eastAsia="Noto Sans"/>
          <w:b w:val="0"/>
          <w:i w:val="0"/>
          <w:color w:val="5F6B70"/>
          <w:sz w:val="17"/>
          <w:lang w:val="ru-RU" w:eastAsia="ru-RU"/>
        </w:rPr>
        <w:t xml:space="preserve"> - GPL v3 deposited files; component review</w:t>
      </w:r>
    </w:p>
    <w:p>
      <w:pPr>
        <w:pStyle w:val="Heading1"/>
        <w:keepNext/>
        <w:pageBreakBefore w:val="0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5. Характерные правовые тонкости</w:t>
      </w: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5.1. Древний оригинал и современная реконструкция - разные объекты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Community Rule, 4QMMT, Temple Scroll или Hodayot как древние произведения не охраняются авторским правом. Но современная реконструкция порядка fragments, нормализованный Hebrew text, перевод, apparatus и commentary могут быть самостоятельными защищенными результатами. Особенно чувствителен 4QMMT: нельзя выводить свободу DJD reconstruction из древности фрагментов.</w:t>
      </w: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5.2. Публичный viewer не дает права на повторное размещение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IAA и Israel Museum предоставляют сильнейший бесплатный визуальный доступ, однако их terms не дают ToS автоматического права копировать, публиковать или модифицировать изображения. Для публичной страницы ToS безопасен LINK_ONLY. Локальная исследовательская копия допустима только в пределах прямо разрешенного private/research use.</w:t>
      </w: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5.3. Download и license - не одно и то же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Кнопка download может обслуживать личное чтение, institutional access или техническую выгрузку без права redistribution. Поэтому Qimron Zenodo deposit, CUDL downloads, NETS PDFs и некоторые datasets оставлены с RIGHTS_REVIEW_REQUIRED, даже когда файл фактически скачивается.</w:t>
      </w: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5.4. Version-level права на Sefaria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Sefaria объединяет public-domain, Creative Commons и защищенные версии. Нельзя переносить лицензию JPS 1917 на любой выбранный English translation или на весь page bundle. Для Mishnah и Targums в registry сохранены work pages, но конкретная version license должна быть извлечена через API/metadata до зеркалирования или массового harvesting.</w:t>
      </w: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5.5. Смешанные права в CUDL, En-Gedi и OCP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CUDL может различать zoom images, downloadable images, metadata и partner-owned content. En-Gedi publication/data может быть CC BY-NC, тогда как исходные IAA photographs остаются отдельно ограниченными. OCP открывает deposited XML and code, но внешние manuscript images и source editions не входят в это разрешение; GPL/Creative Commons mapping нужно сохранить на уровне файла.</w:t>
      </w: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5.6. Public Domain зависит от слоя и юрисдикции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JPS 1917, Synodal 1876, Brenton и Whiston безопасны как старые переводы в большинстве практических сценариев, но registry честно различает underlying public-domain text, platform contributions, Project Gutenberg license/trademark terms и возможные юрисдикционные отличия. Public Domain Mark не подменяется словом «лицензия».</w:t>
      </w: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5.7. Некоммерческий ToS все равно обязан соблюдать условия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CC BY-NC и CC BY-NC-SA полезны для текущего публичного образовательного ToS, но требуют attribution, сохранения license notice, а для SA - совместимого распространения производных. Некоммерческий характер проекта не разрешает копировать IAA/Israel Museum images или modern in-copyright editions без отдельного основания.</w:t>
      </w:r>
    </w:p>
    <w:p>
      <w:pPr>
        <w:pStyle w:val="Heading1"/>
        <w:keepNext/>
        <w:pageBreakBefore w:val="0"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6. Пробелы и дальнейший поиск</w:t>
      </w:r>
    </w:p>
    <w:p>
      <w:pPr>
        <w:pStyle w:val="BodyText"/>
        <w:spacing w:before="0" w:after="8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В лист gaps вынесено 18 задач. Это не перечень случайных «соседних» текстов: каждая связана с A13 через корпус, witness family, входящую трансмиссию, commentary line или необходимость item-level правовой проверки.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850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4"/>
                <w:lang w:val="ru-RU" w:eastAsia="ru-RU"/>
              </w:rPr>
              <w:t>ID</w:t>
            </w:r>
          </w:p>
        </w:tc>
        <w:tc>
          <w:tcPr>
            <w:tcW w:type="dxa" w:w="2381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4"/>
                <w:lang w:val="ru-RU" w:eastAsia="ru-RU"/>
              </w:rPr>
              <w:t>Пробел / кандидат</w:t>
            </w:r>
          </w:p>
        </w:tc>
        <w:tc>
          <w:tcPr>
            <w:tcW w:type="dxa" w:w="3402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4"/>
                <w:lang w:val="ru-RU" w:eastAsia="ru-RU"/>
              </w:rPr>
              <w:t>Что уже найдено</w:t>
            </w:r>
          </w:p>
        </w:tc>
        <w:tc>
          <w:tcPr>
            <w:tcW w:type="dxa" w:w="3118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4"/>
                <w:lang w:val="ru-RU" w:eastAsia="ru-RU"/>
              </w:rPr>
              <w:t>Чего не хватает</w:t>
            </w:r>
          </w:p>
        </w:tc>
      </w:tr>
      <w:tr>
        <w:tc>
          <w:tcPr>
            <w:tcW w:type="dxa" w:w="85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G001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Copper Scroll (3Q15)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General project and museum references found, but no verified item-level official facsimile entry was captured for the registry.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Stable item page, image rights, full legal transcription/translation access.</w:t>
            </w:r>
          </w:p>
        </w:tc>
      </w:tr>
      <w:tr>
        <w:tc>
          <w:tcPr>
            <w:tcW w:type="dxa" w:w="850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G002</w:t>
            </w:r>
          </w:p>
        </w:tc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Damascus Document Qumran witnesses (4Q266–273, 5Q12, 6Q15)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Cairo manuscripts registered; no complete item-by-item set of Qumran witness links and rights was assembled.</w:t>
            </w:r>
          </w:p>
        </w:tc>
        <w:tc>
          <w:tcPr>
            <w:tcW w:type="dxa" w:w="311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Official item pages for each witness, open transcription and stable joins.</w:t>
            </w:r>
          </w:p>
        </w:tc>
      </w:tr>
      <w:tr>
        <w:tc>
          <w:tcPr>
            <w:tcW w:type="dxa" w:w="85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G003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Aramaic Levi Document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No sufficiently complete, clearly licensed digital edition was located in this pass.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Open original-language transcription, witness map and exact manuscript IDs.</w:t>
            </w:r>
          </w:p>
        </w:tc>
      </w:tr>
      <w:tr>
        <w:tc>
          <w:tcPr>
            <w:tcW w:type="dxa" w:w="850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G004</w:t>
            </w:r>
          </w:p>
        </w:tc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Wadi Daliyeh Samaria papyri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Bibliographic and corpus references found, but no authoritative item-level open facsimile package was captured.</w:t>
            </w:r>
          </w:p>
        </w:tc>
        <w:tc>
          <w:tcPr>
            <w:tcW w:type="dxa" w:w="311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Object pages, shelfmarks, rights, TEI/transcriptions.</w:t>
            </w:r>
          </w:p>
        </w:tc>
      </w:tr>
      <w:tr>
        <w:tc>
          <w:tcPr>
            <w:tcW w:type="dxa" w:w="85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G005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Masada scroll corpus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Portal-level access known, but a complete set of item-level links and rights was not assembled.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Witness inventory, direct facsimiles, open transcriptions and coverage map.</w:t>
            </w:r>
          </w:p>
        </w:tc>
      </w:tr>
      <w:tr>
        <w:tc>
          <w:tcPr>
            <w:tcW w:type="dxa" w:w="850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G006</w:t>
            </w:r>
          </w:p>
        </w:tc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Murabbaʿat and Naḥal Ḥever documentary corpora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One Murabbaʿat letter and 8HevXIIgr registered; broader documentary corpus remains uncovered.</w:t>
            </w:r>
          </w:p>
        </w:tc>
        <w:tc>
          <w:tcPr>
            <w:tcW w:type="dxa" w:w="311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Item-level corpus inventory, image rights, transcriptions and dates.</w:t>
            </w:r>
          </w:p>
        </w:tc>
      </w:tr>
      <w:tr>
        <w:tc>
          <w:tcPr>
            <w:tcW w:type="dxa" w:w="85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G007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Complete open diplomatic transcription of 8HevXIIgr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Official facsimile and protected DJD edition found; no verified open TEI/XML diplomatic transcription found.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Open Greek transcription with line/fragment alignment and explicit license.</w:t>
            </w:r>
          </w:p>
        </w:tc>
      </w:tr>
      <w:tr>
        <w:tc>
          <w:tcPr>
            <w:tcW w:type="dxa" w:w="850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G008</w:t>
            </w:r>
          </w:p>
        </w:tc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Complete open machine-readable Mishmarot/calendrical corpus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Several official witness pages and protected DJD volume found; no single complete clearly licensed open dataset verified.</w:t>
            </w:r>
          </w:p>
        </w:tc>
        <w:tc>
          <w:tcPr>
            <w:tcW w:type="dxa" w:w="311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Composite transcription, witness mapping, calendar tables and explicit reuse license.</w:t>
            </w:r>
          </w:p>
        </w:tc>
      </w:tr>
      <w:tr>
        <w:tc>
          <w:tcPr>
            <w:tcW w:type="dxa" w:w="85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G009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Qimron composite edition license verification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Zenodo deposit found and registered conservatively.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Exact record-level license and scope for PDF/text reuse.</w:t>
            </w:r>
          </w:p>
        </w:tc>
      </w:tr>
      <w:tr>
        <w:tc>
          <w:tcPr>
            <w:tcW w:type="dxa" w:w="850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G010</w:t>
            </w:r>
          </w:p>
        </w:tc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Russian complete scholarly translation of the Dead Sea Scrolls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No clearly authorized complete digital Russian scholarly translation found.</w:t>
            </w:r>
          </w:p>
        </w:tc>
        <w:tc>
          <w:tcPr>
            <w:tcW w:type="dxa" w:w="311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Official publisher, library borrow, preview or legal purchase route; translator and rights.</w:t>
            </w:r>
          </w:p>
        </w:tc>
      </w:tr>
      <w:tr>
        <w:tc>
          <w:tcPr>
            <w:tcW w:type="dxa" w:w="85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G011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Item-level CUDL image/IIIF rights audit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Item pages found, but CUDL rights can differ between zoom images, downloads, metadata and partner-owned content.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Exact license badge, IIIF manifest URL and permitted download resolution for each item.</w:t>
            </w:r>
          </w:p>
        </w:tc>
      </w:tr>
      <w:tr>
        <w:tc>
          <w:tcPr>
            <w:tcW w:type="dxa" w:w="850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G012</w:t>
            </w:r>
          </w:p>
        </w:tc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Sefaria version-license resolution for Mishnah and Targums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Work pages found; no single version was promoted to open reuse status.</w:t>
            </w:r>
          </w:p>
        </w:tc>
        <w:tc>
          <w:tcPr>
            <w:tcW w:type="dxa" w:w="311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Specific original-language version title, source edition, license and downloadable version ID.</w:t>
            </w:r>
          </w:p>
        </w:tc>
      </w:tr>
      <w:tr>
        <w:tc>
          <w:tcPr>
            <w:tcW w:type="dxa" w:w="85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G013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DJD institutional e-book and library holdings map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Official product pages found; access routes vary by volume and institution.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Stable WorldCat/OCLC IDs, HathiTrust status, OUP e-book platforms and borrow options by volume.</w:t>
            </w:r>
          </w:p>
        </w:tc>
      </w:tr>
      <w:tr>
        <w:tc>
          <w:tcPr>
            <w:tcW w:type="dxa" w:w="850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G014</w:t>
            </w:r>
          </w:p>
        </w:tc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Temple Scroll 11Q19 downloadable facsimile rights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High-resolution Israel Museum viewer found; reuse is restricted.</w:t>
            </w:r>
          </w:p>
        </w:tc>
        <w:tc>
          <w:tcPr>
            <w:tcW w:type="dxa" w:w="311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Any legal research download, IIIF manifest or separately licensed image set.</w:t>
            </w:r>
          </w:p>
        </w:tc>
      </w:tr>
      <w:tr>
        <w:tc>
          <w:tcPr>
            <w:tcW w:type="dxa" w:w="85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G015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Full Hebrew Ben Sira digital critical edition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Two Cambridge Hebrew fragments registered; no complete open Hebrew critical edition with stable rights identified.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Integrated Genizah/Qumran/Masada Hebrew witnesses, Greek/Syriac parallels and explicit license.</w:t>
            </w:r>
          </w:p>
        </w:tc>
      </w:tr>
      <w:tr>
        <w:tc>
          <w:tcPr>
            <w:tcW w:type="dxa" w:w="850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G016</w:t>
            </w:r>
          </w:p>
        </w:tc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Pesharim corpus beyond 1QpHab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Pesher Habakkuk is covered; systematic access to Isaiah, Nahum, Psalms and other pesharim is incomplete.</w:t>
            </w:r>
          </w:p>
        </w:tc>
        <w:tc>
          <w:tcPr>
            <w:tcW w:type="dxa" w:w="311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Item-level witness list, open transcriptions, translations and rights.</w:t>
            </w:r>
          </w:p>
        </w:tc>
      </w:tr>
      <w:tr>
        <w:tc>
          <w:tcPr>
            <w:tcW w:type="dxa" w:w="85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G017</w:t>
            </w:r>
          </w:p>
        </w:tc>
        <w:tc>
          <w:tcPr>
            <w:tcW w:type="dxa" w:w="2381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Samaritan Pentateuch dataset standard license</w:t>
            </w:r>
          </w:p>
        </w:tc>
        <w:tc>
          <w:tcPr>
            <w:tcW w:type="dxa" w:w="340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Repository permits research/education, but no standard OSI/Creative Commons license was confirmed.</w:t>
            </w:r>
          </w:p>
        </w:tc>
        <w:tc>
          <w:tcPr>
            <w:tcW w:type="dxa" w:w="311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Unambiguous license for public redistribution, embeddings and derived translations.</w:t>
            </w:r>
          </w:p>
        </w:tc>
      </w:tr>
      <w:tr>
        <w:tc>
          <w:tcPr>
            <w:tcW w:type="dxa" w:w="850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G018</w:t>
            </w:r>
          </w:p>
        </w:tc>
        <w:tc>
          <w:tcPr>
            <w:tcW w:type="dxa" w:w="2381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Clean open original-language text of the Damascus Document</w:t>
            </w:r>
          </w:p>
        </w:tc>
        <w:tc>
          <w:tcPr>
            <w:tcW w:type="dxa" w:w="3402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Facsimiles are available, but no single verified openly licensed diplomatic/composite Hebrew transcription was registered.</w:t>
            </w:r>
          </w:p>
        </w:tc>
        <w:tc>
          <w:tcPr>
            <w:tcW w:type="dxa" w:w="311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4"/>
                <w:lang w:val="ru-RU" w:eastAsia="ru-RU"/>
              </w:rPr>
              <w:t>TEI/XML or plain-text edition with witness separation and explicit license.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6.1. Наиболее полезные targeted follow-up направления</w:t>
      </w:r>
    </w:p>
    <w:p>
      <w:pPr>
        <w:pStyle w:val="ListNumber"/>
        <w:spacing w:before="0" w:after="40" w:line="259" w:lineRule="auto"/>
      </w:pPr>
      <w:r>
        <w:rPr>
          <w:rFonts w:ascii="Noto Sans" w:hAnsi="Noto Sans" w:eastAsia="Noto Sans"/>
          <w:b/>
          <w:i w:val="0"/>
          <w:color w:val="17252A"/>
          <w:lang w:val="ru-RU" w:eastAsia="ru-RU"/>
        </w:rPr>
        <w:t>Полный item-level Qumran checklist:</w:t>
      </w: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 xml:space="preserve"> Собрать sigla по Community Rule/Damascus Document/pesharim/Mishmarot/Temple/War/Hodayot и проверить IAA, SQE, Open Dead Sea, DJD volume by volume.</w:t>
      </w:r>
    </w:p>
    <w:p>
      <w:pPr>
        <w:pStyle w:val="ListNumber"/>
        <w:spacing w:before="0" w:after="40" w:line="259" w:lineRule="auto"/>
      </w:pPr>
      <w:r>
        <w:rPr>
          <w:rFonts w:ascii="Noto Sans" w:hAnsi="Noto Sans" w:eastAsia="Noto Sans"/>
          <w:b/>
          <w:i w:val="0"/>
          <w:color w:val="17252A"/>
          <w:lang w:val="ru-RU" w:eastAsia="ru-RU"/>
        </w:rPr>
        <w:t>Copper Scroll и desert documentary corpora:</w:t>
      </w: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 xml:space="preserve"> Найти официальные item pages для 3Q15, Masada, Murabbaʿat, Naḥal Ḥever и Wadi Daliyeh, затем разделить image, transcription, metadata и publication rights.</w:t>
      </w:r>
    </w:p>
    <w:p>
      <w:pPr>
        <w:pStyle w:val="ListNumber"/>
        <w:spacing w:before="0" w:after="40" w:line="259" w:lineRule="auto"/>
      </w:pPr>
      <w:r>
        <w:rPr>
          <w:rFonts w:ascii="Noto Sans" w:hAnsi="Noto Sans" w:eastAsia="Noto Sans"/>
          <w:b/>
          <w:i w:val="0"/>
          <w:color w:val="17252A"/>
          <w:lang w:val="ru-RU" w:eastAsia="ru-RU"/>
        </w:rPr>
        <w:t>Открытая дипломатическая транскрипция 8HevXIIgr:</w:t>
      </w: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 xml:space="preserve"> Искать CATSS/CCAT, Göttingen datasets, Zenodo и GitHub по 8HevXIIgr/8Hev1; сохранить fragment-line alignment and license.</w:t>
      </w:r>
    </w:p>
    <w:p>
      <w:pPr>
        <w:pStyle w:val="ListNumber"/>
        <w:spacing w:before="0" w:after="40" w:line="259" w:lineRule="auto"/>
      </w:pPr>
      <w:r>
        <w:rPr>
          <w:rFonts w:ascii="Noto Sans" w:hAnsi="Noto Sans" w:eastAsia="Noto Sans"/>
          <w:b/>
          <w:i w:val="0"/>
          <w:color w:val="17252A"/>
          <w:lang w:val="ru-RU" w:eastAsia="ru-RU"/>
        </w:rPr>
        <w:t>Календарный corpus release:</w:t>
      </w: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 xml:space="preserve"> Проверить ETCBC/dss coverage, Qimron files, SQE exports и datasets Jonathan Ben-Dov для полного machine-readable Mishmarot layer.</w:t>
      </w:r>
    </w:p>
    <w:p>
      <w:pPr>
        <w:pStyle w:val="ListNumber"/>
        <w:spacing w:before="0" w:after="40" w:line="259" w:lineRule="auto"/>
      </w:pPr>
      <w:r>
        <w:rPr>
          <w:rFonts w:ascii="Noto Sans" w:hAnsi="Noto Sans" w:eastAsia="Noto Sans"/>
          <w:b/>
          <w:i w:val="0"/>
          <w:color w:val="17252A"/>
          <w:lang w:val="ru-RU" w:eastAsia="ru-RU"/>
        </w:rPr>
        <w:t>Qimron license audit:</w:t>
      </w: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 xml:space="preserve"> Открыть metadata и PDF front matter Zenodo deposit; зафиксировать точную лицензию отдельно для Hebrew text, PDF layout и scholarly apparatus.</w:t>
      </w:r>
    </w:p>
    <w:p>
      <w:pPr>
        <w:pStyle w:val="ListNumber"/>
        <w:spacing w:before="0" w:after="40" w:line="259" w:lineRule="auto"/>
      </w:pPr>
      <w:r>
        <w:rPr>
          <w:rFonts w:ascii="Noto Sans" w:hAnsi="Noto Sans" w:eastAsia="Noto Sans"/>
          <w:b/>
          <w:i w:val="0"/>
          <w:color w:val="17252A"/>
          <w:lang w:val="ru-RU" w:eastAsia="ru-RU"/>
        </w:rPr>
        <w:t>Aramaic Levi и Damascus Document:</w:t>
      </w: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 xml:space="preserve"> Найти clean open original-language editions через Genizah/Qumran sigla, CUDL/Ktiv/OCP/SQE, не смешивая CD-A/CD-B/4Q witnesses.</w:t>
      </w:r>
    </w:p>
    <w:p>
      <w:pPr>
        <w:pStyle w:val="ListNumber"/>
        <w:spacing w:before="0" w:after="40" w:line="259" w:lineRule="auto"/>
      </w:pPr>
      <w:r>
        <w:rPr>
          <w:rFonts w:ascii="Noto Sans" w:hAnsi="Noto Sans" w:eastAsia="Noto Sans"/>
          <w:b/>
          <w:i w:val="0"/>
          <w:color w:val="17252A"/>
          <w:lang w:val="ru-RU" w:eastAsia="ru-RU"/>
        </w:rPr>
        <w:t>Русский scholarly access:</w:t>
      </w: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 xml:space="preserve"> Проверить РГБ, РНБ, WorldCat и издателей по Амусину, Тантлевскому и современным переводам; включать library/purchase routes даже без open PDF.</w:t>
      </w:r>
    </w:p>
    <w:p>
      <w:pPr>
        <w:pStyle w:val="ListNumber"/>
        <w:spacing w:before="0" w:after="40" w:line="259" w:lineRule="auto"/>
      </w:pPr>
      <w:r>
        <w:rPr>
          <w:rFonts w:ascii="Noto Sans" w:hAnsi="Noto Sans" w:eastAsia="Noto Sans"/>
          <w:b/>
          <w:i w:val="0"/>
          <w:color w:val="17252A"/>
          <w:lang w:val="ru-RU" w:eastAsia="ru-RU"/>
        </w:rPr>
        <w:t>Version- and component-level rights:</w:t>
      </w: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 xml:space="preserve"> Разрешить Sefaria versions, CUDL image/download licenses, Samaritan dataset license, Aleppo/Ktiv image terms и OCP item-specific mappings.</w:t>
      </w:r>
    </w:p>
    <w:p>
      <w:pPr>
        <w:pStyle w:val="Heading2"/>
        <w:keepNext/>
      </w:pPr>
      <w:r>
        <w:rPr>
          <w:rFonts w:ascii="Noto Sans" w:hAnsi="Noto Sans" w:eastAsia="Noto Sans"/>
          <w:b/>
          <w:i w:val="0"/>
          <w:color w:val="2C7A7B"/>
          <w:lang w:val="ru-RU" w:eastAsia="ru-RU"/>
        </w:rPr>
        <w:t>6.2. Основные ограничения текущего пакета</w:t>
      </w:r>
    </w:p>
    <w:p>
      <w:pPr>
        <w:pStyle w:val="ListBullet"/>
        <w:spacing w:before="0" w:after="4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Полный открытый дипломатический corpus всех pesharim, Mishmarot и Damascus-related witnesses не найден.</w:t>
      </w:r>
    </w:p>
    <w:p>
      <w:pPr>
        <w:pStyle w:val="ListBullet"/>
        <w:spacing w:before="0" w:after="4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Лучшие critical editions многих центральных текстов остаются у OUP/DJD и Brill, то есть доступны через purchase или institutional access.</w:t>
      </w:r>
    </w:p>
    <w:p>
      <w:pPr>
        <w:pStyle w:val="ListBullet"/>
        <w:spacing w:before="0" w:after="4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Официальные факсимиле покрыты хорошо, но reuse изображений чаще всего ограничен.</w:t>
      </w:r>
    </w:p>
    <w:p>
      <w:pPr>
        <w:pStyle w:val="ListBullet"/>
        <w:spacing w:before="0" w:after="4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Русский открытый слой силен для библейского канона, но слаб для полного современного перевода свитков.</w:t>
      </w:r>
    </w:p>
    <w:p>
      <w:pPr>
        <w:pStyle w:val="ListBullet"/>
        <w:spacing w:before="0" w:after="4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У части открытых repositories лицензия проекта ясна, но item-level scope или translation/copyleft consequences требуют ручной проверки.</w:t>
      </w:r>
    </w:p>
    <w:p>
      <w:pPr>
        <w:pStyle w:val="Heading1"/>
        <w:keepNext/>
        <w:pageBreakBefore/>
      </w:pPr>
      <w:r>
        <w:rPr>
          <w:rFonts w:ascii="Noto Sans" w:hAnsi="Noto Sans" w:eastAsia="Noto Sans"/>
          <w:b/>
          <w:i w:val="0"/>
          <w:color w:val="0F4C5C"/>
          <w:lang w:val="ru-RU" w:eastAsia="ru-RU"/>
        </w:rP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4C7"/>
          <w:left w:val="single" w:sz="4" w:space="0" w:color="B8C4C7"/>
          <w:bottom w:val="single" w:sz="4" w:space="0" w:color="B8C4C7"/>
          <w:right w:val="single" w:sz="4" w:space="0" w:color="B8C4C7"/>
          <w:insideH w:val="single" w:sz="4" w:space="0" w:color="B8C4C7"/>
          <w:insideV w:val="single" w:sz="4" w:space="0" w:color="B8C4C7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Измерение</w:t>
            </w:r>
          </w:p>
        </w:tc>
        <w:tc>
          <w:tcPr>
            <w:tcW w:type="dxa" w:w="2268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Оценка</w:t>
            </w:r>
          </w:p>
        </w:tc>
        <w:tc>
          <w:tcPr>
            <w:tcW w:type="dxa" w:w="5216"/>
            <w:shd w:fill="0F4C5C"/>
            <w:tcMar>
              <w:top w:w="80" w:type="dxa"/>
              <w:start w:w="75" w:type="dxa"/>
              <w:bottom w:w="8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i w:val="0"/>
                <w:color w:val="FFFFFF"/>
                <w:sz w:val="16"/>
                <w:lang w:val="ru-RU" w:eastAsia="ru-RU"/>
              </w:rPr>
              <w:t>Вывод</w:t>
            </w:r>
          </w:p>
        </w:tc>
      </w:tr>
      <w:t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Охват корпуса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Высокий для ядра; умеренно высокий для прямых corpus relatives и transmission halo.</w:t>
            </w:r>
          </w:p>
        </w:tc>
        <w:tc>
          <w:tcPr>
            <w:tcW w:type="dxa" w:w="52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Все центральные произведения из DR получили путь доступа либо явный gap. Кумранские witnesses покрыты выборочно, но глубоко.</w:t>
            </w:r>
          </w:p>
        </w:tc>
      </w:tr>
      <w:tr>
        <w:tc>
          <w:tcPr>
            <w:tcW w:type="dxa" w:w="226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Оригиналы и факсимиле</w:t>
            </w:r>
          </w:p>
        </w:tc>
        <w:tc>
          <w:tcPr>
            <w:tcW w:type="dxa" w:w="226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Очень хорошие для ключевых свитков.</w:t>
            </w:r>
          </w:p>
        </w:tc>
        <w:tc>
          <w:tcPr>
            <w:tcW w:type="dxa" w:w="5216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IAA/Israel Museum/CUDL дают сильный визуальный слой; главный предел - права на повторное размещение.</w:t>
            </w:r>
          </w:p>
        </w:tc>
      </w:tr>
      <w:t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Переводы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Хорошие на английском; базовые на русском.</w:t>
            </w:r>
          </w:p>
        </w:tc>
        <w:tc>
          <w:tcPr>
            <w:tcW w:type="dxa" w:w="52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Есть public-domain и modern scholarly routes; полный современный русский DSS corpus остается пробелом.</w:t>
            </w:r>
          </w:p>
        </w:tc>
      </w:tr>
      <w:tr>
        <w:tc>
          <w:tcPr>
            <w:tcW w:type="dxa" w:w="226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Машиночитаемый слой</w:t>
            </w:r>
          </w:p>
        </w:tc>
        <w:tc>
          <w:tcPr>
            <w:tcW w:type="dxa" w:w="226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Сильный, но неоднородный.</w:t>
            </w:r>
          </w:p>
        </w:tc>
        <w:tc>
          <w:tcPr>
            <w:tcW w:type="dxa" w:w="5216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OSHB/WLC/BHSA, ETCBC/dss, Swete, Elephantine TEI, OCP; Qumran coverage и licenses разнятся.</w:t>
            </w:r>
          </w:p>
        </w:tc>
      </w:tr>
      <w:t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Наиболее свободный слой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Public Domain Hebrew/old translations + открытые datasets.</w:t>
            </w:r>
          </w:p>
        </w:tc>
        <w:tc>
          <w:tcPr>
            <w:tcW w:type="dxa" w:w="52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WLC, JPS 1917, Synodal, Brenton/Updated Brenton, OSHB, Swete, Elephantine, Open Book and OCP component layers.</w:t>
            </w:r>
          </w:p>
        </w:tc>
      </w:tr>
      <w:tr>
        <w:tc>
          <w:tcPr>
            <w:tcW w:type="dxa" w:w="226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Главные ограничения</w:t>
            </w:r>
          </w:p>
        </w:tc>
        <w:tc>
          <w:tcPr>
            <w:tcW w:type="dxa" w:w="2268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Modern critical editions, translations, facsimile photographs and mixed component rights.</w:t>
            </w:r>
          </w:p>
        </w:tc>
        <w:tc>
          <w:tcPr>
            <w:tcW w:type="dxa" w:w="5216"/>
            <w:shd w:fill="F8FAFB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DJD/Brill/BHS-BHQ/Rahlfs/Göttingen/Loeb - link, borrow, institutional or purchase; IAA/IM images - permission.</w:t>
            </w:r>
          </w:p>
        </w:tc>
      </w:tr>
      <w:tr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Готовность к Codex</w:t>
            </w:r>
          </w:p>
        </w:tc>
        <w:tc>
          <w:tcPr>
            <w:tcW w:type="dxa" w:w="2268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Да.</w:t>
            </w:r>
          </w:p>
        </w:tc>
        <w:tc>
          <w:tcPr>
            <w:tcW w:type="dxa" w:w="5216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before="0" w:after="0" w:line="245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6"/>
                <w:lang w:val="ru-RU" w:eastAsia="ru-RU"/>
              </w:rPr>
              <w:t>Stable row IDs, exact fields, item-level URLs, rights evidence, explicit gaps and conservative tos_use tags are ready for deduplication/normalization.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</w:tblPr>
      <w:tblGrid>
        <w:gridCol w:w="9978"/>
      </w:tblGrid>
      <w:tr>
        <w:tc>
          <w:tcPr>
            <w:tcW w:type="dxa" w:w="9751"/>
            <w:shd w:fill="EAF4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/>
              <w:spacing w:before="0" w:after="80" w:line="259" w:lineRule="auto"/>
              <w:jc w:val="left"/>
            </w:pPr>
            <w:r>
              <w:rPr>
                <w:rFonts w:ascii="Noto Sans" w:hAnsi="Noto Sans" w:eastAsia="Noto Sans"/>
                <w:b/>
                <w:i w:val="0"/>
                <w:color w:val="2F855A"/>
                <w:sz w:val="21"/>
                <w:lang w:val="ru-RU" w:eastAsia="ru-RU"/>
              </w:rPr>
              <w:t>Финальный вердикт</w:t>
            </w:r>
          </w:p>
          <w:p>
            <w:pPr>
              <w:spacing w:before="0" w:after="40" w:line="259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8"/>
                <w:lang w:val="ru-RU" w:eastAsia="ru-RU"/>
              </w:rPr>
              <w:t>Пакет пригоден для передачи Codex как исследовательский слой A13.</w:t>
            </w:r>
          </w:p>
          <w:p>
            <w:pPr>
              <w:spacing w:before="0" w:after="40" w:line="259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8"/>
                <w:lang w:val="ru-RU" w:eastAsia="ru-RU"/>
              </w:rPr>
              <w:t>Свободный слой достаточен для собственного Hebrew/Greek/Aramaic-oriented research workflow, полнотекстового поиска и ограниченного некоммерческого переиспользования при сохранении лицензий.</w:t>
            </w:r>
          </w:p>
          <w:p>
            <w:pPr>
              <w:spacing w:before="0" w:after="40" w:line="259" w:lineRule="auto"/>
            </w:pPr>
            <w:r>
              <w:rPr>
                <w:rFonts w:ascii="Noto Sans" w:hAnsi="Noto Sans" w:eastAsia="Noto Sans"/>
                <w:b w:val="0"/>
                <w:i w:val="0"/>
                <w:color w:val="17252A"/>
                <w:sz w:val="18"/>
                <w:lang w:val="ru-RU" w:eastAsia="ru-RU"/>
              </w:rPr>
              <w:t>Для публичного зеркалирования факсимиле и современных critical editions требуется отдельный permissions/licensing workflow; автоматическая интерпретация тегов за пределами rights_scope и coverage запрещена.</w:t>
            </w:r>
          </w:p>
        </w:tc>
        <w:trPr>
          <w:tblHeader/>
        </w:trPr>
      </w:tr>
    </w:tbl>
    <w:p>
      <w:pPr>
        <w:spacing w:after="0"/>
      </w:pPr>
    </w:p>
    <w:p>
      <w:pPr>
        <w:pStyle w:val="BodyText"/>
        <w:spacing w:before="0" w:after="160" w:line="259" w:lineRule="auto"/>
      </w:pPr>
      <w:r>
        <w:rPr>
          <w:rFonts w:ascii="Noto Sans" w:hAnsi="Noto Sans" w:eastAsia="Noto Sans"/>
          <w:b w:val="0"/>
          <w:i w:val="0"/>
          <w:color w:val="17252A"/>
          <w:lang w:val="ru-RU" w:eastAsia="ru-RU"/>
        </w:rPr>
        <w:t>Рекомендуемый следующий шаг для ToS: импортировать registry и gaps как плоский research package, не превращая его сразу в глобальную онтологию. При нормализации Codex должен сохранить distinction между work, witness, edition, digital object и access route, а также не терять component-level rights.</w:t>
      </w:r>
    </w:p>
    <w:p>
      <w:pPr>
        <w:pStyle w:val="ToSCaption"/>
        <w:jc w:val="center"/>
      </w:pPr>
      <w:r>
        <w:rPr>
          <w:rFonts w:ascii="Noto Sans" w:hAnsi="Noto Sans" w:eastAsia="Noto Sans"/>
          <w:b w:val="0"/>
          <w:i/>
          <w:color w:val="5F6B70"/>
          <w:sz w:val="16"/>
          <w:lang w:val="ru-RU" w:eastAsia="ru-RU"/>
        </w:rPr>
        <w:t>Конец отчета. Полный ряд из 112 записей и 18 пробелов находится в ToS_Corpus_Rights_A13_registry.xlsx.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4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" w:hAnsi="Noto Sans" w:eastAsia="Noto Sans"/>
        <w:b w:val="0"/>
        <w:i w:val="0"/>
        <w:color w:val="5F6B70"/>
        <w:sz w:val="15"/>
        <w:lang w:val="ru-RU" w:eastAsia="ru-RU"/>
      </w:rPr>
      <w:t>Проверено 2026-09-03. Исследовательская карта, не юридическое заключение.</w:t>
    </w:r>
  </w:p>
  <w:p>
    <w:pPr>
      <w:jc w:val="right"/>
    </w:pPr>
    <w:r>
      <w:rPr>
        <w:rFonts w:ascii="Noto Sans" w:hAnsi="Noto Sans" w:eastAsia="Noto Sans"/>
        <w:color w:val="5F6B70"/>
        <w:sz w:val="16"/>
        <w:lang w:val="ru-RU" w:eastAsia="ru-RU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0F4C5C"/>
      </w:pBdr>
    </w:pPr>
    <w:r>
      <w:rPr>
        <w:rFonts w:ascii="Noto Sans" w:hAnsi="Noto Sans" w:eastAsia="Noto Sans"/>
        <w:b/>
        <w:i w:val="0"/>
        <w:color w:val="0F4C5C"/>
        <w:sz w:val="16"/>
        <w:lang w:val="ru-RU" w:eastAsia="ru-RU"/>
      </w:rPr>
      <w:t>ToS / Древо Софии</w:t>
    </w:r>
    <w:r>
      <w:rPr>
        <w:rFonts w:ascii="Noto Sans" w:hAnsi="Noto Sans" w:eastAsia="Noto Sans"/>
        <w:b w:val="0"/>
        <w:i w:val="0"/>
        <w:color w:val="5F6B70"/>
        <w:sz w:val="16"/>
        <w:lang w:val="ru-RU" w:eastAsia="ru-RU"/>
      </w:rPr>
      <w:t xml:space="preserve">   Corpus &amp; Rights Registry   A13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1725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00" w:after="10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F4C5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2C7A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1725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Noto Sans" w:hAnsi="Noto Sans" w:eastAsia="Noto Sans"/>
      <w:color w:val="17252A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 w:eastAsia="Noto Sans"/>
      <w:color w:val="17252A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 w:eastAsia="Noto Sans"/>
      <w:color w:val="17252A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 w:eastAsia="Noto Sans"/>
      <w:color w:val="17252A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" w:hAnsi="Noto Sans" w:eastAsia="Noto Sans"/>
      <w:color w:val="17252A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SCaption">
    <w:name w:val="ToS Caption"/>
    <w:pPr>
      <w:spacing w:after="60"/>
    </w:pPr>
    <w:rPr>
      <w:rFonts w:ascii="Noto Sans" w:hAnsi="Noto Sans" w:eastAsia="Noto Sans"/>
      <w:i/>
      <w:color w:val="5F6B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eadseascrolls.org.il/?locale=en_US" TargetMode="External"/><Relationship Id="rId12" Type="http://schemas.openxmlformats.org/officeDocument/2006/relationships/hyperlink" Target="https://dss.collections.imj.org.il/isaiah" TargetMode="External"/><Relationship Id="rId13" Type="http://schemas.openxmlformats.org/officeDocument/2006/relationships/hyperlink" Target="https://dss.collections.imj.org.il/temple" TargetMode="External"/><Relationship Id="rId14" Type="http://schemas.openxmlformats.org/officeDocument/2006/relationships/hyperlink" Target="https://dss.collections.imj.org.il/community" TargetMode="External"/><Relationship Id="rId15" Type="http://schemas.openxmlformats.org/officeDocument/2006/relationships/hyperlink" Target="https://dss.collections.imj.org.il/habakkuk" TargetMode="External"/><Relationship Id="rId16" Type="http://schemas.openxmlformats.org/officeDocument/2006/relationships/hyperlink" Target="https://sqe.deadseascrolls.org.il/" TargetMode="External"/><Relationship Id="rId17" Type="http://schemas.openxmlformats.org/officeDocument/2006/relationships/hyperlink" Target="https://www.deadseascrolls.org.il/explore-the-archive/manuscript/1Q28-2" TargetMode="External"/><Relationship Id="rId18" Type="http://schemas.openxmlformats.org/officeDocument/2006/relationships/hyperlink" Target="https://opendeadsea.org/m/1QS/" TargetMode="External"/><Relationship Id="rId19" Type="http://schemas.openxmlformats.org/officeDocument/2006/relationships/hyperlink" Target="https://global.oup.com/academic/product/qumran-cave-4-9780198269816" TargetMode="External"/><Relationship Id="rId20" Type="http://schemas.openxmlformats.org/officeDocument/2006/relationships/hyperlink" Target="https://www.deadseascrolls.org.il/explore-the-archive/manuscript/11Q20-1" TargetMode="External"/><Relationship Id="rId21" Type="http://schemas.openxmlformats.org/officeDocument/2006/relationships/hyperlink" Target="https://www.deadseascrolls.org.il/explore-the-archive/manuscript/11Q21-1" TargetMode="External"/><Relationship Id="rId22" Type="http://schemas.openxmlformats.org/officeDocument/2006/relationships/hyperlink" Target="https://www.deadseascrolls.org.il/explore-the-archive/manuscript/4Q399-1" TargetMode="External"/><Relationship Id="rId23" Type="http://schemas.openxmlformats.org/officeDocument/2006/relationships/hyperlink" Target="https://www.deadseascrolls.org.il/explore-the-archive/manuscript/4Q395-1" TargetMode="External"/><Relationship Id="rId24" Type="http://schemas.openxmlformats.org/officeDocument/2006/relationships/hyperlink" Target="https://global.oup.com/academic/product/qumran-cave-4-9780198263449" TargetMode="External"/><Relationship Id="rId25" Type="http://schemas.openxmlformats.org/officeDocument/2006/relationships/hyperlink" Target="https://www.deadseascrolls.org.il/explore-the-archive/manuscript/4Q320-1" TargetMode="External"/><Relationship Id="rId26" Type="http://schemas.openxmlformats.org/officeDocument/2006/relationships/hyperlink" Target="https://www.deadseascrolls.org.il/explore-the-archive/manuscript/4Q321-1" TargetMode="External"/><Relationship Id="rId27" Type="http://schemas.openxmlformats.org/officeDocument/2006/relationships/hyperlink" Target="https://www.deadseascrolls.org.il/explore-the-archive/manuscript/4Q325-1" TargetMode="External"/><Relationship Id="rId28" Type="http://schemas.openxmlformats.org/officeDocument/2006/relationships/hyperlink" Target="https://global.oup.com/academic/product/qumran-cave-4-9780198270164" TargetMode="External"/><Relationship Id="rId29" Type="http://schemas.openxmlformats.org/officeDocument/2006/relationships/hyperlink" Target="https://www.deadseascrolls.org.il/explore-the-archive/manuscript/1Q35-1" TargetMode="External"/><Relationship Id="rId30" Type="http://schemas.openxmlformats.org/officeDocument/2006/relationships/hyperlink" Target="https://www.deadseascrolls.org.il/explore-the-archive/manuscript/4Q416-1" TargetMode="External"/><Relationship Id="rId31" Type="http://schemas.openxmlformats.org/officeDocument/2006/relationships/hyperlink" Target="https://www.deadseascrolls.org.il/explore-the-archive/manuscript/4Q301-1" TargetMode="External"/><Relationship Id="rId32" Type="http://schemas.openxmlformats.org/officeDocument/2006/relationships/hyperlink" Target="https://global.oup.com/academic/product/qumran-cave-4-9780198269823" TargetMode="External"/><Relationship Id="rId33" Type="http://schemas.openxmlformats.org/officeDocument/2006/relationships/hyperlink" Target="https://global.oup.com/academic/product/discoveries-in-the-judaean-desert-vol-xl-9780199550050" TargetMode="External"/><Relationship Id="rId34" Type="http://schemas.openxmlformats.org/officeDocument/2006/relationships/hyperlink" Target="https://github.com/ETCBC/dss" TargetMode="External"/><Relationship Id="rId35" Type="http://schemas.openxmlformats.org/officeDocument/2006/relationships/hyperlink" Target="https://opendeadsea.org/catalog/" TargetMode="External"/><Relationship Id="rId36" Type="http://schemas.openxmlformats.org/officeDocument/2006/relationships/hyperlink" Target="https://zenodo.org/records/3737950" TargetMode="External"/><Relationship Id="rId37" Type="http://schemas.openxmlformats.org/officeDocument/2006/relationships/hyperlink" Target="https://scholarlyeditions.brill.com/dsbo/" TargetMode="External"/><Relationship Id="rId38" Type="http://schemas.openxmlformats.org/officeDocument/2006/relationships/hyperlink" Target="https://brill.com/display/db/dsno" TargetMode="External"/><Relationship Id="rId39" Type="http://schemas.openxmlformats.org/officeDocument/2006/relationships/hyperlink" Target="https://ebible.org/hebwlc/" TargetMode="External"/><Relationship Id="rId40" Type="http://schemas.openxmlformats.org/officeDocument/2006/relationships/hyperlink" Target="https://github.com/openscriptures/morphhb" TargetMode="External"/><Relationship Id="rId41" Type="http://schemas.openxmlformats.org/officeDocument/2006/relationships/hyperlink" Target="https://github.com/ETCBC/bhsa" TargetMode="External"/><Relationship Id="rId42" Type="http://schemas.openxmlformats.org/officeDocument/2006/relationships/hyperlink" Target="https://www.sefaria.org/Genesis.1?lang=bi" TargetMode="External"/><Relationship Id="rId43" Type="http://schemas.openxmlformats.org/officeDocument/2006/relationships/hyperlink" Target="https://www.sefaria.org/Ezra.1?lang=bi" TargetMode="External"/><Relationship Id="rId44" Type="http://schemas.openxmlformats.org/officeDocument/2006/relationships/hyperlink" Target="https://www.sefaria.org/Nehemiah.1?lang=bi" TargetMode="External"/><Relationship Id="rId45" Type="http://schemas.openxmlformats.org/officeDocument/2006/relationships/hyperlink" Target="https://www.sefaria.org/Isaiah.1?lang=bi" TargetMode="External"/><Relationship Id="rId46" Type="http://schemas.openxmlformats.org/officeDocument/2006/relationships/hyperlink" Target="https://jps.org/resources/tanakh-customer-guide/" TargetMode="External"/><Relationship Id="rId47" Type="http://schemas.openxmlformats.org/officeDocument/2006/relationships/hyperlink" Target="https://en.wikisource.org/wiki/Bible_(Jewish_Publication_Society_1917)" TargetMode="External"/><Relationship Id="rId48" Type="http://schemas.openxmlformats.org/officeDocument/2006/relationships/hyperlink" Target="https://ru.wikisource.org/wiki/&#1041;&#1080;&#1073;&#1083;&#1080;&#1103;_(&#1057;&#1080;&#1085;&#1086;&#1076;&#1072;&#1083;&#1100;&#1085;&#1099;&#1081;_&#1087;&#1077;&#1088;&#1077;&#1074;&#1086;&#1076;)" TargetMode="External"/><Relationship Id="rId49" Type="http://schemas.openxmlformats.org/officeDocument/2006/relationships/hyperlink" Target="https://www.die-bibel.de/en/scholarly-bible-editions" TargetMode="External"/><Relationship Id="rId50" Type="http://schemas.openxmlformats.org/officeDocument/2006/relationships/hyperlink" Target="https://www.deadseascrolls.org.il/explore-the-archive/manuscript/8Hev1-1" TargetMode="External"/><Relationship Id="rId51" Type="http://schemas.openxmlformats.org/officeDocument/2006/relationships/hyperlink" Target="https://global.oup.com/academic/product/discoveries-in-the-judaean-desert-9780198263272" TargetMode="External"/><Relationship Id="rId52" Type="http://schemas.openxmlformats.org/officeDocument/2006/relationships/hyperlink" Target="https://ebible.org/eng-Brenton/" TargetMode="External"/><Relationship Id="rId53" Type="http://schemas.openxmlformats.org/officeDocument/2006/relationships/hyperlink" Target="https://ebible.org/englxxup/" TargetMode="External"/><Relationship Id="rId54" Type="http://schemas.openxmlformats.org/officeDocument/2006/relationships/hyperlink" Target="https://ccat.sas.upenn.edu/nets/edition/" TargetMode="External"/><Relationship Id="rId55" Type="http://schemas.openxmlformats.org/officeDocument/2006/relationships/hyperlink" Target="https://github.com/nathans/lxx-swete" TargetMode="External"/><Relationship Id="rId56" Type="http://schemas.openxmlformats.org/officeDocument/2006/relationships/hyperlink" Target="https://www.die-bibel.de/en/bible/LXX/GEN.1" TargetMode="External"/><Relationship Id="rId57" Type="http://schemas.openxmlformats.org/officeDocument/2006/relationships/hyperlink" Target="https://www.septuaginta-unternehmen.de/" TargetMode="External"/><Relationship Id="rId58" Type="http://schemas.openxmlformats.org/officeDocument/2006/relationships/hyperlink" Target="https://www.openbookpublishers.com/books/10.11647/OBP.0415" TargetMode="External"/><Relationship Id="rId59" Type="http://schemas.openxmlformats.org/officeDocument/2006/relationships/hyperlink" Target="https://cudl.lib.cam.ac.uk/view/MS-TS-00010-K-00006/6" TargetMode="External"/><Relationship Id="rId60" Type="http://schemas.openxmlformats.org/officeDocument/2006/relationships/hyperlink" Target="https://cudl.lib.cam.ac.uk/view/MS-TS-00016-00311/1" TargetMode="External"/><Relationship Id="rId61" Type="http://schemas.openxmlformats.org/officeDocument/2006/relationships/hyperlink" Target="https://cudl.lib.cam.ac.uk/view/MS-TS-00012-00871/1" TargetMode="External"/><Relationship Id="rId62" Type="http://schemas.openxmlformats.org/officeDocument/2006/relationships/hyperlink" Target="https://cudl.lib.cam.ac.uk/view/MS-OR-01102/1" TargetMode="External"/><Relationship Id="rId63" Type="http://schemas.openxmlformats.org/officeDocument/2006/relationships/hyperlink" Target="https://elephantine.smb.museum/objects/object.php?o=100463" TargetMode="External"/><Relationship Id="rId64" Type="http://schemas.openxmlformats.org/officeDocument/2006/relationships/hyperlink" Target="https://scaife.perseus.org/library/urn:cts:greekLit:tlg0526.tlg001/" TargetMode="External"/><Relationship Id="rId65" Type="http://schemas.openxmlformats.org/officeDocument/2006/relationships/hyperlink" Target="https://www.gutenberg.org/ebooks/2848" TargetMode="External"/><Relationship Id="rId66" Type="http://schemas.openxmlformats.org/officeDocument/2006/relationships/hyperlink" Target="https://pseudepigrapha.org/" TargetMode="External"/><Relationship Id="rId67" Type="http://schemas.openxmlformats.org/officeDocument/2006/relationships/hyperlink" Target="https://www.deadseascrolls.org.il/terms?locale=en_US" TargetMode="External"/><Relationship Id="rId68" Type="http://schemas.openxmlformats.org/officeDocument/2006/relationships/hyperlink" Target="https://dss.collections.imj.org.il/terms_pg" TargetMode="External"/><Relationship Id="rId69" Type="http://schemas.openxmlformats.org/officeDocument/2006/relationships/hyperlink" Target="https://ebible.org/hebwlc/copyright.htm" TargetMode="External"/><Relationship Id="rId70" Type="http://schemas.openxmlformats.org/officeDocument/2006/relationships/hyperlink" Target="https://github.com/OnlineCriticalPseudepigrapha/Online-Critical-Pseudepigrap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Registry: A13 - Вторая храмовая Иудея</dc:title>
  <dc:subject>Законные пути доступа к корпусам Второй храмовой Иудеи</dc:subject>
  <dc:creator>ToS / Древо Софии</dc:creator>
  <cp:keywords>ToS, A13, Dead Sea Scrolls, Qumran, Torah, rights registry</cp:keywords>
  <dc:description>Research package checked 2026-09-03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