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B88746"/>
          <w:sz w:val="24"/>
        </w:rPr>
        <w:t>ToS CORPUS &amp; RIGHTS</w:t>
      </w:r>
    </w:p>
    <w:p>
      <w:pPr>
        <w:pStyle w:val="Title"/>
        <w:jc w:val="center"/>
      </w:pPr>
      <w:r>
        <w:t>A23</w:t>
        <w:br/>
        <w:t>Сасанидская Авеста и</w:t>
        <w:br/>
        <w:t>пехлевийская схоластика</w:t>
      </w:r>
    </w:p>
    <w:p>
      <w:pPr>
        <w:pStyle w:val="Subtitle"/>
        <w:jc w:val="center"/>
      </w:pPr>
      <w:r>
        <w:t>Карта корпуса, законного доступа, цифровых свидетелей и практических прав использования для 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94"/>
        <w:gridCol w:w="2438"/>
      </w:tblGrid>
      <w:tr>
        <w:trPr>
          <w:cantSplit/>
        </w:trPr>
        <w:tc>
          <w:tcPr>
            <w:tcW w:type="dxa" w:w="3437"/>
            <w:tcMar>
              <w:top w:w="0" w:type="dxa"/>
              <w:start w:w="0" w:type="dxa"/>
              <w:bottom w:w="0" w:type="dxa"/>
              <w:end w:w="0" w:type="dxa"/>
            </w:tcMar>
            <w:shd w:fill="173F4F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  <w:tc>
          <w:tcPr>
            <w:tcW w:type="dxa" w:w="3437"/>
            <w:tcMar>
              <w:top w:w="0" w:type="dxa"/>
              <w:start w:w="0" w:type="dxa"/>
              <w:bottom w:w="0" w:type="dxa"/>
              <w:end w:w="0" w:type="dxa"/>
            </w:tcMar>
            <w:shd w:fill="B88746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  <w:tc>
          <w:tcPr>
            <w:tcW w:type="dxa" w:w="3437"/>
            <w:tcMar>
              <w:top w:w="0" w:type="dxa"/>
              <w:start w:w="0" w:type="dxa"/>
              <w:bottom w:w="0" w:type="dxa"/>
              <w:end w:w="0" w:type="dxa"/>
            </w:tcMar>
            <w:shd w:fill="173F4F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953"/>
      </w:tblGrid>
      <w:tr>
        <w:trPr>
          <w:cantSplit/>
        </w:trPr>
        <w:tc>
          <w:tcPr>
            <w:tcW w:type="dxa" w:w="5156"/>
            <w:shd w:fill="EA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rPr>
                <w:b/>
                <w:color w:val="173F4F"/>
              </w:rPr>
              <w:t>ID мастер-строки</w:t>
            </w:r>
          </w:p>
        </w:tc>
        <w:tc>
          <w:tcPr>
            <w:tcW w:type="dxa" w:w="51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t>A23</w:t>
            </w:r>
          </w:p>
        </w:tc>
      </w:tr>
      <w:tr>
        <w:trPr>
          <w:cantSplit/>
        </w:trPr>
        <w:tc>
          <w:tcPr>
            <w:tcW w:type="dxa" w:w="5156"/>
            <w:shd w:fill="EA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rPr>
                <w:b/>
                <w:color w:val="173F4F"/>
              </w:rPr>
              <w:t>Статус / уверенность</w:t>
            </w:r>
          </w:p>
        </w:tc>
        <w:tc>
          <w:tcPr>
            <w:tcW w:type="dxa" w:w="51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t>A / 4</w:t>
            </w:r>
          </w:p>
        </w:tc>
      </w:tr>
      <w:tr>
        <w:trPr>
          <w:cantSplit/>
        </w:trPr>
        <w:tc>
          <w:tcPr>
            <w:tcW w:type="dxa" w:w="5156"/>
            <w:shd w:fill="EA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rPr>
                <w:b/>
                <w:color w:val="173F4F"/>
              </w:rPr>
              <w:t>Историческое ядро</w:t>
            </w:r>
          </w:p>
        </w:tc>
        <w:tc>
          <w:tcPr>
            <w:tcW w:type="dxa" w:w="51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t>сасанидская канонизация и запись; постсасанидские компендиумы IX–X вв.; поздняя рукописная сохранность</w:t>
            </w:r>
          </w:p>
        </w:tc>
      </w:tr>
      <w:tr>
        <w:trPr>
          <w:cantSplit/>
        </w:trPr>
        <w:tc>
          <w:tcPr>
            <w:tcW w:type="dxa" w:w="5156"/>
            <w:shd w:fill="EA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rPr>
                <w:b/>
                <w:color w:val="173F4F"/>
              </w:rPr>
              <w:t>Дата проверки</w:t>
            </w:r>
          </w:p>
        </w:tc>
        <w:tc>
          <w:tcPr>
            <w:tcW w:type="dxa" w:w="51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t>3 сентября 2026</w:t>
            </w:r>
          </w:p>
        </w:tc>
      </w:tr>
      <w:tr>
        <w:trPr>
          <w:cantSplit/>
        </w:trPr>
        <w:tc>
          <w:tcPr>
            <w:tcW w:type="dxa" w:w="5156"/>
            <w:shd w:fill="EA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rPr>
                <w:b/>
                <w:color w:val="173F4F"/>
              </w:rPr>
              <w:t>Поставка</w:t>
            </w:r>
          </w:p>
        </w:tc>
        <w:tc>
          <w:tcPr>
            <w:tcW w:type="dxa" w:w="51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4" w:color="CCDADF"/>
            </w:tcBorders>
          </w:tcPr>
          <w:p>
            <w:r>
              <w:t>138 записей доступа · 2 листа XLSX · 7-раздельный аналитический отчёт</w:t>
            </w:r>
          </w:p>
        </w:tc>
      </w:tr>
    </w:tbl>
    <w:p>
      <w:pPr>
        <w:pStyle w:val="ToSSmall"/>
        <w:spacing w:before="400"/>
        <w:jc w:val="center"/>
      </w:pPr>
      <w:r>
        <w:t>Исходный DR не редактировался. Реестр создан как отдельный исследовательский слой.</w:t>
      </w:r>
    </w:p>
    <w:p>
      <w:r>
        <w:br w:type="page"/>
      </w:r>
    </w:p>
    <w:p>
      <w:pPr>
        <w:pStyle w:val="Heading1"/>
      </w:pPr>
      <w:r>
        <w:t>1. Паспорт</w:t>
      </w:r>
    </w:p>
    <w:p>
      <w:pPr>
        <w:pStyle w:val="ToSLead"/>
      </w:pPr>
      <w:r>
        <w:t>Пакет разворачивает мастер-строку A23 как карту конкретных произведений, свидетелей, изданий, переводов, цифровых проектов и законных способов доступа. Исторические границы узла, его ID и статус сохранены без изменений.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520"/>
      </w:tblGrid>
      <w:tr>
        <w:trPr>
          <w:tblHeader w:val="true"/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jc w:val="center"/>
            </w:pPr>
            <w:r>
              <w:rPr>
                <w:b/>
                <w:color w:val="173F4F"/>
                <w:sz w:val="18"/>
              </w:rPr>
              <w:t>ID и название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FFF"/>
          </w:tcPr>
          <w:p>
            <w:pPr>
              <w:jc w:val="center"/>
            </w:pPr>
            <w:r>
              <w:rPr>
                <w:b/>
                <w:color w:val="20323A"/>
                <w:sz w:val="18"/>
              </w:rPr>
              <w:t>A23 — «Сасанидская редакция Авесты и среднеперсидская зороастрийская схоластика»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spacing w:after="0"/>
            </w:pPr>
            <w:r>
              <w:rPr>
                <w:b/>
                <w:color w:val="173F4F"/>
                <w:sz w:val="18"/>
              </w:rPr>
              <w:t>Исходный статус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8"/>
              </w:rPr>
              <w:t>A; уверенность 4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spacing w:after="0"/>
            </w:pPr>
            <w:r>
              <w:rPr>
                <w:b/>
                <w:color w:val="173F4F"/>
                <w:sz w:val="18"/>
              </w:rPr>
              <w:t>Исходный документ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FFF"/>
          </w:tcPr>
          <w:p>
            <w:pPr>
              <w:spacing w:after="0"/>
            </w:pPr>
            <w:r>
              <w:rPr>
                <w:color w:val="20323A"/>
                <w:sz w:val="18"/>
              </w:rPr>
              <w:t>ToS Deep Research_ A23 — for the Sasanian Avesta and Pahlavi Scholastic Node.docx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spacing w:after="0"/>
            </w:pPr>
            <w:r>
              <w:rPr>
                <w:b/>
                <w:color w:val="173F4F"/>
                <w:sz w:val="18"/>
              </w:rPr>
              <w:t>Дата проверки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8"/>
              </w:rPr>
              <w:t>03.09.2026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spacing w:after="0"/>
            </w:pPr>
            <w:r>
              <w:rPr>
                <w:b/>
                <w:color w:val="173F4F"/>
                <w:sz w:val="18"/>
              </w:rPr>
              <w:t>Языки поиска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FFF"/>
          </w:tcPr>
          <w:p>
            <w:pPr>
              <w:spacing w:after="0"/>
            </w:pPr>
            <w:r>
              <w:rPr>
                <w:color w:val="20323A"/>
                <w:sz w:val="18"/>
              </w:rPr>
              <w:t>русский и английский; варианты авестийской и среднеперсидской транслитерации; немецкие, французские и новоперсидские библиографические формы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spacing w:after="0"/>
            </w:pPr>
            <w:r>
              <w:rPr>
                <w:b/>
                <w:color w:val="173F4F"/>
                <w:sz w:val="18"/>
              </w:rPr>
              <w:t>Ядро корпуса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8"/>
              </w:rPr>
              <w:t>реконструируемый Сасанидский Авеста из 21 nask; extant Avesta; Dēnkard; Bundahišn; Zādspram; Mādayān ī Hazār Dādestān; Hērbedestān/Nērangestān; Škand Gumānīg Wizār; Mēnōg ī Xrad; Ardā Wīrāz Nāmag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spacing w:after="0"/>
            </w:pPr>
            <w:r>
              <w:rPr>
                <w:b/>
                <w:color w:val="173F4F"/>
                <w:sz w:val="18"/>
              </w:rPr>
              <w:t>Искомые объекты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FFF"/>
          </w:tcPr>
          <w:p>
            <w:pPr>
              <w:spacing w:after="0"/>
            </w:pPr>
            <w:r>
              <w:rPr>
                <w:color w:val="20323A"/>
                <w:sz w:val="18"/>
              </w:rPr>
              <w:t>произведения и корпусы; физические свидетели; переводы и издания; цифровые тексты и факсимиле; datasets/API; каталоги и навигационные ресурсы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spacing w:after="0"/>
            </w:pPr>
            <w:r>
              <w:rPr>
                <w:b/>
                <w:color w:val="173F4F"/>
                <w:sz w:val="18"/>
              </w:rPr>
              <w:t>Ключевая методика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8"/>
              </w:rPr>
              <w:t>разделять древний/средневековый текст, конкретную редакцию или перевод, цифровой объект и правила платформы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AF3F6"/>
          </w:tcPr>
          <w:p>
            <w:pPr>
              <w:spacing w:after="0"/>
            </w:pPr>
            <w:r>
              <w:rPr>
                <w:b/>
                <w:color w:val="173F4F"/>
                <w:sz w:val="18"/>
              </w:rPr>
              <w:t>Порог включения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FFF"/>
          </w:tcPr>
          <w:p>
            <w:pPr>
              <w:spacing w:after="0"/>
            </w:pPr>
            <w:r>
              <w:rPr>
                <w:color w:val="20323A"/>
                <w:sz w:val="18"/>
              </w:rPr>
              <w:t>любой практически полезный законный вход: полный текст, download, library borrow, institutional access, preview, purchase либо metadata-only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44"/>
      </w:tblGrid>
      <w:tr>
        <w:trPr>
          <w:cantSplit/>
        </w:trPr>
        <w:tc>
          <w:tcPr>
            <w:tcW w:type="dxa" w:w="5156"/>
            <w:shd w:fill="B8874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56"/>
            <w:shd w:fill="F7F0E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20323A"/>
              </w:rPr>
              <w:t>Граница источника и расширения</w:t>
            </w:r>
            <w:r>
              <w:br/>
              <w:t>Исходный DR дал карту ядра, рукописных сигл и основных цифровых проектов. Всё, что добавлено далее — поздние тексты, дополнительные пехлевийские сочинения, эпиграфика, документальные корпуса и линии рецепции — получено в отдельном живом веб-поиске и помечено собственным типом релевантности.</w:t>
            </w:r>
          </w:p>
        </w:tc>
      </w:tr>
    </w:tbl>
    <w:p>
      <w:pPr>
        <w:spacing w:after="0"/>
      </w:pPr>
    </w:p>
    <w:p>
      <w:pPr>
        <w:pStyle w:val="Heading2"/>
      </w:pPr>
      <w:r>
        <w:t>Рабочее понимание узла</w:t>
      </w:r>
    </w:p>
    <w:p>
      <w:r>
        <w:t xml:space="preserve">A23 не равен «зороастризму вообще». Он фиксирует тот историко-текстовый слой, где древний авестийский материал получает сасанидскую книжную и каноническую рамку, а вокруг него развивается среднеперсидская экзегеза, право, космология, апология, антропология и школьная передача. Поэтому реестр одновременно держит четыре времени: </w:t>
      </w:r>
    </w:p>
    <w:p>
      <w:pPr>
        <w:pStyle w:val="ListBullet"/>
        <w:spacing w:after="40"/>
      </w:pPr>
      <w:r/>
      <w:r>
        <w:rPr>
          <w:b/>
          <w:color w:val="173F4F"/>
        </w:rPr>
        <w:t xml:space="preserve">формирование — </w:t>
      </w:r>
      <w:r>
        <w:t>досасанидская устно-литургическая древность;</w:t>
      </w:r>
    </w:p>
    <w:p>
      <w:pPr>
        <w:pStyle w:val="ListBullet"/>
        <w:spacing w:after="40"/>
      </w:pPr>
      <w:r/>
      <w:r>
        <w:rPr>
          <w:b/>
          <w:color w:val="173F4F"/>
        </w:rPr>
        <w:t xml:space="preserve">фиксация — </w:t>
      </w:r>
      <w:r>
        <w:t>сасанидская запись, алфавит и организация;</w:t>
      </w:r>
    </w:p>
    <w:p>
      <w:pPr>
        <w:pStyle w:val="ListBullet"/>
        <w:spacing w:after="40"/>
      </w:pPr>
      <w:r/>
      <w:r>
        <w:rPr>
          <w:b/>
          <w:color w:val="173F4F"/>
        </w:rPr>
        <w:t xml:space="preserve">энциклопедизация — </w:t>
      </w:r>
      <w:r>
        <w:t>крупные пехлевийские компиляции IX–X вв.;</w:t>
      </w:r>
    </w:p>
    <w:p>
      <w:pPr>
        <w:pStyle w:val="ListBullet"/>
        <w:spacing w:after="40"/>
      </w:pPr>
      <w:r/>
      <w:r>
        <w:rPr>
          <w:b/>
          <w:color w:val="173F4F"/>
        </w:rPr>
        <w:t xml:space="preserve">сохранность — </w:t>
      </w:r>
      <w:r>
        <w:t>рукописи преимущественно XIV–XVII вв. и современные цифровые архивы.</w:t>
      </w:r>
    </w:p>
    <w:p>
      <w:pPr>
        <w:pStyle w:val="Heading2"/>
      </w:pPr>
      <w:r>
        <w:t>Проверяемые веб-контуры</w:t>
      </w:r>
    </w:p>
    <w:p>
      <w:pPr>
        <w:spacing w:after="160"/>
      </w:pPr>
      <w:r>
        <w:t xml:space="preserve">Основные инфраструктурные входы: </w:t>
      </w:r>
      <w:hyperlink r:id="rId11">
        <w:r>
          <w:rPr>
            <w:color w:val="1155CC"/>
            <w:u w:val="single"/>
          </w:rPr>
          <w:t>Avestan Digital Archive</w:t>
        </w:r>
      </w:hyperlink>
      <w:r>
        <w:t xml:space="preserve"> · </w:t>
      </w:r>
      <w:hyperlink r:id="rId12">
        <w:r>
          <w:rPr>
            <w:color w:val="1155CC"/>
            <w:u w:val="single"/>
          </w:rPr>
          <w:t>MUYA / SOAS</w:t>
        </w:r>
      </w:hyperlink>
      <w:r>
        <w:t xml:space="preserve"> · </w:t>
      </w:r>
      <w:hyperlink r:id="rId13">
        <w:r>
          <w:rPr>
            <w:color w:val="1155CC"/>
            <w:u w:val="single"/>
          </w:rPr>
          <w:t>Corpus Avesticum Berolinense</w:t>
        </w:r>
      </w:hyperlink>
      <w:r>
        <w:t xml:space="preserve"> · </w:t>
      </w:r>
      <w:hyperlink r:id="rId14">
        <w:r>
          <w:rPr>
            <w:color w:val="1155CC"/>
            <w:u w:val="single"/>
          </w:rPr>
          <w:t>MPCD</w:t>
        </w:r>
      </w:hyperlink>
      <w:r>
        <w:t xml:space="preserve"> · </w:t>
      </w:r>
      <w:hyperlink r:id="rId15">
        <w:r>
          <w:rPr>
            <w:color w:val="1155CC"/>
            <w:u w:val="single"/>
          </w:rPr>
          <w:t>OpenAMPD</w:t>
        </w:r>
      </w:hyperlink>
    </w:p>
    <w:p>
      <w:pPr>
        <w:pStyle w:val="Heading1"/>
      </w:pPr>
      <w:r>
        <w:t>2. Охват корпуса</w:t>
      </w:r>
    </w:p>
    <w:p>
      <w:pPr>
        <w:pStyle w:val="ToSLead"/>
      </w:pPr>
      <w:r>
        <w:t>Реестр содержит 138 практически отличимых способов доступа. Они не равны 138 произведениям: несколько ссылок, переводов, рукописей и цифровых объектов могут относиться к одному корпусу. После группировки томов, книг Dēnkard и вариантов одного сочинения получается около 33 самостоятельных произведений или корпусных семейств.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247"/>
        <w:gridCol w:w="4989"/>
      </w:tblGrid>
      <w:tr>
        <w:trPr>
          <w:tblHeader w:val="true"/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Записи доступа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F4F"/>
                <w:sz w:val="17"/>
              </w:rPr>
              <w:t>138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отдельные репозитории, версии, свидетели, режимы доступа или правовые режимы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Сгруппированные произведения/корпуса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b/>
                <w:color w:val="173F4F"/>
                <w:sz w:val="17"/>
              </w:rPr>
              <w:t>≈33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секции Dēnkard и рецензии Bundahišn не раздувались до фиктивной сотни произведений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Записи физических свидетелей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F4F"/>
                <w:sz w:val="17"/>
              </w:rPr>
              <w:t>30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включая 18 рукописных объектов MUYA и ключевые пехлевийские кодексы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Инфраструктурные записи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b/>
                <w:color w:val="173F4F"/>
                <w:sz w:val="17"/>
              </w:rPr>
              <w:t>11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ADA, CAB, MUYA, MPCD, OpenAMPD, Pārsīg и другие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Свободное полное чтение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F4F"/>
                <w:sz w:val="17"/>
              </w:rPr>
              <w:t>107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включая исторические переводы, цифровые тексты, факсимиле и каталоги с полным просмотром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Свободное скачивание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b/>
                <w:color w:val="173F4F"/>
                <w:sz w:val="17"/>
              </w:rPr>
              <w:t>39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PDF, TEI/XML, EPUB, TXT, изображения или производные форматы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Library borrow / institutional access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F4F"/>
                <w:sz w:val="17"/>
              </w:rPr>
              <w:t>13 / 15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современные критические издания и контролируемые коллекции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Явные пробелы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b/>
                <w:color w:val="173F4F"/>
                <w:sz w:val="17"/>
              </w:rPr>
              <w:t>12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вынесены на лист gaps и в раздел 6 отчёта</w:t>
            </w:r>
          </w:p>
        </w:tc>
      </w:tr>
    </w:tbl>
    <w:p>
      <w:pPr>
        <w:pStyle w:val="Heading2"/>
      </w:pPr>
      <w:r>
        <w:t>Распределение по роли относительно A23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4989"/>
      </w:tblGrid>
      <w:tr>
        <w:trPr>
          <w:tblHeader w:val="true"/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relevance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Записей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Функция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core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51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центральные тексты, издания, переводы и свидетели узла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same_corpus_or_tradition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11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непосредственные члены пехлевийской или авестийской традиции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antecedent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6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ранний авестийский слой и входящая среднеперсидская документальность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continuation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2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поздняя пехлевийская историко-эпическая переработка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commentary_or_reception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3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апокалиптическая, биографическая и новоперсидская рецепция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transmission_or_preservation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43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переводы, рукописи, факсимиле и поздние каналы сохранения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supporting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4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эпиграфические и институциональные опоры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infrastructure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11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цифровые проекты, каталоги, datasets и сервисы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secondary_navigation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7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академическая навигация, прежде всего Encyclopaedia Iranica</w:t>
            </w:r>
          </w:p>
        </w:tc>
      </w:tr>
    </w:tbl>
    <w:p>
      <w:pPr>
        <w:pStyle w:val="Heading2"/>
      </w:pPr>
      <w:r>
        <w:t>Ядро, извлечённое из исходного DR</w:t>
      </w:r>
    </w:p>
    <w:p>
      <w:r>
        <w:t>Исходный документ прямо задаёт реконструируемый Сасанидский Авеста из 21 nask; extant Avesta и особенно Videvdad; остатки Hērbedestān и Nērangestān; Dēnkard; две рецензии Bundahišn; Vizīdagīhā ī Zādspram; Mādayān ī Hazār Dādestān; Škand Gumānīg Wizār; Mēnōg ī Xrad; Ardā Wīrāz Nāmag; кодексы K20, H6, TD1/TD2 и рукопись B; а также ADA и MUYA. Все эти узлы получили хотя бы один законный вход либо явную запись о том, что полный цифровой объект не найден.</w:t>
      </w:r>
    </w:p>
    <w:p>
      <w:pPr>
        <w:pStyle w:val="ToSSmall"/>
      </w:pPr>
      <w:r>
        <w:t>В реестре: реконструкция 21 nask — A23-R001–R003; авестийский слой — A23-R004–R043; Dēnkard — A23-R044–R064; Bundahišn — A23-R065–R076; Zādspram — A23-R077–R081; Mādayān — A23-R082–R086; Hērbedestān/Nērangestān — A23-R087–R094; SGW — A23-R095–R098; Mēnōg — A23-R099–R101; Ardā Wīrāz — A23-R102–R105.</w:t>
      </w:r>
    </w:p>
    <w:p>
      <w:pPr>
        <w:pStyle w:val="Heading2"/>
      </w:pPr>
      <w:r>
        <w:t>Что добавил веб-поиск внутри той же традиции</w:t>
      </w:r>
    </w:p>
    <w:p>
      <w:r>
        <w:t>Вокруг ядра обнаружены дополнительные пехлевийские тексты, без которых scholastic-экосистема выглядела бы искусственно узкой: Dādestān ī Dēnīg, Šāyest nē Šāyest, Zand ī Wahman Yasn, Epistles of Manuščihr, Pahlavi Rivāyat of Ādur-Farnbag, Persian Rivāyats, Sad Dar, Pahlavi Vendidad, Čīdag Andarz ī Pōryōtkēšān и наставления Ādurbād ī Mahraspandān. Они не превращены в «общую историю зороастризма»: каждый включён как правовая, ритуальная, апокалиптическая, эпистолярная, андразовая или трансмиссионная линия, прямо продолжающая книжную среду A23.</w:t>
      </w:r>
    </w:p>
    <w:p>
      <w:pPr>
        <w:pStyle w:val="Heading2"/>
      </w:pPr>
      <w:r>
        <w:t>Поиск назад во времени</w:t>
      </w:r>
    </w:p>
    <w:p>
      <w:pPr>
        <w:pStyle w:val="ListBullet"/>
        <w:spacing w:after="40"/>
      </w:pPr>
      <w:r>
        <w:t>Гаты и Yasna сохранены как antecedent: они древнее сасанидской редакционной рамки, но являются тем каноническим материалом, который эта рамка организует.</w:t>
      </w:r>
    </w:p>
    <w:p>
      <w:pPr>
        <w:pStyle w:val="ListBullet"/>
        <w:spacing w:after="40"/>
      </w:pPr>
      <w:r>
        <w:t>Videvdad, Visperad, Yashts, авестийские фрагменты и Hadōxt Nask включены не по одной дате, а как сохранившиеся части или близкие родственники nask-структуры.</w:t>
      </w:r>
    </w:p>
    <w:p>
      <w:pPr>
        <w:pStyle w:val="ListBullet"/>
        <w:spacing w:after="40"/>
      </w:pPr>
      <w:r>
        <w:t>Документ P. Dura 154 из OpenAMPD введён как конкретный, открыто лицензированный среднеперсидский документальный свидетель. Он не является теологическим текстом, но показывает письменную среду, внутри которой возможны право, администрация и книжная техника позднего Ирана.</w:t>
      </w:r>
    </w:p>
    <w:p>
      <w:pPr>
        <w:pStyle w:val="ListBullet"/>
        <w:spacing w:after="40"/>
      </w:pPr>
      <w:r>
        <w:t>Надписи Картира при Kaʿba-ye Zardošt и Naqš-e Rajab служат институциональной опорой: они документируют силу жреческой самопрезентации, но не подменяют собой литературный корпус.</w:t>
      </w:r>
    </w:p>
    <w:p>
      <w:pPr>
        <w:pStyle w:val="Heading2"/>
      </w:pPr>
      <w:r>
        <w:t>Поиск вперёд во времени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123"/>
      </w:tblGrid>
      <w:tr>
        <w:trPr>
          <w:tblHeader w:val="true"/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Внепериодный объект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Конкретная связь с A23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Ayādgār ī Zarērān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пехлевийская героическая память и прямой handoff к иранской эпической традиции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Kārnāmag ī Ardaxšīr ī Pābagān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переработка сасанидской царской памяти в позднем пехлевийском повествовании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Jāmāsp Nāmag и Zand ī Wahman Yasn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апокалиптическая и пророческая рецепция космологии и истории спасения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Qeṣṣa-ye Sanjān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фиксация парсийской памяти о передаче общины и рукописной традиции из Ирана в Индию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Zartošt-nāma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средневековая новоперсидская биографическая переработка легенды о Заратуштре, связанная с пехлевийской традицией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Šāhnāma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поздний, пограничный канал сохранения и переоформления иранской царской памяти, связанный с утраченным Xwadāy-nāmag; это не зороастрийский scholastic-текст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44"/>
      </w:tblGrid>
      <w:tr>
        <w:trPr>
          <w:cantSplit/>
        </w:trPr>
        <w:tc>
          <w:tcPr>
            <w:tcW w:type="dxa" w:w="5156"/>
            <w:shd w:fill="2F697C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56"/>
            <w:shd w:fill="EAF3F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20323A"/>
              </w:rPr>
              <w:t>Контроль хронологического ореола</w:t>
            </w:r>
            <w:r>
              <w:br/>
              <w:t>Широкий контур не изменяет датировку и статус A23. Внепериодные произведения включены как antecedent, continuation, commentary_or_reception или transmission_or_preservation; одного тематического сходства было недостаточно.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879" w:right="964" w:bottom="879" w:left="964" w:header="369" w:footer="369" w:gutter="0"/>
          <w:cols w:space="720"/>
          <w:docGrid w:linePitch="360"/>
        </w:sectPr>
      </w:pPr>
    </w:p>
    <w:p>
      <w:pPr>
        <w:pStyle w:val="Heading1"/>
      </w:pPr>
      <w:r>
        <w:t>3. Лучшие пути доступа</w:t>
      </w:r>
    </w:p>
    <w:p>
      <w:pPr>
        <w:pStyle w:val="ToSLead"/>
      </w:pPr>
      <w:r>
        <w:t>Ниже сгруппированы лучшие варианты по главным произведениям и корпусам. Идентификаторы A23-R… отсылают к строкам XLSX, где находятся точные landing/download URLs, coverage, verification_status и компонентные права.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231"/>
        <w:gridCol w:w="3231"/>
        <w:gridCol w:w="3118"/>
        <w:gridCol w:w="4082"/>
      </w:tblGrid>
      <w:tr>
        <w:trPr>
          <w:tblHeader w:val="true"/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Объект / корпус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Лучший бесплатный доступ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Оригинал / факсимиле / старое PD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Современный научный вариант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Машиночитаемость / наиболее свободный слой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Extant Avesta, Yasna, ритуальные корпуса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MUYA — критические транскрипции (R006–R007); Avesta.org — широкий read/download (R004–R005, R021–R024)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Geldner: исторические сканы IA (R016–R017); 18 MUYA witnesses (R026–R043); ADA каталог/просмотр (R010–R013)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Brill Srōš Drōn, institutional/purchase (R025)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CAB linguistic/liturgical corpora (R008–R009); MUYA text/apparatus CC BY 4.0, но изображения отдельно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Реконструируемый Сасанидский Авеста, 21 nask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Dēnkard VIII–IX на Avesta.org (R001–R002); SBE 37 на Sacred Texts (R003)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Сохранились summaries/testimonia, а не утраченные nasks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Современная реконструкция требует научной литературы; полного «издания Сасанидского Авесты» нет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Машиночитаемы только поздние summaries; OWN_TRANSLATION_POSSIBLE для утраченных nasks не ставится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Dēnkard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Avesta.org index and book texts (R044–R054); Sacred Texts SBE 37/47 (R052, R055)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Madan Middle Persian edition, IA vols. 1–2 (R057–R058); HathiTrust (R059)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Mole, Dēnkard III — library (R046); современные отдельные исследования link-only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Лучший открытый licensed слой: Dēnkard V JHP CC BY 4.0 (R048); остальные страницы смешанные/неясные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Bundahišn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Indian recension on Avesta.org and Sacred Texts (R065–R066); Greater text on Avesta.org (R067)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TD2 historical facsimile, IA (R068); witness records K20/H6/TD1/TD2/K43/DH (R070–R075)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Agostini &amp; Thrope, OUP 2020 (R069)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Полного открыто лицензированного критического Middle Persian текста не найдено; исторические слои пригодны для исследования с review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Vizīdagīhā ī Zādspram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Avesta.org historical translation (R077); Sacred Texts selections (R078–R079)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Полный современный source-language open text не найден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Gignoux–Tafazzoli, Peeters (R080)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JHP digital edition on Avesta.org — CC BY 4.0, но coverage главным образом исторические selections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Mādayān ī Hazār Dādestān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Iranica gives reliable navigation/history, not full text (R082)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Hataria manuscript facsimile and supplement known bibliographically (R085–R086), open item not secured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Macuch, Book of a Thousand Judgements, Mazda Publishers (R083); library/purchase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Лучший практический статус сейчас: LINK/PURCHASE/LIBRARY; автоматическое corpus ingestion требует отдельного lawful source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Hērbedestān / Nērangestān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Bulsara 1915, IA full read/download (R087)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Granth Sanjeevani catalogue/witness access (R088–R089)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Kotwal &amp; Kreyenbroek, Peeters volumes (R090–R093)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Bulsara item marked public domain by repository; open modern TEI/licensed edition not found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Škand Gumānīg Wizār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West historical translation on Avesta.org (R096); Asha PDF free read/download (R097)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1887 Pazand/Sanskrit/Pahlavi-fragment edition, IA (R095)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Asha modern critical edition is hosted with permission but remains copyrighted (R097)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Best reusable basis: historical IA edition; modern PDF is LINK_ONLY / PERMISSION_REQUIRED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Mēnōg ī Xrad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Avesta.org (R099) and Sacred Texts SBE 24 (R100)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Historical English translation; open modern complete Middle Persian text not secured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Use Iranica bibliography to locate current editions (R101)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Sacred Texts permits only its stated noncommercial attributed HTML reuse; not a clean source-language basis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Ardā Wīrāz Nāmag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Avesta.org full read (R103)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Haug/West 1872 facsimile + Pahlavi text/transcription/translation, IA/NLS (R102)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Vahman, Routledge modern study/text/translation (R104)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R102 carries CC BY-NC-SA 2.5 Scotland: strongest licensed noncommercial facsimile route, scope-limited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Дополнительная пехлевийская схоластика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Dādestān ī Dēnīg (R106–R107); Šāyest nē Šāyest (R108–R109); Epistles, Rivāyats, Sad Dar (R113–R118)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Historical SBE layers and some scans; exact source-language completeness varies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Zand ī Wahman Yasn modern edition via library/purchase (R111)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CC BY 4.0: Dādestān ī Dēnīg and Šāyest digital editions; other Avesta.org items may be copyrighted or rights-unknown</w:t>
            </w:r>
          </w:p>
        </w:tc>
      </w:tr>
      <w:tr>
        <w:trPr>
          <w:cantSplit/>
        </w:trPr>
        <w:tc>
          <w:tcPr>
            <w:tcW w:type="dxa" w:w="209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b/>
                <w:color w:val="173F4F"/>
                <w:sz w:val="12"/>
              </w:rPr>
              <w:t>Эпиграфика, документы и поздняя рецепция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Kartir KZ/KNR (R122–R123); Ayādgār/Kārnāmag/Jāmāsp (R130–R132); Qissa/Zartošt/Šāhnāma (R133–R138)</w:t>
            </w:r>
          </w:p>
        </w:tc>
        <w:tc>
          <w:tcPr>
            <w:tcW w:type="dxa" w:w="3231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OpenAMPD MP6000 XML/EPUB (R127); historical Qissa/Zartošt facsimiles (R134, R136)</w:t>
            </w:r>
          </w:p>
        </w:tc>
        <w:tc>
          <w:tcPr>
            <w:tcW w:type="dxa" w:w="3118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Для поздних линий критические издания разрознены; Shahnameh PG is a historical English retelling</w:t>
            </w:r>
          </w:p>
        </w:tc>
        <w:tc>
          <w:tcPr>
            <w:tcW w:type="dxa" w:w="4082"/>
            <w:tcMar>
              <w:top w:w="35" w:type="dxa"/>
              <w:start w:w="50" w:type="dxa"/>
              <w:bottom w:w="35" w:type="dxa"/>
              <w:end w:w="5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 w:before="0" w:line="240" w:lineRule="auto"/>
            </w:pPr>
            <w:r>
              <w:rPr>
                <w:color w:val="20323A"/>
                <w:sz w:val="12"/>
              </w:rPr>
              <w:t>OpenAMPD CC BY-NC-SA 4.0 is strongest machine-readable documentary layer; reception texts mostly review-required</w:t>
            </w:r>
          </w:p>
        </w:tc>
      </w:tr>
    </w:tbl>
    <w:p>
      <w:pPr>
        <w:pStyle w:val="ToSSmall"/>
      </w:pPr>
      <w:r>
        <w:t>Примечание: «старое PD» означает либо явное item-level заявление репозитория, либо обоснованный вывод по дате публикации; последний не равен универсальному Public Domain worldwide и отмечен в XLSX как требующий юрисдикционной проверки.</w:t>
      </w:r>
    </w:p>
    <w:p>
      <w:pPr>
        <w:pStyle w:val="Heading2"/>
      </w:pPr>
      <w:r>
        <w:t>Ключевые прямые входы</w:t>
      </w:r>
    </w:p>
    <w:p>
      <w:pPr>
        <w:pStyle w:val="ToSSmall"/>
      </w:pPr>
      <w:hyperlink r:id="rId12">
        <w:r>
          <w:rPr>
            <w:color w:val="1155CC"/>
            <w:u w:val="single"/>
          </w:rPr>
          <w:t>MUYA transcriptions and editions</w:t>
        </w:r>
      </w:hyperlink>
      <w:r>
        <w:t xml:space="preserve">  •  </w:t>
      </w:r>
      <w:hyperlink r:id="rId11">
        <w:r>
          <w:rPr>
            <w:color w:val="1155CC"/>
            <w:u w:val="single"/>
          </w:rPr>
          <w:t>Avestan Digital Archive</w:t>
        </w:r>
      </w:hyperlink>
      <w:r>
        <w:t xml:space="preserve">  •  </w:t>
      </w:r>
      <w:hyperlink r:id="rId16">
        <w:r>
          <w:rPr>
            <w:color w:val="1155CC"/>
            <w:u w:val="single"/>
          </w:rPr>
          <w:t>Dēnkard index</w:t>
        </w:r>
      </w:hyperlink>
      <w:r>
        <w:t xml:space="preserve">  •  </w:t>
      </w:r>
      <w:hyperlink r:id="rId17">
        <w:r>
          <w:rPr>
            <w:color w:val="1155CC"/>
            <w:u w:val="single"/>
          </w:rPr>
          <w:t>Bundahišn</w:t>
        </w:r>
      </w:hyperlink>
      <w:r>
        <w:t xml:space="preserve">  •  </w:t>
      </w:r>
      <w:hyperlink r:id="rId18">
        <w:r>
          <w:rPr>
            <w:color w:val="1155CC"/>
            <w:u w:val="single"/>
          </w:rPr>
          <w:t>Madan Dēnkard vol. 1</w:t>
        </w:r>
      </w:hyperlink>
      <w:r>
        <w:t xml:space="preserve">  •  </w:t>
      </w:r>
      <w:hyperlink r:id="rId19">
        <w:r>
          <w:rPr>
            <w:color w:val="1155CC"/>
            <w:u w:val="single"/>
          </w:rPr>
          <w:t>Bulsara Hērbedestān/Nērangestān</w:t>
        </w:r>
      </w:hyperlink>
      <w:r>
        <w:t xml:space="preserve">  •  </w:t>
      </w:r>
      <w:hyperlink r:id="rId20">
        <w:r>
          <w:rPr>
            <w:color w:val="1155CC"/>
            <w:u w:val="single"/>
          </w:rPr>
          <w:t>SGW 1887 edition</w:t>
        </w:r>
      </w:hyperlink>
      <w:r>
        <w:t xml:space="preserve">  •  </w:t>
      </w:r>
      <w:hyperlink r:id="rId21">
        <w:r>
          <w:rPr>
            <w:color w:val="1155CC"/>
            <w:u w:val="single"/>
          </w:rPr>
          <w:t>Ardā Wīrāz 1872 edition</w:t>
        </w:r>
      </w:hyperlink>
      <w:r>
        <w:t xml:space="preserve">  •  </w:t>
      </w:r>
      <w:hyperlink r:id="rId15">
        <w:r>
          <w:rPr>
            <w:color w:val="1155CC"/>
            <w:u w:val="single"/>
          </w:rPr>
          <w:t>OpenAMPD</w:t>
        </w:r>
      </w:hyperlink>
    </w:p>
    <w:p>
      <w:pPr>
        <w:sectPr>
          <w:pgSz w:w="15840" w:h="12240" w:orient="landscape"/>
          <w:pgMar w:top="765" w:right="822" w:bottom="765" w:left="822" w:header="312" w:footer="312" w:gutter="0"/>
          <w:cols w:space="720"/>
          <w:docGrid w:linePitch="360"/>
        </w:sectPr>
      </w:pPr>
    </w:p>
    <w:p>
      <w:pPr>
        <w:pStyle w:val="Heading1"/>
      </w:pPr>
      <w:r>
        <w:t>4. Карта прав и практического использования</w:t>
      </w:r>
    </w:p>
    <w:p>
      <w:pPr>
        <w:pStyle w:val="ToSLead"/>
      </w:pPr>
      <w:r>
        <w:t>Правовая карта построена не по принципу «древнее значит свободное», а по компонентам. Для каждой строки отдельно оценены исходное произведение, конкретная редакция/перевод, цифровой объект и условия платформы. Положительные теги действуют только внутри указанного rights_scope и coverage.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4989"/>
      </w:tblGrid>
      <w:tr>
        <w:trPr>
          <w:tblHeader w:val="true"/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tos_use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Записей*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MIRROR_OK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2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прямое повторное размещение доказано для узкого компонента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MIRROR_WITH_ATTRIBUTION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25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преимущественно MUYA transcriptions/editions и отдельные CC BY страницы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MIRROR_NONCOMMERCIAL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15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NC-лицензии или site-specific некоммерческое разрешение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UNCHANGED_ONLY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11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разрешение ограничено неизменённым файлом/HTML либо сохранением notice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SHAREALIKE_REQUIRED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4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производные должны наследовать лицензию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OCR_OK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13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разрешение или достаточно чистый публичнодоменный факсимильный слой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FULLTEXT_INDEX_OK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63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локальное/публичное индексирование допустимо в заявленном scope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EMBEDDINGS_OK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46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машинное представление допустимо в заявленном scope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OWN_TRANSLATION_POSSIBLE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33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есть конкретная чистая основа, но часто лишь один witness, фрагмент или историческое издание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PERMISSION_REQUIRED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20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современный перевод, critical edition, изображения либо файл остаются защищёнными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LINK_ONLY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19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публично хранить копию не рекомендуется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RIGHTS_REVIEW_REQUIRED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  <w:jc w:val="center"/>
            </w:pPr>
            <w:r>
              <w:rPr>
                <w:color w:val="20323A"/>
                <w:sz w:val="16"/>
              </w:rPr>
              <w:t>72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item/component-level доказательство неполно или юрисдикция неочевидна</w:t>
            </w:r>
          </w:p>
        </w:tc>
      </w:tr>
    </w:tbl>
    <w:p>
      <w:pPr>
        <w:pStyle w:val="ToSSmall"/>
      </w:pPr>
      <w:r>
        <w:t>* Теги пересекаются: одна запись может одновременно разрешать чтение, индексирование и некоммерческое зеркалирование, но требовать ручной проверки изображений.</w:t>
      </w:r>
    </w:p>
    <w:p>
      <w:pPr>
        <w:pStyle w:val="Heading2"/>
      </w:pPr>
      <w:r>
        <w:t>Слой, который ToS потенциально может зеркалировать</w:t>
      </w:r>
    </w:p>
    <w:p>
      <w:r>
        <w:t>Наиболее сильные основания:</w:t>
      </w:r>
    </w:p>
    <w:p>
      <w:pPr>
        <w:pStyle w:val="ListBullet"/>
        <w:spacing w:after="40"/>
      </w:pPr>
      <w:r>
        <w:t>MUYA / SOAS: текстовые транскрипции и editions распространяются под CC BY 4.0. Для ToS это даёт основу для зеркалирования с атрибуцией, полнотекстового индекса, embeddings и собственного перевода в пределах реально опубликованных фрагментов/свидетелей. Фотографии рукописей исключены из автоматического вывода и проверяются отдельно.</w:t>
      </w:r>
    </w:p>
    <w:p>
      <w:pPr>
        <w:pStyle w:val="ListBullet"/>
        <w:spacing w:after="40"/>
      </w:pPr>
      <w:r>
        <w:t>Avesta.org / Joseph H. Peterson: отдельные цифровые редакции имеют явное CC BY 4.0 — Dēnkard V (A23-R048), Zādspram (R077), Dādestān ī Dēnīg (R106), Šāyest nē Šāyest (R108). Лицензия не переносится на весь сайт и на заимствованные современные переводы.</w:t>
      </w:r>
    </w:p>
    <w:p>
      <w:pPr>
        <w:pStyle w:val="ListBullet"/>
        <w:spacing w:after="40"/>
      </w:pPr>
      <w:r>
        <w:t>OpenAMPD: текстовые и структурированные данные заявлены под CC BY-NC-SA 4.0. Для публичного некоммерческого ToS возможны хранение и производные при атрибуции и ShareAlike; изображения и материалы третьих лиц всё равно требуют item-level проверки.</w:t>
      </w:r>
    </w:p>
    <w:p>
      <w:pPr>
        <w:pStyle w:val="ListBullet"/>
        <w:spacing w:after="40"/>
      </w:pPr>
      <w:r>
        <w:t>Ardā Wīrāz Nāmag 1872 в National Library of Scotland / Internet Archive: цифровой ресурс отмечен CC BY-NC-SA 2.5 UK: Scotland. Это сильный некоммерческий маршрут для неизменённого факсимиле и работы с содержащимися в нём Pahlavi text / Roman transcription.</w:t>
      </w:r>
    </w:p>
    <w:p>
      <w:pPr>
        <w:pStyle w:val="Heading2"/>
      </w:pPr>
      <w:r>
        <w:t>Бесплатно читать или скачать, но не зеркалировать автоматически</w:t>
      </w:r>
    </w:p>
    <w:p>
      <w:r>
        <w:t>Большая часть Avesta.org, ADA, CAB, MPCD, Pārsīg Database и ряда Internet Archive items законно открывается и иногда скачивается, но открытость доступа не была подкреплена универсальным разрешением на повторную публикацию. Для таких строк сохранены LINK_OK / FREE_READ / FREE_DOWNLOAD / LOCAL_RESEARCH_COPY, а зеркалирование блокировано RIGHTS_REVIEW_REQUIRED.</w:t>
      </w:r>
    </w:p>
    <w:p>
      <w:pPr>
        <w:pStyle w:val="ListBullet"/>
        <w:spacing w:after="40"/>
      </w:pPr>
      <w:r>
        <w:t>ADA: архив рукописей и item-level изображения полезны для сравнения свидетелей, но права принадлежат разным владельцам и коллекциям.</w:t>
      </w:r>
    </w:p>
    <w:p>
      <w:pPr>
        <w:pStyle w:val="ListBullet"/>
        <w:spacing w:after="40"/>
      </w:pPr>
      <w:r>
        <w:t>CAB: лингвистический и литургический корпуса доступны как исследовательский сервис, однако явная open-content лицензия для bulk reuse не установлена.</w:t>
      </w:r>
    </w:p>
    <w:p>
      <w:pPr>
        <w:pStyle w:val="ListBullet"/>
        <w:spacing w:after="40"/>
      </w:pPr>
      <w:r>
        <w:t>MPCD: проект описывает крупный TEI-аннотированный Middle Persian corpus, но endpoint при проверке вернул HTTP 403, а component-level лицензия не найдена.</w:t>
      </w:r>
    </w:p>
    <w:p>
      <w:pPr>
        <w:pStyle w:val="ListBullet"/>
        <w:spacing w:after="40"/>
      </w:pPr>
      <w:r>
        <w:t>Internet Archive: факт наличия download не считается сам по себе доказательством прав. Сильные рекомендации даны только там, где есть item statement, историческое издание и достаточная provenance.</w:t>
      </w:r>
    </w:p>
    <w:p>
      <w:pPr>
        <w:pStyle w:val="Heading2"/>
      </w:pPr>
      <w:r>
        <w:t>Некоммерческое использование с условиями</w:t>
      </w:r>
    </w:p>
    <w:p>
      <w:r>
        <w:t>NC-материалы не исключались. Для OpenAMPD и Ardā Wīrāz NLS/IA требуется некоммерческий режим; OpenAMPD дополнительно требует атрибуцию и ShareAlike. Internet Sacred Text Archive разрешает некоммерческое повторное использование собственных HTML-файлов при сохранении notice/атрибуции, но это site-specific условие, а не Creative Commons и не разрешение на произвольную переработку всех исходных книг.</w:t>
      </w:r>
    </w:p>
    <w:p>
      <w:pPr>
        <w:pStyle w:val="Heading2"/>
      </w:pPr>
      <w:r>
        <w:t>Link-only, borrow, preview и purchase</w:t>
      </w:r>
    </w:p>
    <w:p>
      <w:r>
        <w:t>Современные научные издания сохранены даже без открытой копии: OUP Bundahišn, Peeters Zādspram и Hērbedestān/Nērangestān, Mazda Publishers Mādayān, Routledge Ardā Wīrāz, современный Zand ī Wahman Yasn. Они являются лучшими научными путями, но для ToS остаются LINK_ONLY / LIBRARY_BORROW / PURCHASE либо требуют отдельного разрешения.</w:t>
      </w:r>
    </w:p>
    <w:p>
      <w:pPr>
        <w:pStyle w:val="Heading2"/>
      </w:pPr>
      <w:r>
        <w:t>Где возможно создание собственного перевода 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066"/>
      </w:tblGrid>
      <w:tr>
        <w:trPr>
          <w:tblHeader w:val="true"/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Чистая или условно чистая основа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Предел вывода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MUYA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CC BY 4.0 edited Avestan/Middle Persian/Sanskrit textual layers; только опубликованные sections/witnesses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Geldner Avesta scans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исторический Avestan critical text; чистая основа зависит от item provenance и юрисдикции конкретного скана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Madan Dēnkard scans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исторический Middle Persian edition layer; перевод возможен только по покрытым книгам и после проверки цифрового объекта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Bulsara 1915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Avestan/Middle Persian edition of Hērbedestān/Nērangestān, item marked public domain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SGW 1887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Pāzand, Sanskrit and surviving Pahlavi fragment; не реконструирует утраченный полный Pahlavi text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Ardā Wīrāz 1872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Pahlavi text and Roman transcription under a stated NC-SA digital-resource licence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OpenAMPD MP6000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CC BY-NC-SA 4.0 Middle Persian transcription of one document</w:t>
            </w:r>
          </w:p>
        </w:tc>
      </w:tr>
      <w:tr>
        <w:trPr>
          <w:cantSplit/>
        </w:trP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Qissa/Zartošt historical facsimiles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source-language historical editions; scope ограничен конкретными томами и требует provenance review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44"/>
      </w:tblGrid>
      <w:tr>
        <w:trPr>
          <w:cantSplit/>
        </w:trPr>
        <w:tc>
          <w:tcPr>
            <w:tcW w:type="dxa" w:w="5156"/>
            <w:shd w:fill="A14B3D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56"/>
            <w:shd w:fill="F8E9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20323A"/>
              </w:rPr>
              <w:t>Критическое ограничение OWN_TRANSLATION_POSSIBLE</w:t>
            </w:r>
            <w:r>
              <w:br/>
              <w:t>Этот тег не обещает перевод всего произведения. Для single_witness он разрешает опираться только на этот свидетель; для fragment — только на фрагмент; для исторического edition — только на содержащийся там source-language layer. Утраченные nasks и тексты, доступные лишь через защищённый перевод-посредник, безусловного тега не получили.</w:t>
            </w:r>
          </w:p>
        </w:tc>
      </w:tr>
    </w:tbl>
    <w:p>
      <w:pPr>
        <w:spacing w:after="0"/>
      </w:pPr>
    </w:p>
    <w:p>
      <w:pPr>
        <w:pStyle w:val="Heading1"/>
      </w:pPr>
      <w:r>
        <w:t>5. Характерные правовые тонкости</w:t>
      </w:r>
    </w:p>
    <w:p>
      <w:pPr>
        <w:ind w:left="198" w:hanging="198"/>
      </w:pPr>
      <w:r>
        <w:rPr>
          <w:b/>
          <w:color w:val="173F4F"/>
        </w:rPr>
        <w:t xml:space="preserve">1. Древний текст не освобождает современную версию. </w:t>
      </w:r>
      <w:r>
        <w:t>Avesta, Dēnkard, Bundahišn и другие исходные произведения находятся вне современного авторского права как древние/средневековые тексты, но перевод, critical reconstruction, apparatus, normalization, комментарий и OCR могут быть самостоятельными охраняемыми объектами.</w:t>
      </w:r>
    </w:p>
    <w:p>
      <w:pPr>
        <w:ind w:left="198" w:hanging="198"/>
      </w:pPr>
      <w:r>
        <w:rPr>
          <w:b/>
          <w:color w:val="173F4F"/>
        </w:rPr>
        <w:t xml:space="preserve">2. Транскрипция и фотография рукописи — разные компоненты. </w:t>
      </w:r>
      <w:r>
        <w:t>У MUYA текстовые transcriptions/editions имеют CC BY 4.0, тогда как фотография конкретного манускрипта может принадлежать British Library, Bodleian, частному владельцу или другой коллекции. Лицензия текста не переносится на изображение.</w:t>
      </w:r>
    </w:p>
    <w:p>
      <w:pPr>
        <w:ind w:left="198" w:hanging="198"/>
      </w:pPr>
      <w:r>
        <w:rPr>
          <w:b/>
          <w:color w:val="173F4F"/>
        </w:rPr>
        <w:t xml:space="preserve">3. Download не равен праву повторного размещения. </w:t>
      </w:r>
      <w:r>
        <w:t>ADA, Avesta.org, Internet Archive и другие сервисы могут отдавать PDF, EPUB, XML или изображения. Реестр отмечает свободное скачивание как способ доступа, но MIRROR-тег ставит только при отдельном правовом основании.</w:t>
      </w:r>
    </w:p>
    <w:p>
      <w:pPr>
        <w:ind w:left="198" w:hanging="198"/>
      </w:pPr>
      <w:r>
        <w:rPr>
          <w:b/>
          <w:color w:val="173F4F"/>
        </w:rPr>
        <w:t xml:space="preserve">4. Public Domain по дате — вывод, а не лицензия. </w:t>
      </w:r>
      <w:r>
        <w:t>Для изданий XIX — начала XX века использована формулировка likely_public_domain_by_publication_date с юрисдикционной оговоркой. Public Domain Mark не назывался лицензией; наличие старого текста в США не автоматически решает статус всех стран и всех цифровых производных.</w:t>
      </w:r>
    </w:p>
    <w:p>
      <w:pPr>
        <w:ind w:left="198" w:hanging="198"/>
      </w:pPr>
      <w:r>
        <w:rPr>
          <w:b/>
          <w:color w:val="173F4F"/>
        </w:rPr>
        <w:t xml:space="preserve">5. Разрешение хоста не передаётся пользователю автоматически. </w:t>
      </w:r>
      <w:r>
        <w:t>Современный Škand Gumānīg Wizār Raham Asha законно размещён с разрешения, но это не даёт ToS права зеркалировать PDF. Аналогично protected excerpts на Avesta.org остаются link-only, даже если страница открывается бесплатно.</w:t>
      </w:r>
    </w:p>
    <w:p>
      <w:pPr>
        <w:ind w:left="198" w:hanging="198"/>
      </w:pPr>
      <w:r>
        <w:rPr>
          <w:b/>
          <w:color w:val="173F4F"/>
        </w:rPr>
        <w:t xml:space="preserve">6. Реконструкция 21 nask имеет особый правовой и текстологический риск. </w:t>
      </w:r>
      <w:r>
        <w:t>Поздние Dēnkard summaries свободно читаются как отдельные тексты, но они не превращаются в «свободный полный Сасанидский Авеста». Собственная реконструкция ToS должна отличать цитату, summary, editorial inference и утраченный объект.</w:t>
      </w:r>
    </w:p>
    <w:p>
      <w:pPr>
        <w:ind w:left="198" w:hanging="198"/>
      </w:pPr>
      <w:r>
        <w:rPr>
          <w:b/>
          <w:color w:val="173F4F"/>
        </w:rPr>
        <w:t xml:space="preserve">7. Машинное использование неодинаково. </w:t>
      </w:r>
      <w:r>
        <w:t>LOCAL_RESEARCH_COPY, OCR_OK, FULLTEXT_INDEX_OK и EMBEDDINGS_OK оценены раздельно. Локальное исследование защищённой книги, публичная выдача её OCR и распространение полного searchable corpus — юридически разные действия.</w:t>
      </w:r>
    </w:p>
    <w:p>
      <w:pPr>
        <w:ind w:left="198" w:hanging="198"/>
      </w:pPr>
      <w:r>
        <w:rPr>
          <w:b/>
          <w:color w:val="173F4F"/>
        </w:rPr>
        <w:t xml:space="preserve">8. Смешанные платформы требуют component-level provenance. </w:t>
      </w:r>
      <w:r>
        <w:t>MPCD, OpenAMPD, ADA, MUYA, Wikisource и Internet Archive объединяют собственный код, метаданные, транскрипции, изображения и материалы третьих лиц. Общая лицензия проекта никогда не перенесена на все компоненты без прямого evidence URL.</w:t>
      </w:r>
    </w:p>
    <w:p>
      <w:pPr>
        <w:pStyle w:val="Heading2"/>
      </w:pPr>
      <w:r>
        <w:t>Повторяющиеся смешанные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835"/>
        <w:gridCol w:w="3685"/>
      </w:tblGrid>
      <w:tr>
        <w:trPr>
          <w:tblHeader w:val="true"/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открыто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блокирует автоматическое переиспользование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MUYA witness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CC BY transcription/edition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third-party manuscript photography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Historical IA scan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read/download; иногда explicit PD/CC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uploader provenance, scan rights, worldwide status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Avesta.org digital edition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free reading; иногда CC BY item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borrowed modern translation, site markup, no blanket licence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Sacred Texts HTML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noncommercial attributed reuse of site files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no general right to remix all underlying source editions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Modern publisher page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metadata, preview, purchase/borrow route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6"/>
              </w:rPr>
              <w:t>critical text, translation and apparatus remain in copyright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Wikisource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PD base text plus downloadable transcription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6"/>
              </w:rPr>
              <w:t>contributor layer may carry CC BY-SA and attribution duties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44"/>
      </w:tblGrid>
      <w:tr>
        <w:trPr>
          <w:cantSplit/>
        </w:trPr>
        <w:tc>
          <w:tcPr>
            <w:tcW w:type="dxa" w:w="5156"/>
            <w:shd w:fill="2F697C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56"/>
            <w:shd w:fill="EAF3F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20323A"/>
              </w:rPr>
              <w:t>Практическое правило для Codex</w:t>
            </w:r>
            <w:r>
              <w:br/>
              <w:t>Автоматический пайплайн не должен выводить разрешение по домену, возрасту произведения или наличию кнопки Download. Решение берётся из сочетания rights_scope + coverage + tos_use + rights_evidence_url; RIGHTS_REVIEW_REQUIRED ограничивает все более широкие трактовки.</w:t>
            </w:r>
          </w:p>
        </w:tc>
      </w:tr>
    </w:tbl>
    <w:p>
      <w:pPr>
        <w:spacing w:after="0"/>
      </w:pPr>
    </w:p>
    <w:p>
      <w:pPr>
        <w:pStyle w:val="Heading1"/>
      </w:pPr>
      <w:r>
        <w:t>6. Пробелы и дальнейший поиск</w:t>
      </w:r>
    </w:p>
    <w:p>
      <w:pPr>
        <w:pStyle w:val="ToSLead"/>
      </w:pPr>
      <w:r>
        <w:t>Исследование завершает центральное ядро, но не скрывает границы доказательности. На листе gaps сохранены 12 объектов или задач, для которых прямой цифровой вход, полный текст, item-level права либо современная открытая редакция остаются недостаточными.</w:t>
      </w:r>
    </w:p>
    <w:p>
      <w:pPr>
        <w:pStyle w:val="Heading2"/>
      </w:pPr>
      <w:r>
        <w:t>Главные незакрытые объекты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608"/>
        <w:gridCol w:w="2665"/>
        <w:gridCol w:w="2721"/>
      </w:tblGrid>
      <w:tr>
        <w:trPr>
          <w:tblHeader w:val="true"/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Кандидат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Почему не закрыт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Следующий точный шаг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4CCCC"/>
          </w:tcPr>
          <w:p>
            <w:pPr>
              <w:spacing w:after="0"/>
            </w:pPr>
            <w:r>
              <w:rPr>
                <w:b/>
                <w:color w:val="990000"/>
                <w:sz w:val="15"/>
              </w:rPr>
              <w:t>A23-G001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Lost books and sections of the reconstructed 21-nask Sasanian Avesta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No direct text survives; only summaries, quotations and testimonia are accessible.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Map every Dēnkard VIII–IX nask summary to extant Avestan fragments and later Persian Rivāyat notices; keep lost works distinct from their testimonia.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4CCCC"/>
          </w:tcPr>
          <w:p>
            <w:pPr>
              <w:spacing w:after="0"/>
            </w:pPr>
            <w:r>
              <w:rPr>
                <w:b/>
                <w:color w:val="990000"/>
                <w:sz w:val="15"/>
              </w:rPr>
              <w:t>A23-G002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Dēnkard Books I–II and lost opening of Book III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The portions are lost and cannot receive a genuine full-text access record.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Record testimonia and modern reconstruction discussions without fabricating a surviving work-level digital object.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4CCCC"/>
          </w:tcPr>
          <w:p>
            <w:pPr>
              <w:spacing w:after="0"/>
            </w:pPr>
            <w:r>
              <w:rPr>
                <w:b/>
                <w:color w:val="990000"/>
                <w:sz w:val="15"/>
              </w:rPr>
              <w:t>A23-G003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Dēnkard manuscript B / Bombay 55 and the 1966 Dresden facsimile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Bibliographic and manuscript references were found, but no verified lawful item-level open facsimile with clear reuse terms.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Search Staatsbibliothek zu Berlin, Dresden SLUB, K. R. Cama Oriental Institute and WorldCat by shelfmark/title; verify image rights separately.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4CCCC"/>
          </w:tcPr>
          <w:p>
            <w:pPr>
              <w:spacing w:after="0"/>
            </w:pPr>
            <w:r>
              <w:rPr>
                <w:b/>
                <w:color w:val="990000"/>
                <w:sz w:val="15"/>
              </w:rPr>
              <w:t>A23-G004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Item-level facsimiles for Bundahišn witnesses K20, H6, TD1, TD2, K43 and DH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Witnesses are documented and some scans are indirectly referenced, but complete stable item pages and component-level rights were uneven.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Resolve each shelfmark in Copenhagen, Munich, Mumbai, Berlin and relevant manuscript portals; record each physical witness separately.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4CCCC"/>
          </w:tcPr>
          <w:p>
            <w:pPr>
              <w:spacing w:after="0"/>
            </w:pPr>
            <w:r>
              <w:rPr>
                <w:b/>
                <w:color w:val="990000"/>
                <w:sz w:val="15"/>
              </w:rPr>
              <w:t>A23-G005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Mādayān ī Hazār Dādestān: Modi 1901 facsimile and Anklesaria 1912 supplement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No fully verified lawful open item-level scan with reliable provenance and rights statement was secured during this pass.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Search Asiatic Society Mumbai / Granth Sanjeevani, HathiTrust, Google Books and institutional catalogues by exact edition title and manuscript history.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4CCCC"/>
          </w:tcPr>
          <w:p>
            <w:pPr>
              <w:spacing w:after="0"/>
            </w:pPr>
            <w:r>
              <w:rPr>
                <w:b/>
                <w:color w:val="990000"/>
                <w:sz w:val="15"/>
              </w:rPr>
              <w:t>A23-G006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Complete modern source-language edition of Vizīdagīhā ī Zādspram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Open English translations and historical selections were found, but not a complete openly licensed critical Middle Persian text.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Check Gignoux–Tafazzoli and subsequent editions through publishers, libraries and author repositories; separate critical text from translation rights.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2CC"/>
          </w:tcPr>
          <w:p>
            <w:pPr>
              <w:spacing w:after="0"/>
            </w:pPr>
            <w:r>
              <w:rPr>
                <w:color w:val="20323A"/>
                <w:sz w:val="15"/>
              </w:rPr>
              <w:t>A23-G007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Complete modern source-language edition of Mēnōg ī Xrad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Historical English access is strong; a verified complete open modern Middle Persian edition was not secured.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Search university repositories and current publishers for open author manuscripts or lawful previews; retain historical facsimiles as a separate basis.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4CCCC"/>
          </w:tcPr>
          <w:p>
            <w:pPr>
              <w:spacing w:after="0"/>
            </w:pPr>
            <w:r>
              <w:rPr>
                <w:b/>
                <w:color w:val="990000"/>
                <w:sz w:val="15"/>
              </w:rPr>
              <w:t>A23-G008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Full item-level digital edition of Pahlavi Videvdad / Zand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A protected Avesta.org digital edition and manuscript witnesses exist, but reusable complete text and explicit rights remain unclear.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Use MPCD/MUYA/ADA witness data to identify open transcriptions; verify whether the Pahlavi text, apparatus and manuscript images have separate licenses.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2CC"/>
          </w:tcPr>
          <w:p>
            <w:pPr>
              <w:spacing w:after="0"/>
            </w:pPr>
            <w:r>
              <w:rPr>
                <w:color w:val="20323A"/>
                <w:sz w:val="15"/>
              </w:rPr>
              <w:t>A23-G009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Pursišnīhā and Hadōxt Nask item-level records in MPCD or other scholarly corpora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Project descriptions mention the materials, but stable item pages, full coverage and explicit content licenses were not established.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Revisit MPCD when the corpus endpoint is accessible; search by Middle Persian title variants and manuscript identifiers.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4CCCC"/>
          </w:tcPr>
          <w:p>
            <w:pPr>
              <w:spacing w:after="0"/>
            </w:pPr>
            <w:r>
              <w:rPr>
                <w:b/>
                <w:color w:val="990000"/>
                <w:sz w:val="15"/>
              </w:rPr>
              <w:t>A23-G010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Component-level license and API/bulk-download documentation for MPCD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The project and corpus scope are clear, but the live corpus endpoint returned HTTP 403 and no explicit reusable-data license was found.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Contact project maintainers or inspect accessible documentation for TEI export, API, corpus license, code license and manuscript-image terms.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2CC"/>
          </w:tcPr>
          <w:p>
            <w:pPr>
              <w:spacing w:after="0"/>
            </w:pPr>
            <w:r>
              <w:rPr>
                <w:color w:val="20323A"/>
                <w:sz w:val="15"/>
              </w:rPr>
              <w:t>A23-G011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Lost Xwadāy-nāmag and direct witnesses to the Pahlavi-to-Šāhnāma transmission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The Middle Persian royal book is lost; later Arabic and New Persian works preserve indirect lines rather than a direct digital object.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5"/>
              </w:rPr>
              <w:t>Build a testimonia-only subregistry covering Arabic adaptations, Ṭabarī/Balʿamī lines and Ferdowsi, with explicit relation types and no claim of textual identity.</w:t>
            </w:r>
          </w:p>
        </w:tc>
      </w:tr>
      <w:tr>
        <w:trPr>
          <w:cantSplit/>
        </w:trPr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FFF2CC"/>
          </w:tcPr>
          <w:p>
            <w:pPr>
              <w:spacing w:after="0"/>
            </w:pPr>
            <w:r>
              <w:rPr>
                <w:color w:val="20323A"/>
                <w:sz w:val="15"/>
              </w:rPr>
              <w:t>A23-G012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Modern open-licensed critical edition of Škand Gumānīg Wizār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A modern PDF is lawfully hosted with permission but remains copyrighted; the openly reusable layer is the historical 1887 edition.</w:t>
            </w:r>
          </w:p>
        </w:tc>
        <w:tc>
          <w:tcPr>
            <w:tcW w:type="dxa" w:w="257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5"/>
              </w:rPr>
              <w:t>Search author and institutional repositories for an OA edition with an explicit Creative Commons license; otherwise keep the modern version link-only.</w:t>
            </w:r>
          </w:p>
        </w:tc>
      </w:tr>
    </w:tbl>
    <w:p>
      <w:pPr>
        <w:pStyle w:val="Heading2"/>
      </w:pPr>
      <w:r>
        <w:t>Доступ только через покупку, библиотеку или контролируемую коллекцию</w:t>
      </w:r>
    </w:p>
    <w:p>
      <w:pPr>
        <w:pStyle w:val="ListBullet"/>
        <w:spacing w:after="40"/>
      </w:pPr>
      <w:r>
        <w:t>Mādayān ī Hazār Dādestān: современная работа Maria Macuch доступна через Mazda Publishers и библиотеки; открытая полная critical edition не найдена.</w:t>
      </w:r>
    </w:p>
    <w:p>
      <w:pPr>
        <w:pStyle w:val="ListBullet"/>
        <w:spacing w:after="40"/>
      </w:pPr>
      <w:r>
        <w:t>Hērbedestān/Nērangestān: современные тома Kotwal–Kreyenbroek у Peeters остаются purchase/institutional/library; исторический Bulsara открыт.</w:t>
      </w:r>
    </w:p>
    <w:p>
      <w:pPr>
        <w:pStyle w:val="ListBullet"/>
        <w:spacing w:after="40"/>
      </w:pPr>
      <w:r>
        <w:t>Zādspram: современное издание Gignoux–Tafazzoli доступно через Peeters/библиотеки, тогда как открытые версии дают главным образом исторические selections.</w:t>
      </w:r>
    </w:p>
    <w:p>
      <w:pPr>
        <w:pStyle w:val="ListBullet"/>
        <w:spacing w:after="40"/>
      </w:pPr>
      <w:r>
        <w:t>Bundahišn: OUP 2020 — лучший современный английский научный вход, но не материал для зеркалирования.</w:t>
      </w:r>
    </w:p>
    <w:p>
      <w:pPr>
        <w:pStyle w:val="ListBullet"/>
        <w:spacing w:after="40"/>
      </w:pPr>
      <w:r>
        <w:t>Ardā Wīrāz Nāmag: Vahman/Routledge — современный научный вариант; свободный слой представлен историческим изданием 1872.</w:t>
      </w:r>
    </w:p>
    <w:p>
      <w:pPr>
        <w:pStyle w:val="ListBullet"/>
        <w:spacing w:after="40"/>
      </w:pPr>
      <w:r>
        <w:t>Dēnkard III и Zand ī Wahman Yasn: лучшие современные исследования/переводы в значительной степени библиотечные или платные.</w:t>
      </w:r>
    </w:p>
    <w:p>
      <w:pPr>
        <w:pStyle w:val="Heading2"/>
      </w:pPr>
      <w:r>
        <w:t>Ссылки и endpoints, которые требуют повторной проверки</w:t>
      </w:r>
    </w:p>
    <w:p>
      <w:pPr>
        <w:pStyle w:val="ListBullet"/>
        <w:spacing w:after="40"/>
      </w:pPr>
      <w:r>
        <w:t>https://www.mpcorpus.org/ — corpus endpoint MPCD вернул HTTP 403 при проверке; проектная документация при этом доступна и подтверждает содержание корпуса.</w:t>
      </w:r>
    </w:p>
    <w:p>
      <w:pPr>
        <w:pStyle w:val="ListBullet"/>
        <w:spacing w:after="40"/>
      </w:pPr>
      <w:r>
        <w:t>Некоторые Granth Sanjeevani записи открываются как catalog/controlled-view entry, но не дают бесспорного публичного direct download.</w:t>
      </w:r>
    </w:p>
    <w:p>
      <w:pPr>
        <w:pStyle w:val="ListBullet"/>
        <w:spacing w:after="40"/>
      </w:pPr>
      <w:r>
        <w:t>Для K20, H6, TD1, TD2, K43, DH и Dēnkard manuscript B нужны стабильные item-level страницы владельцев с явными image rights.</w:t>
      </w:r>
    </w:p>
    <w:p>
      <w:pPr>
        <w:pStyle w:val="ListBullet"/>
        <w:spacing w:after="40"/>
      </w:pPr>
      <w:r>
        <w:t>Для нескольких Internet Archive / Digital Library of India items нужно дополнительно сверить scan provenance и item rights, даже когда дата издания указывает на public-domain слой.</w:t>
      </w:r>
    </w:p>
    <w:p>
      <w:pPr>
        <w:pStyle w:val="Heading2"/>
      </w:pPr>
      <w:r>
        <w:t>Targeted follow-up: 8 направлений</w:t>
      </w:r>
    </w:p>
    <w:p>
      <w:pPr>
        <w:pStyle w:val="ListNumber"/>
        <w:spacing w:after="40"/>
      </w:pPr>
      <w:r>
        <w:t>Составить item-level карту рукописей: K20, H6, TD1, TD2, K43, DH, Dēnkard B/Bombay 55 — shelfmark, владелец, IIIF, image rights, stable ID.</w:t>
      </w:r>
    </w:p>
    <w:p>
      <w:pPr>
        <w:pStyle w:val="ListNumber"/>
        <w:spacing w:after="40"/>
      </w:pPr>
      <w:r>
        <w:t>Повторно пройти MPCD после восстановления endpoint: найти per-text URLs, TEI export, API/bulk download, data licence и отдельные условия фотографий.</w:t>
      </w:r>
    </w:p>
    <w:p>
      <w:pPr>
        <w:pStyle w:val="ListNumber"/>
        <w:spacing w:after="40"/>
      </w:pPr>
      <w:r>
        <w:t>Точечно искать Modi 1901 и Anklesaria 1912 по полным библиографическим названиям в Asiatic Society Mumbai, HathiTrust, Google Books и WorldCat.</w:t>
      </w:r>
    </w:p>
    <w:p>
      <w:pPr>
        <w:pStyle w:val="ListNumber"/>
        <w:spacing w:after="40"/>
      </w:pPr>
      <w:r>
        <w:t>Найти lawful open source-language editions для полного Zādspram, Mēnōg ī Xrad и Pahlavi Videvdad; не подменять их английскими историческими переводами.</w:t>
      </w:r>
    </w:p>
    <w:p>
      <w:pPr>
        <w:pStyle w:val="ListNumber"/>
        <w:spacing w:after="40"/>
      </w:pPr>
      <w:r>
        <w:t>Разложить Dēnkard VIII–IX по 21 nask: каждый summary, extant fragment, цитата и Rivāyat testimonium — отдельный evidence trail без изобретения утраченного текста.</w:t>
      </w:r>
    </w:p>
    <w:p>
      <w:pPr>
        <w:pStyle w:val="ListNumber"/>
        <w:spacing w:after="40"/>
      </w:pPr>
      <w:r>
        <w:t>Проверить author-repository/open-access версии современных изданий Macuch, Gignoux–Tafazzoli, Kotwal–Kreyenbroek и Raham Asha с прямыми лицензиями.</w:t>
      </w:r>
    </w:p>
    <w:p>
      <w:pPr>
        <w:pStyle w:val="ListNumber"/>
        <w:spacing w:after="40"/>
      </w:pPr>
      <w:r>
        <w:t>Для поздней передачи построить узкий testimonia-registry: Xwadāy-nāmag → Arabic/Persian adaptations → Šāhnāma, с маркировкой indirect transmission.</w:t>
      </w:r>
    </w:p>
    <w:p>
      <w:pPr>
        <w:pStyle w:val="ListNumber"/>
        <w:spacing w:after="40"/>
      </w:pPr>
      <w:r>
        <w:t>Связать MUYA transcription IDs с ADA manuscript sigla и владельцами фотографий, чтобы Codex мог отделять open text layer от restricted image layer.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44"/>
      </w:tblGrid>
      <w:tr>
        <w:trPr>
          <w:cantSplit/>
        </w:trPr>
        <w:tc>
          <w:tcPr>
            <w:tcW w:type="dxa" w:w="5156"/>
            <w:shd w:fill="A14B3D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56"/>
            <w:shd w:fill="F8E9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20323A"/>
              </w:rPr>
              <w:t>Что сознательно не делалось</w:t>
            </w:r>
            <w:r>
              <w:br/>
              <w:t>Не использовались shadow libraries и неавторизованные современные сканы. Подозрительный доступ не подменял lawful route: вместо него в реестр сохранены publisher, library, preview, metadata или gap-записи.</w:t>
            </w:r>
          </w:p>
        </w:tc>
      </w:tr>
    </w:tbl>
    <w:p>
      <w:pPr>
        <w:spacing w:after="0"/>
      </w:pPr>
    </w:p>
    <w:p>
      <w:pPr>
        <w:pStyle w:val="Heading1"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4989"/>
      </w:tblGrid>
      <w:tr>
        <w:trPr>
          <w:tblHeader w:val="true"/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173F4F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Охват корпуса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b/>
                <w:color w:val="173F4F"/>
                <w:sz w:val="17"/>
              </w:rPr>
              <w:t>высокий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центральные произведения, прямые члены традиции, ранние источники, поздние продолжения и preservation layer представлены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Доступ к оригиналам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b/>
                <w:color w:val="173F4F"/>
                <w:sz w:val="17"/>
              </w:rPr>
              <w:t>средне-высокий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особенно силён для Avesta/MUYA/ADA и исторических изданий; слабее для полного современного Middle Persian ряда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Доступ к переводам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b/>
                <w:color w:val="173F4F"/>
                <w:sz w:val="17"/>
              </w:rPr>
              <w:t>высокий исторически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много полнотекстовых английских переводов XIX–XX вв.; современные научные версии часто защищены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Свободный слой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b/>
                <w:color w:val="173F4F"/>
                <w:sz w:val="17"/>
              </w:rPr>
              <w:t>точечный, но ценный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</w:tcPr>
          <w:p>
            <w:pPr>
              <w:spacing w:after="0"/>
            </w:pPr>
            <w:r>
              <w:rPr>
                <w:color w:val="20323A"/>
                <w:sz w:val="17"/>
              </w:rPr>
              <w:t>MUYA CC BY 4.0; отдельные JHP CC BY 4.0; OpenAMPD CC BY-NC-SA 4.0; Ardā Wīrāz NLS/IA CC BY-NC-SA</w:t>
            </w:r>
          </w:p>
        </w:tc>
      </w:tr>
      <w:tr>
        <w:trPr>
          <w:cantSplit/>
        </w:trPr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Главные ограничения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b/>
                <w:color w:val="173F4F"/>
                <w:sz w:val="17"/>
              </w:rPr>
              <w:t>права и полнота</w:t>
            </w:r>
          </w:p>
        </w:tc>
        <w:tc>
          <w:tcPr>
            <w:tcW w:type="dxa" w:w="343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tcBorders>
              <w:top w:val="single" w:sz="4" w:color="CCDADF"/>
              <w:left w:val="single" w:sz="4" w:color="CCDADF"/>
              <w:bottom w:val="single" w:sz="4" w:color="CCDADF"/>
              <w:right w:val="single" w:sz="4" w:color="CCDADF"/>
            </w:tcBorders>
            <w:shd w:fill="EDF5FA"/>
          </w:tcPr>
          <w:p>
            <w:pPr>
              <w:spacing w:after="0"/>
            </w:pPr>
            <w:r>
              <w:rPr>
                <w:color w:val="20323A"/>
                <w:sz w:val="17"/>
              </w:rPr>
              <w:t>фотографии рукописей, modern apparatus, item-level rights, утерянные nasks, неполные source-language editions</w:t>
            </w:r>
          </w:p>
        </w:tc>
      </w:tr>
    </w:tbl>
    <w:p>
      <w:pPr>
        <w:pStyle w:val="Heading2"/>
      </w:pPr>
      <w:r>
        <w:t>Общий вердикт</w:t>
      </w:r>
    </w:p>
    <w:p>
      <w:pPr>
        <w:pStyle w:val="ToSLead"/>
      </w:pPr>
      <w:r>
        <w:t>A23 покрыт достаточно хорошо, чтобы передать пакет Codex как рабочую исследовательскую основу. Реестр не только собирает ссылки, но и различает корпус, witness, edition, translation, digital object, access mode и rights scope. Особенно хорошо закрыты extant Avesta, рукописная экология MUYA/ADA, Dēnkard, Bundahišn, Hērbedestān/Nērangestān, Škand Gumānīg Wizār и Ardā Wīrāz. Главные зоны дефицита — полный современный открытый Middle Persian слой, item-level facsimiles ряда ключевых кодексов и права на музейные/библиотечные изображения.</w:t>
      </w:r>
    </w:p>
    <w:p>
      <w:r>
        <w:rPr>
          <w:b/>
          <w:color w:val="173F4F"/>
        </w:rPr>
        <w:t xml:space="preserve">Наиболее свободный слой. </w:t>
      </w:r>
      <w:r>
        <w:t>CC BY-транскрипции MUYA; отдельные CC BY digital editions на Avesta.org; CC BY-NC-SA данные OpenAMPD; лицензированный исторический Ardā Wīrāz; отдельные public-domain historical scans.</w:t>
      </w:r>
    </w:p>
    <w:p>
      <w:r>
        <w:rPr>
          <w:b/>
          <w:color w:val="173F4F"/>
        </w:rPr>
        <w:t xml:space="preserve">Наиболее сильный научный слой. </w:t>
      </w:r>
      <w:r>
        <w:t>современные OUP, Peeters, Mazda Publishers и Routledge editions, доступные через покупку, библиотеку или institution.</w:t>
      </w:r>
    </w:p>
    <w:p>
      <w:r>
        <w:rPr>
          <w:b/>
          <w:color w:val="173F4F"/>
        </w:rPr>
        <w:t xml:space="preserve">Главная осторожность. </w:t>
      </w:r>
      <w:r>
        <w:t>не переносить древность оригинала на современный перевод, открытость страницы на право зеркалирования, лицензию транскрипции на фотографию и доступность одного witness на весь corpus.</w:t>
      </w:r>
    </w:p>
    <w:p>
      <w:r>
        <w:rPr>
          <w:b/>
          <w:color w:val="173F4F"/>
        </w:rPr>
        <w:t xml:space="preserve">Готовность к Codex. </w:t>
      </w:r>
      <w:r>
        <w:t>высокая: 138 нормализованных записей с уникальными record_id, 32 обязательными полями, 12 gaps и scope-limited рекомендациями для ссылок, локальных копий, OCR, индексов, embeddings, перевода и распространения.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44"/>
      </w:tblGrid>
      <w:tr>
        <w:trPr>
          <w:cantSplit/>
        </w:trPr>
        <w:tc>
          <w:tcPr>
            <w:tcW w:type="dxa" w:w="5156"/>
            <w:shd w:fill="B8874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156"/>
            <w:shd w:fill="F7F0E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color w:val="20323A"/>
              </w:rPr>
              <w:t>Финальная формула</w:t>
            </w:r>
            <w:r>
              <w:br/>
              <w:t>Исторический диапазон A23 использован как точка фокуса, а не как забор. Корпус расширен назад к авестийскому материалу и сасанидской документальности, вперёд — к пехлевийской рецепции, парсийской передаче и новоперсидской памяти; при этом каждая внепериодная запись имеет конкретную функцию и не меняет мастер-строку.</w:t>
            </w:r>
          </w:p>
        </w:tc>
      </w:tr>
    </w:tbl>
    <w:p>
      <w:pPr>
        <w:spacing w:after="0"/>
      </w:pPr>
    </w:p>
    <w:p>
      <w:pPr>
        <w:pStyle w:val="Heading2"/>
      </w:pPr>
      <w:r>
        <w:t>Файлы поставки</w:t>
      </w:r>
    </w:p>
    <w:p>
      <w:r>
        <w:rPr>
          <w:b/>
        </w:rPr>
        <w:t xml:space="preserve">Реестр: </w:t>
      </w:r>
      <w:r>
        <w:t>ToS_Corpus_Rights_A23_registry.xlsx — листы registry и gaps.</w:t>
      </w:r>
    </w:p>
    <w:p>
      <w:r>
        <w:rPr>
          <w:b/>
        </w:rPr>
        <w:t xml:space="preserve">Отчёт: </w:t>
      </w:r>
      <w:r>
        <w:t>ToS_Corpus_Rights_A23_report.docx — настоящий документ.</w:t>
      </w:r>
    </w:p>
    <w:sectPr w:rsidR="00FC693F" w:rsidRPr="0006063C" w:rsidSect="00034616">
      <w:pgSz w:w="12240" w:h="15840"/>
      <w:pgMar w:top="624" w:right="425" w:bottom="624" w:left="42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oSSmall"/>
      <w:jc w:val="right"/>
    </w:pPr>
    <w:r>
      <w:t xml:space="preserve">A23 · проверено 03.09.2026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oSSmall"/>
      <w:jc w:val="right"/>
    </w:pPr>
    <w:r>
      <w:t>ToS / Древо Софии · Corpus &amp; Rights Registry · A23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20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F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69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B887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F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D6B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SSmall">
    <w:name w:val="ToS Small"/>
    <w:pPr>
      <w:spacing w:after="60"/>
    </w:pPr>
    <w:rPr>
      <w:rFonts w:ascii="Aptos" w:hAnsi="Aptos" w:eastAsia="Aptos"/>
      <w:color w:val="5D6B72"/>
      <w:sz w:val="17"/>
    </w:rPr>
  </w:style>
  <w:style w:type="paragraph" w:customStyle="1" w:styleId="ToSLead">
    <w:name w:val="ToS Lead"/>
    <w:pPr>
      <w:spacing w:line="283" w:lineRule="auto" w:after="180"/>
    </w:pPr>
    <w:rPr>
      <w:rFonts w:ascii="Aptos" w:hAnsi="Aptos" w:eastAsia="Aptos"/>
      <w:color w:val="20323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da.geschkult.fu-berlin.de/" TargetMode="External"/><Relationship Id="rId12" Type="http://schemas.openxmlformats.org/officeDocument/2006/relationships/hyperlink" Target="https://muya.soas.ac.uk/tool/transcriptions-editions/" TargetMode="External"/><Relationship Id="rId13" Type="http://schemas.openxmlformats.org/officeDocument/2006/relationships/hyperlink" Target="https://cab.geschkult.fu-berlin.de/exist/apps/cab/pages/tools/static_linguistic_corpus.html" TargetMode="External"/><Relationship Id="rId14" Type="http://schemas.openxmlformats.org/officeDocument/2006/relationships/hyperlink" Target="https://ma.ceres.rub.de/en/units/mpcd/" TargetMode="External"/><Relationship Id="rId15" Type="http://schemas.openxmlformats.org/officeDocument/2006/relationships/hyperlink" Target="https://mp.melc.berkeley.edu/exist/apps/OpenAMPD/landing.html" TargetMode="External"/><Relationship Id="rId16" Type="http://schemas.openxmlformats.org/officeDocument/2006/relationships/hyperlink" Target="https://www.avesta.org/denkard/index.html" TargetMode="External"/><Relationship Id="rId17" Type="http://schemas.openxmlformats.org/officeDocument/2006/relationships/hyperlink" Target="https://www.avesta.org/mp/bundahis.html" TargetMode="External"/><Relationship Id="rId18" Type="http://schemas.openxmlformats.org/officeDocument/2006/relationships/hyperlink" Target="https://archive.org/details/completetextofpa01dhan" TargetMode="External"/><Relationship Id="rId19" Type="http://schemas.openxmlformats.org/officeDocument/2006/relationships/hyperlink" Target="https://archive.org/details/in.ernet.dli.2015.91637" TargetMode="External"/><Relationship Id="rId20" Type="http://schemas.openxmlformats.org/officeDocument/2006/relationships/hyperlink" Target="https://archive.org/details/shikandgumanikvi00mard" TargetMode="External"/><Relationship Id="rId21" Type="http://schemas.openxmlformats.org/officeDocument/2006/relationships/hyperlink" Target="https://archive.org/details/bookofardaviraf00ha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A23</dc:title>
  <dc:subject>Sasanian Avesta and Pahlavi scholastic corpus, access and rights</dc:subject>
  <dc:creator>OpenAI — research synthesis for ToS / Древо Софии</dc:creator>
  <cp:keywords>ToS, A23, Avesta, Dēnkard, Bundahišn, Pahlavi, rights, corpus</cp:keywords>
  <dc:description>Based on the attached ToS Deep Research document and live web verification conducted 2026-09-03.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