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T2-32 — Адвайта-веданта</w:t>
        <w:br/>
        <w:t>и пост-шанкаровские линии</w:t>
      </w:r>
    </w:p>
    <w:p>
      <w:r>
        <w:rPr>
          <w:b/>
        </w:rPr>
        <w:t>103 пути доступа · около 80 текстовых единиц · 30 исследовательских пробелов</w:t>
      </w:r>
    </w:p>
    <w:p>
      <w:pPr>
        <w:pStyle w:val="Heading1"/>
      </w:pPr>
      <w:r>
        <w:t>1. Паспорт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57"/>
      </w:tblGrid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Мастер-строка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T2-32; исходный статус A, уверенность 5/5.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Историческая рамка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Формирование: VII–IX вв.; фиксация / передача: VIII–XIII вв.; канонизация / комментарий: X–XV вв.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Исходный документ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ToS Deep Research_ T2-32 — Адвайта-веданта и пост-шанкаровские линии(1).docx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Дата проверки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4 сентября 2026 г.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Языки поиска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Английский и русский; санскритские названия в IAST, упрощённой латинице и деванагари; французские библиографические варианты. Malayalam — язык части каталогизированного материала, не отдельный полнотекстовый поисковый проход.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Поставка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XLSX: registry, 32 обязательных поля; gaps, 30 записей. Настоящий DOCX: охват, лучшие входы, права и ограничения.</w:t>
            </w:r>
          </w:p>
        </w:tc>
      </w:tr>
    </w:tbl>
    <w:p>
      <w:pPr>
        <w:pStyle w:val="Heading2"/>
      </w:pPr>
      <w:r>
        <w:t>Что считалось ядром</w:t>
      </w:r>
    </w:p>
    <w:p>
      <w:r>
        <w:t>Из DR приняты bhāṣya Śaṅkara на Brahmasūtra, Upaniṣad и Bhagavadgītā, Upadeśasāhasrī, Brahmasiddhi, Naiṣkarmyasiddhi, Pañcapādikā, Bhāmatī, Tattvasamīkṣā, Iṣṭasiddhi, Pañcapādikāvivaraṇa, Khaṇḍanakhaṇḍakhādya и позднесредневековый корпус Vidyāraṇya. PANDiT/BORI и Thrissur–HMML исследовались как каналы сохранности, не как самостоятельные философские сочинения.</w:t>
      </w:r>
    </w:p>
    <w:p>
      <w:r>
        <w:t>Для доступа использованы официальные текстовые проекты, издатели, университетские и национальные библиотеки, а также институциональные загрузки старых изданий в Internet Archive. Идентификация опирается на заголовки e-text, библиотечные сигнатуры, ISBN и издательские описания. Права проверялись отдельно — по item-level уведомлениям, лицензиям и применимым условиям учреждения.</w:t>
      </w:r>
    </w:p>
    <w:p>
      <w:pPr>
        <w:pStyle w:val="Caption"/>
      </w:pPr>
      <w:r>
        <w:t xml:space="preserve">В отчёте </w:t>
      </w:r>
      <w:hyperlink r:id="rId11">
        <w:r>
          <w:rPr>
            <w:color w:val="155A89"/>
            <w:u w:val="single"/>
          </w:rPr>
          <w:t>R001</w:t>
        </w:r>
      </w:hyperlink>
      <w:r>
        <w:t xml:space="preserve"> означает T2-32-</w:t>
      </w:r>
      <w:hyperlink r:id="rId11">
        <w:r>
          <w:rPr>
            <w:color w:val="155A89"/>
            <w:u w:val="single"/>
          </w:rPr>
          <w:t>R001</w:t>
        </w:r>
      </w:hyperlink>
      <w:r>
        <w:t xml:space="preserve"> в registry; номер является ссылкой на источник доступа. G01 означает запись листа gaps. Проверка страницы не равна колляции всех страниц книги или листов рукописи.</w:t>
      </w:r>
    </w:p>
    <w:p>
      <w:r>
        <w:br w:type="page"/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Исходное ядро: от произведения к версии</w:t>
      </w:r>
    </w:p>
    <w:p>
      <w:r>
        <w:t>Основные группы из DR получили конкретные входы. Для Brahmasūtrabhāṣya есть санскритское чтение, неполный GRETIL e-text, два исторических английских тома и современный перевод. Для Upaniṣad-bhāṣya общая формула DR разложена на самостоятельные комментарии, включая две формы Kena-bhāṣya. Upadeśasāhasrī представлен санскритским текстом, переводом Alston и preview Mayeda. [</w:t>
      </w:r>
      <w:hyperlink r:id="rId11">
        <w:r>
          <w:rPr>
            <w:color w:val="155A89"/>
            <w:u w:val="single"/>
          </w:rPr>
          <w:t>R001</w:t>
        </w:r>
      </w:hyperlink>
      <w:r>
        <w:t>–</w:t>
      </w:r>
      <w:hyperlink r:id="rId12">
        <w:r>
          <w:rPr>
            <w:color w:val="155A89"/>
            <w:u w:val="single"/>
          </w:rPr>
          <w:t>R024</w:t>
        </w:r>
      </w:hyperlink>
      <w:r>
        <w:t xml:space="preserve">; </w:t>
      </w:r>
      <w:hyperlink r:id="rId13">
        <w:r>
          <w:rPr>
            <w:color w:val="155A89"/>
            <w:u w:val="single"/>
          </w:rPr>
          <w:t>R057</w:t>
        </w:r>
      </w:hyperlink>
      <w:r>
        <w:t>–</w:t>
      </w:r>
      <w:hyperlink r:id="rId14">
        <w:r>
          <w:rPr>
            <w:color w:val="155A89"/>
            <w:u w:val="single"/>
          </w:rPr>
          <w:t>R061</w:t>
        </w:r>
      </w:hyperlink>
      <w:r>
        <w:t xml:space="preserve">; </w:t>
      </w:r>
      <w:hyperlink r:id="rId15">
        <w:r>
          <w:rPr>
            <w:color w:val="155A89"/>
            <w:u w:val="single"/>
          </w:rPr>
          <w:t>R068</w:t>
        </w:r>
      </w:hyperlink>
      <w:r>
        <w:t xml:space="preserve">; </w:t>
      </w:r>
      <w:hyperlink r:id="rId16">
        <w:r>
          <w:rPr>
            <w:color w:val="155A89"/>
            <w:u w:val="single"/>
          </w:rPr>
          <w:t>R084</w:t>
        </w:r>
      </w:hyperlink>
      <w:r>
        <w:t xml:space="preserve">; </w:t>
      </w:r>
      <w:hyperlink r:id="rId17">
        <w:r>
          <w:rPr>
            <w:color w:val="155A89"/>
            <w:u w:val="single"/>
          </w:rPr>
          <w:t>R093</w:t>
        </w:r>
      </w:hyperlink>
      <w:r>
        <w:t>–</w:t>
      </w:r>
      <w:hyperlink r:id="rId18">
        <w:r>
          <w:rPr>
            <w:color w:val="155A89"/>
            <w:u w:val="single"/>
          </w:rPr>
          <w:t>R094</w:t>
        </w:r>
      </w:hyperlink>
      <w:r>
        <w:t xml:space="preserve">; </w:t>
      </w:r>
      <w:hyperlink r:id="rId19">
        <w:r>
          <w:rPr>
            <w:color w:val="155A89"/>
            <w:u w:val="single"/>
          </w:rPr>
          <w:t>R101</w:t>
        </w:r>
      </w:hyperlink>
      <w:r>
        <w:t>]</w:t>
      </w:r>
    </w:p>
    <w:p>
      <w:r>
        <w:t>Ранняя пост-шанкаровская группа не сведена к ученикам одного автора: отдельно сохранены Brahmasiddhi Maṇḍana, трактат Sureśvara и его два vārttika, Pañcapādikā Padmapāda и Tattvasamīkṣā Vācaspati. Для последней подтверждены критическое издание 2006 г., библиотечная карточка и покупка, но не свободный оригинальный рукописный слой. [</w:t>
      </w:r>
      <w:hyperlink r:id="rId20">
        <w:r>
          <w:rPr>
            <w:color w:val="155A89"/>
            <w:u w:val="single"/>
          </w:rPr>
          <w:t>R005</w:t>
        </w:r>
      </w:hyperlink>
      <w:r>
        <w:t xml:space="preserve">; </w:t>
      </w:r>
      <w:hyperlink r:id="rId21">
        <w:r>
          <w:rPr>
            <w:color w:val="155A89"/>
            <w:u w:val="single"/>
          </w:rPr>
          <w:t>R025</w:t>
        </w:r>
      </w:hyperlink>
      <w:r>
        <w:t>–</w:t>
      </w:r>
      <w:hyperlink r:id="rId22">
        <w:r>
          <w:rPr>
            <w:color w:val="155A89"/>
            <w:u w:val="single"/>
          </w:rPr>
          <w:t>R027</w:t>
        </w:r>
      </w:hyperlink>
      <w:r>
        <w:t xml:space="preserve">; </w:t>
      </w:r>
      <w:hyperlink r:id="rId23">
        <w:r>
          <w:rPr>
            <w:color w:val="155A89"/>
            <w:u w:val="single"/>
          </w:rPr>
          <w:t>R063</w:t>
        </w:r>
      </w:hyperlink>
      <w:r>
        <w:t>–</w:t>
      </w:r>
      <w:hyperlink r:id="rId24">
        <w:r>
          <w:rPr>
            <w:color w:val="155A89"/>
            <w:u w:val="single"/>
          </w:rPr>
          <w:t>R065</w:t>
        </w:r>
      </w:hyperlink>
      <w:r>
        <w:t xml:space="preserve">; </w:t>
      </w:r>
      <w:hyperlink r:id="rId25">
        <w:r>
          <w:rPr>
            <w:color w:val="155A89"/>
            <w:u w:val="single"/>
          </w:rPr>
          <w:t>R069</w:t>
        </w:r>
      </w:hyperlink>
      <w:r>
        <w:t>]</w:t>
      </w:r>
    </w:p>
    <w:p>
      <w:r>
        <w:t>Для Iṣṭasiddhi найден старый библиотечный скан с фрагментами комментария Jñānottama. Для Khaṇḍanakhaṇḍakhādya — продаваемый перевод Jha и научный частичный перевод Granoff. Для самого Vivaraṇa ситуация слабее: современный английский перевод относится только к первому разделу; каталог не предоставляет полный текст, а скан с сомнительной датой оставлен лишь метаданным входом. Наличие такого пробела не означает утраты произведения. [</w:t>
      </w:r>
      <w:hyperlink r:id="rId26">
        <w:r>
          <w:rPr>
            <w:color w:val="155A89"/>
            <w:u w:val="single"/>
          </w:rPr>
          <w:t>R062</w:t>
        </w:r>
      </w:hyperlink>
      <w:r>
        <w:t xml:space="preserve">; </w:t>
      </w:r>
      <w:hyperlink r:id="rId27">
        <w:r>
          <w:rPr>
            <w:color w:val="155A89"/>
            <w:u w:val="single"/>
          </w:rPr>
          <w:t>R066</w:t>
        </w:r>
      </w:hyperlink>
      <w:r>
        <w:t xml:space="preserve">; </w:t>
      </w:r>
      <w:hyperlink r:id="rId28">
        <w:r>
          <w:rPr>
            <w:color w:val="155A89"/>
            <w:u w:val="single"/>
          </w:rPr>
          <w:t>R075</w:t>
        </w:r>
      </w:hyperlink>
      <w:r>
        <w:t xml:space="preserve">; </w:t>
      </w:r>
      <w:hyperlink r:id="rId29">
        <w:r>
          <w:rPr>
            <w:color w:val="155A89"/>
            <w:u w:val="single"/>
          </w:rPr>
          <w:t>R078</w:t>
        </w:r>
      </w:hyperlink>
      <w:r>
        <w:t>–</w:t>
      </w:r>
      <w:hyperlink r:id="rId30">
        <w:r>
          <w:rPr>
            <w:color w:val="155A89"/>
            <w:u w:val="single"/>
          </w:rPr>
          <w:t>R079</w:t>
        </w:r>
      </w:hyperlink>
      <w:r>
        <w:t xml:space="preserve">; </w:t>
      </w:r>
      <w:hyperlink r:id="rId31">
        <w:r>
          <w:rPr>
            <w:color w:val="155A89"/>
            <w:u w:val="single"/>
          </w:rPr>
          <w:t>R100</w:t>
        </w:r>
      </w:hyperlink>
      <w:r>
        <w:t>; G01]</w:t>
      </w:r>
    </w:p>
    <w:p>
      <w:pPr>
        <w:pStyle w:val="Heading2"/>
      </w:pPr>
      <w:r>
        <w:t>Что добавлено веб-поиском</w:t>
      </w:r>
    </w:p>
    <w:p>
      <w:r>
        <w:t>Наиболее существенное расширение — не дополнительные порталы, а конкретные комментарии. Найдены двенадцать текстовых входов Ānandagiri / Ānandajñāna; Vedāntakalpataru Amalānanda; Nyāyanirṇaya; Vaktavyakāśikā; Ratnaprabhā и Pūrṇānandīyā; Vanamālā; Vaiyāsikanyāyamālā; Vivaraṇaprameyasaṅgraha. Это непосредственные члены комментарийной семьи, а не случайные тематические параллели. [</w:t>
      </w:r>
      <w:hyperlink r:id="rId32">
        <w:r>
          <w:rPr>
            <w:color w:val="155A89"/>
            <w:u w:val="single"/>
          </w:rPr>
          <w:t>R028</w:t>
        </w:r>
      </w:hyperlink>
      <w:r>
        <w:t>–</w:t>
      </w:r>
      <w:hyperlink r:id="rId33">
        <w:r>
          <w:rPr>
            <w:color w:val="155A89"/>
            <w:u w:val="single"/>
          </w:rPr>
          <w:t>R047</w:t>
        </w:r>
      </w:hyperlink>
      <w:r>
        <w:t xml:space="preserve">; </w:t>
      </w:r>
      <w:hyperlink r:id="rId34">
        <w:r>
          <w:rPr>
            <w:color w:val="155A89"/>
            <w:u w:val="single"/>
          </w:rPr>
          <w:t>R054</w:t>
        </w:r>
      </w:hyperlink>
      <w:r>
        <w:t>]</w:t>
      </w:r>
    </w:p>
    <w:p>
      <w:r>
        <w:t>За пределами двух привычных линий Bhāmatī/Vivaraṇa сохранены Citsukhī с Nayanaprasādinī, сборник Ānandabodha с Nyāyamakaranda, Pramāṇamālā и Nyāyadīpāvalī, а также Sphoṭasiddhi с Gopālikā. Последний получил три разных издательских маршрута: скан 1931 г., перевод Iyer 1966 г. и официальный французско-санскритский PDF 1958 г. [</w:t>
      </w:r>
      <w:hyperlink r:id="rId35">
        <w:r>
          <w:rPr>
            <w:color w:val="155A89"/>
            <w:u w:val="single"/>
          </w:rPr>
          <w:t>R073</w:t>
        </w:r>
      </w:hyperlink>
      <w:r>
        <w:t xml:space="preserve">; </w:t>
      </w:r>
      <w:hyperlink r:id="rId36">
        <w:r>
          <w:rPr>
            <w:color w:val="155A89"/>
            <w:u w:val="single"/>
          </w:rPr>
          <w:t>R090</w:t>
        </w:r>
      </w:hyperlink>
      <w:r>
        <w:t>–</w:t>
      </w:r>
      <w:hyperlink r:id="rId37">
        <w:r>
          <w:rPr>
            <w:color w:val="155A89"/>
            <w:u w:val="single"/>
          </w:rPr>
          <w:t>R092</w:t>
        </w:r>
      </w:hyperlink>
      <w:r>
        <w:t xml:space="preserve">; </w:t>
      </w:r>
      <w:hyperlink r:id="rId38">
        <w:r>
          <w:rPr>
            <w:color w:val="155A89"/>
            <w:u w:val="single"/>
          </w:rPr>
          <w:t>R103</w:t>
        </w:r>
      </w:hyperlink>
      <w:r>
        <w:t>]</w:t>
      </w:r>
    </w:p>
    <w:p>
      <w:r>
        <w:t>Педагогический и атрибуционный край корпуса представлен Vivekacūḍāmaṇi, Vedāntasāra, Hastāmalakīya и Śrutisārasamuddharaṇa. Традиционная атрибуция не преобразована в доказанное авторство исторического Śaṅkara. Pañcadaśī и Śaṅkaradigvijaya также имеют отдельные оговорки об атрибуции и жанре. [</w:t>
      </w:r>
      <w:hyperlink r:id="rId39">
        <w:r>
          <w:rPr>
            <w:color w:val="155A89"/>
            <w:u w:val="single"/>
          </w:rPr>
          <w:t>R010</w:t>
        </w:r>
      </w:hyperlink>
      <w:r>
        <w:t xml:space="preserve">; </w:t>
      </w:r>
      <w:hyperlink r:id="rId40">
        <w:r>
          <w:rPr>
            <w:color w:val="155A89"/>
            <w:u w:val="single"/>
          </w:rPr>
          <w:t>R053</w:t>
        </w:r>
      </w:hyperlink>
      <w:r>
        <w:t xml:space="preserve">; </w:t>
      </w:r>
      <w:hyperlink r:id="rId41">
        <w:r>
          <w:rPr>
            <w:color w:val="155A89"/>
            <w:u w:val="single"/>
          </w:rPr>
          <w:t>R055</w:t>
        </w:r>
      </w:hyperlink>
      <w:r>
        <w:t>–</w:t>
      </w:r>
      <w:hyperlink r:id="rId42">
        <w:r>
          <w:rPr>
            <w:color w:val="155A89"/>
            <w:u w:val="single"/>
          </w:rPr>
          <w:t>R056</w:t>
        </w:r>
      </w:hyperlink>
      <w:r>
        <w:t xml:space="preserve">; </w:t>
      </w:r>
      <w:hyperlink r:id="rId43">
        <w:r>
          <w:rPr>
            <w:color w:val="155A89"/>
            <w:u w:val="single"/>
          </w:rPr>
          <w:t>R080</w:t>
        </w:r>
      </w:hyperlink>
      <w:r>
        <w:t>–</w:t>
      </w:r>
      <w:hyperlink r:id="rId44">
        <w:r>
          <w:rPr>
            <w:color w:val="155A89"/>
            <w:u w:val="single"/>
          </w:rPr>
          <w:t>R081</w:t>
        </w:r>
      </w:hyperlink>
      <w:r>
        <w:t>]</w:t>
      </w:r>
    </w:p>
    <w:p>
      <w:r>
        <w:br w:type="page"/>
      </w:r>
    </w:p>
    <w:p>
      <w:pPr>
        <w:pStyle w:val="Heading1"/>
      </w:pPr>
      <w:r>
        <w:t>2. Охват корпуса — хронологическое расширение</w:t>
      </w:r>
    </w:p>
    <w:p>
      <w:pPr>
        <w:pStyle w:val="Heading2"/>
      </w:pPr>
      <w:r>
        <w:t>Проход назад: что непосредственно питает ядро</w:t>
      </w:r>
    </w:p>
    <w:p>
      <w:r>
        <w:rPr>
          <w:b/>
        </w:rPr>
        <w:t>Brahmasūtra</w:t>
      </w:r>
      <w:r>
        <w:t xml:space="preserve"> включена отдельно как каноническая основа главного bhāṣya. GRETIL даёт санскритскую последовательность четырёх adhyāya; это важный открыто лицензированный исходный слой. </w:t>
      </w:r>
      <w:r>
        <w:rPr>
          <w:b/>
        </w:rPr>
        <w:t>Gauḍapādakārikā</w:t>
      </w:r>
      <w:r>
        <w:t xml:space="preserve"> включена как прямой предшественник и текст, комментируемый внутри Māṇḍūkya-комплекса. Упанишады и Gītā присутствуют в соответствующих комментарийных изданиях; встроенные коренные тексты не размножены в фиктивные отдельные загрузки. [</w:t>
      </w:r>
      <w:hyperlink r:id="rId45">
        <w:r>
          <w:rPr>
            <w:color w:val="155A89"/>
            <w:u w:val="single"/>
          </w:rPr>
          <w:t>R006</w:t>
        </w:r>
      </w:hyperlink>
      <w:r>
        <w:t xml:space="preserve">; </w:t>
      </w:r>
      <w:hyperlink r:id="rId46">
        <w:r>
          <w:rPr>
            <w:color w:val="155A89"/>
            <w:u w:val="single"/>
          </w:rPr>
          <w:t>R013</w:t>
        </w:r>
      </w:hyperlink>
      <w:r>
        <w:t>–</w:t>
      </w:r>
      <w:hyperlink r:id="rId47">
        <w:r>
          <w:rPr>
            <w:color w:val="155A89"/>
            <w:u w:val="single"/>
          </w:rPr>
          <w:t>R023</w:t>
        </w:r>
      </w:hyperlink>
      <w:r>
        <w:t xml:space="preserve">; </w:t>
      </w:r>
      <w:hyperlink r:id="rId48">
        <w:r>
          <w:rPr>
            <w:color w:val="155A89"/>
            <w:u w:val="single"/>
          </w:rPr>
          <w:t>R076</w:t>
        </w:r>
      </w:hyperlink>
      <w:r>
        <w:t>]</w:t>
      </w:r>
    </w:p>
    <w:p>
      <w:r>
        <w:rPr>
          <w:b/>
        </w:rPr>
        <w:t>Bhartṛhari — Maṇḍana — Kumārila</w:t>
      </w:r>
      <w:r>
        <w:t xml:space="preserve"> образуют более узкий, доказуемый вход: введение Iyer прямо указывает цитирование Vākyapadīya и раздела sphoṭavāda из Ślokavārttika в Sphoṭasiddhi. Русская книга Исаевой подтверждает перевод Brahmakāṇḍa, но не всего Vākyapadīya. Полноценный поиск чистых санскритских основ этих цитат оставлен в G13. Общая принадлежность к грамматике или Mīmāṃsā не использована как достаточное основание включения любых текстов. [</w:t>
      </w:r>
      <w:hyperlink r:id="rId49">
        <w:r>
          <w:rPr>
            <w:color w:val="155A89"/>
            <w:u w:val="single"/>
          </w:rPr>
          <w:t>R082</w:t>
        </w:r>
      </w:hyperlink>
      <w:r>
        <w:t xml:space="preserve">; </w:t>
      </w:r>
      <w:hyperlink r:id="rId37">
        <w:r>
          <w:rPr>
            <w:color w:val="155A89"/>
            <w:u w:val="single"/>
          </w:rPr>
          <w:t>R092</w:t>
        </w:r>
      </w:hyperlink>
      <w:r>
        <w:t>]</w:t>
      </w:r>
    </w:p>
    <w:p>
      <w:pPr>
        <w:pStyle w:val="Heading2"/>
      </w:pPr>
      <w:r>
        <w:t>Проход вперёд: комментарий, полемика, сохранение</w:t>
      </w:r>
    </w:p>
    <w:p>
      <w:r>
        <w:rPr>
          <w:b/>
        </w:rPr>
        <w:t>Appayya Dīkṣita</w:t>
      </w:r>
      <w:r>
        <w:t xml:space="preserve"> включён через Kalpataruparimala, Nyāyarakṣāmaṇi и Śāstrasiddhāntaleśasaṅgraha: они продолжают и систематизируют конкретные линии ядра. </w:t>
      </w:r>
      <w:r>
        <w:rPr>
          <w:b/>
        </w:rPr>
        <w:t>Madhusūdana Sarasvatī</w:t>
      </w:r>
      <w:r>
        <w:t xml:space="preserve"> представлен Advaitasiddhi и Siddhāntabindu. Для первой добавлен прямой полемический собеседник Nyāyāmṛta, а не общий корпус Dvaita. Vedāntaparibhāṣā Dharmarāja и Vedāntasiddhāntamuktāvalī Prakāśānanda продолжают систематическое и учебное письмо Advaita. [</w:t>
      </w:r>
      <w:hyperlink r:id="rId50">
        <w:r>
          <w:rPr>
            <w:color w:val="155A89"/>
            <w:u w:val="single"/>
          </w:rPr>
          <w:t>R008</w:t>
        </w:r>
      </w:hyperlink>
      <w:r>
        <w:t xml:space="preserve">; </w:t>
      </w:r>
      <w:hyperlink r:id="rId51">
        <w:r>
          <w:rPr>
            <w:color w:val="155A89"/>
            <w:u w:val="single"/>
          </w:rPr>
          <w:t>R042</w:t>
        </w:r>
      </w:hyperlink>
      <w:r>
        <w:t xml:space="preserve">; </w:t>
      </w:r>
      <w:hyperlink r:id="rId52">
        <w:r>
          <w:rPr>
            <w:color w:val="155A89"/>
            <w:u w:val="single"/>
          </w:rPr>
          <w:t>R048</w:t>
        </w:r>
      </w:hyperlink>
      <w:r>
        <w:t>–</w:t>
      </w:r>
      <w:hyperlink r:id="rId53">
        <w:r>
          <w:rPr>
            <w:color w:val="155A89"/>
            <w:u w:val="single"/>
          </w:rPr>
          <w:t>R052</w:t>
        </w:r>
      </w:hyperlink>
      <w:r>
        <w:t xml:space="preserve">; </w:t>
      </w:r>
      <w:hyperlink r:id="rId54">
        <w:r>
          <w:rPr>
            <w:color w:val="155A89"/>
            <w:u w:val="single"/>
          </w:rPr>
          <w:t>R095</w:t>
        </w:r>
      </w:hyperlink>
      <w:r>
        <w:t>–</w:t>
      </w:r>
      <w:hyperlink r:id="rId55">
        <w:r>
          <w:rPr>
            <w:color w:val="155A89"/>
            <w:u w:val="single"/>
          </w:rPr>
          <w:t>R096</w:t>
        </w:r>
      </w:hyperlink>
      <w:r>
        <w:t>]</w:t>
      </w:r>
    </w:p>
    <w:p>
      <w:r>
        <w:rPr>
          <w:b/>
        </w:rPr>
        <w:t>Rāmānuja, Śrībhāṣya</w:t>
      </w:r>
      <w:r>
        <w:t xml:space="preserve"> включён как альтернативный комментарий на тот же канонический текст и полемический контекст, но не как адвайтинское сочинение. </w:t>
      </w:r>
      <w:r>
        <w:rPr>
          <w:b/>
        </w:rPr>
        <w:t>Śaṅkaradigvijaya</w:t>
      </w:r>
      <w:r>
        <w:t xml:space="preserve"> представляет позднюю институциональную память, не биографический архив VIII века. Комментарий Sivananda — современная педагогическая рецепция Brahmasūtra, не подмена шанкаровского bhāṣya. Поздние рукописи OPenn и Thrissur показывают материальную передачу, а не дату создания сочинений. [</w:t>
      </w:r>
      <w:hyperlink r:id="rId56">
        <w:r>
          <w:rPr>
            <w:color w:val="155A89"/>
            <w:u w:val="single"/>
          </w:rPr>
          <w:t>R070</w:t>
        </w:r>
      </w:hyperlink>
      <w:r>
        <w:t>–</w:t>
      </w:r>
      <w:hyperlink r:id="rId57">
        <w:r>
          <w:rPr>
            <w:color w:val="155A89"/>
            <w:u w:val="single"/>
          </w:rPr>
          <w:t>R072</w:t>
        </w:r>
      </w:hyperlink>
      <w:r>
        <w:t xml:space="preserve">; </w:t>
      </w:r>
      <w:hyperlink r:id="rId44">
        <w:r>
          <w:rPr>
            <w:color w:val="155A89"/>
            <w:u w:val="single"/>
          </w:rPr>
          <w:t>R081</w:t>
        </w:r>
      </w:hyperlink>
      <w:r>
        <w:t xml:space="preserve">; </w:t>
      </w:r>
      <w:hyperlink r:id="rId58">
        <w:r>
          <w:rPr>
            <w:color w:val="155A89"/>
            <w:u w:val="single"/>
          </w:rPr>
          <w:t>R085</w:t>
        </w:r>
      </w:hyperlink>
      <w:r>
        <w:t>–</w:t>
      </w:r>
      <w:hyperlink r:id="rId59">
        <w:r>
          <w:rPr>
            <w:color w:val="155A89"/>
            <w:u w:val="single"/>
          </w:rPr>
          <w:t>R089</w:t>
        </w:r>
      </w:hyperlink>
      <w:r>
        <w:t xml:space="preserve">; </w:t>
      </w:r>
      <w:hyperlink r:id="rId60">
        <w:r>
          <w:rPr>
            <w:color w:val="155A89"/>
            <w:u w:val="single"/>
          </w:rPr>
          <w:t>R097</w:t>
        </w:r>
      </w:hyperlink>
      <w:r>
        <w:t>–</w:t>
      </w:r>
      <w:hyperlink r:id="rId61">
        <w:r>
          <w:rPr>
            <w:color w:val="155A89"/>
            <w:u w:val="single"/>
          </w:rPr>
          <w:t>R098</w:t>
        </w:r>
      </w:hyperlink>
      <w:r>
        <w:t>]</w:t>
      </w:r>
    </w:p>
    <w:p>
      <w:pPr>
        <w:pStyle w:val="Heading2"/>
      </w:pPr>
      <w:r>
        <w:t>Как читать количественный итог</w:t>
      </w:r>
    </w:p>
    <w:p>
      <w:r>
        <w:t xml:space="preserve">В registry </w:t>
      </w:r>
      <w:r>
        <w:rPr>
          <w:b/>
        </w:rPr>
        <w:t>103 практически различимых пути доступа</w:t>
      </w:r>
      <w:r>
        <w:t xml:space="preserve">: 66 цифровых текстов/факсимиле, 27 переводов/изданий, 7 конкретных рукописных свидетелей, 2 проектных каталога и 1 отдельная запись произведения. По предметному составу это </w:t>
      </w:r>
      <w:r>
        <w:rPr>
          <w:b/>
        </w:rPr>
        <w:t>около 80 первичных текстовых единиц</w:t>
      </w:r>
      <w:r>
        <w:t>, включая самостоятельные комментарии внутри сборных изданий. Повторные переводы одного сочинения не считаются новыми произведениями; встроенные Upaniṣad и служебные порталы в этот приблизительный счёт не добавляются.</w:t>
      </w:r>
    </w:p>
    <w:p>
      <w:pPr>
        <w:pStyle w:val="Caption"/>
      </w:pPr>
      <w:r>
        <w:t>Релевантность по записям доступа: core 46; same_corpus_or_tradition 15; antecedent 4; continuation 4; commentary_or_reception 29; transmission_or_preservation 2; supporting 1; infrastructure 2. Отдельные boundary и secondary_navigation не понадобились: дата не использована для искусственного понижения релевантности.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Śaṅkara: канонические комментарии</w:t>
      </w:r>
    </w:p>
    <w:p>
      <w:r>
        <w:rPr>
          <w:b/>
        </w:rPr>
        <w:t>Санскритское чтение.</w:t>
      </w:r>
      <w:r>
        <w:t xml:space="preserve"> Advaita Śāradā / Sringeri — самый связный из проверенных читательских входов: Brahmasūtrabhāṣya с введением, все 18 глав Gītābhāṣya и отдельные Upaniṣad-bhāṣya. Открыты начала текстов и навигация; полная построчная колляция не выполнялась. Издание удобно для сопоставления комментариев, но не является автоматически открытым корпусом для зеркала. [</w:t>
      </w:r>
      <w:hyperlink r:id="rId62">
        <w:r>
          <w:rPr>
            <w:color w:val="155A89"/>
            <w:u w:val="single"/>
          </w:rPr>
          <w:t>R011</w:t>
        </w:r>
      </w:hyperlink>
      <w:r>
        <w:t>–</w:t>
      </w:r>
      <w:hyperlink r:id="rId47">
        <w:r>
          <w:rPr>
            <w:color w:val="155A89"/>
            <w:u w:val="single"/>
          </w:rPr>
          <w:t>R023</w:t>
        </w:r>
      </w:hyperlink>
      <w:r>
        <w:t>]</w:t>
      </w:r>
    </w:p>
    <w:p>
      <w:r>
        <w:rPr>
          <w:b/>
        </w:rPr>
        <w:t>Машиночитаемый вариант.</w:t>
      </w:r>
      <w:r>
        <w:t xml:space="preserve"> GRETIL предоставляет читаемый HTML и ссылки на TEI/XML. Заголовки дают сведения об источнике и отдельную лицензию. Однако четыре записи имеют существенные ограничения: BSB, Bhāmatī и Ratnaprabhā покрывают начальный слой; Gītābhāṣya заканчивается главой 17. Для них нельзя обещать полноту всей традиции. XML-ссылки обнаружены, но успешное получение и разбор XML не подтверждены. [</w:t>
      </w:r>
      <w:hyperlink r:id="rId11">
        <w:r>
          <w:rPr>
            <w:color w:val="155A89"/>
            <w:u w:val="single"/>
          </w:rPr>
          <w:t>R001</w:t>
        </w:r>
      </w:hyperlink>
      <w:r>
        <w:t>–</w:t>
      </w:r>
      <w:hyperlink r:id="rId63">
        <w:r>
          <w:rPr>
            <w:color w:val="155A89"/>
            <w:u w:val="single"/>
          </w:rPr>
          <w:t>R004</w:t>
        </w:r>
      </w:hyperlink>
      <w:r>
        <w:t xml:space="preserve">; </w:t>
      </w:r>
      <w:hyperlink r:id="rId64">
        <w:r>
          <w:rPr>
            <w:color w:val="155A89"/>
            <w:u w:val="single"/>
          </w:rPr>
          <w:t>R077</w:t>
        </w:r>
      </w:hyperlink>
      <w:r>
        <w:t>]</w:t>
      </w:r>
    </w:p>
    <w:p>
      <w:r>
        <w:rPr>
          <w:b/>
        </w:rPr>
        <w:t>Старый английский перевод BSB.</w:t>
      </w:r>
      <w:r>
        <w:t xml:space="preserve"> Часть I Thibaut доступна в Project Gutenberg: SBE 34, от I.1 до II.2. Часть II на Internet Sacred Text Archive продолжает от II.3 до конца: SBE 38, 1896. Это два тома одного перевода, а не два самостоятельных произведения. PG предлагает HTML/EPUB/TXT; у Sacred Texts проверены HTML-оглавление, титул, права и текст II.3.1, но не массовая выгрузка. [</w:t>
      </w:r>
      <w:hyperlink r:id="rId16">
        <w:r>
          <w:rPr>
            <w:color w:val="155A89"/>
            <w:u w:val="single"/>
          </w:rPr>
          <w:t>R084</w:t>
        </w:r>
      </w:hyperlink>
      <w:r>
        <w:t xml:space="preserve">; </w:t>
      </w:r>
      <w:hyperlink r:id="rId17">
        <w:r>
          <w:rPr>
            <w:color w:val="155A89"/>
            <w:u w:val="single"/>
          </w:rPr>
          <w:t>R093</w:t>
        </w:r>
      </w:hyperlink>
      <w:r>
        <w:t>]</w:t>
      </w:r>
    </w:p>
    <w:p>
      <w:r>
        <w:rPr>
          <w:b/>
        </w:rPr>
        <w:t>Современные переводы.</w:t>
      </w:r>
      <w:r>
        <w:t xml:space="preserve"> Gambhirananda: BSB и Gītābhāṣya; его Eight Upanishads в двух томах дополняются отдельным Chāndogya. Bṛhadāraṇyaka доступна в переводе Madhavananda, Māṇḍūkya-комплекс — Nikhilananda. Книги продаёт официальный издатель; их текущие карточки часто не сообщают год перепечатки. Цены и возможность международной доставки не включены в постоянные метаданные. [</w:t>
      </w:r>
      <w:hyperlink r:id="rId13">
        <w:r>
          <w:rPr>
            <w:color w:val="155A89"/>
            <w:u w:val="single"/>
          </w:rPr>
          <w:t>R057</w:t>
        </w:r>
      </w:hyperlink>
      <w:r>
        <w:t>–</w:t>
      </w:r>
      <w:hyperlink r:id="rId14">
        <w:r>
          <w:rPr>
            <w:color w:val="155A89"/>
            <w:u w:val="single"/>
          </w:rPr>
          <w:t>R061</w:t>
        </w:r>
      </w:hyperlink>
      <w:r>
        <w:t xml:space="preserve">; </w:t>
      </w:r>
      <w:hyperlink r:id="rId19">
        <w:r>
          <w:rPr>
            <w:color w:val="155A89"/>
            <w:u w:val="single"/>
          </w:rPr>
          <w:t>R101</w:t>
        </w:r>
      </w:hyperlink>
      <w:r>
        <w:t>]</w:t>
      </w:r>
    </w:p>
    <w:p>
      <w:pPr>
        <w:pStyle w:val="Heading2"/>
      </w:pPr>
      <w:r>
        <w:t>Upadeśasāhasrī и ранняя самостоятельная проза</w:t>
      </w:r>
    </w:p>
    <w:p>
      <w:r>
        <w:t xml:space="preserve">Для </w:t>
      </w:r>
      <w:r>
        <w:rPr>
          <w:b/>
        </w:rPr>
        <w:t>Upadeśasāhasrī</w:t>
      </w:r>
      <w:r>
        <w:t xml:space="preserve"> лучшая комбинация — GRETIL как санскритский рабочий текст, Alston как доступный к покупке перевод и Mayeda как научный перевод с preview. Электронный санскритский слой GRETIL зависит от критического издания Mayeda; разрешение на e-text не перенесено на весь печатный аппарат. Google Books смешивает библиографические признаки 1979 г. и SUNY-издания; точную манифестацию следует сверить по титулу. [</w:t>
      </w:r>
      <w:hyperlink r:id="rId65">
        <w:r>
          <w:rPr>
            <w:color w:val="155A89"/>
            <w:u w:val="single"/>
          </w:rPr>
          <w:t>R003</w:t>
        </w:r>
      </w:hyperlink>
      <w:r>
        <w:t xml:space="preserve">; </w:t>
      </w:r>
      <w:hyperlink r:id="rId15">
        <w:r>
          <w:rPr>
            <w:color w:val="155A89"/>
            <w:u w:val="single"/>
          </w:rPr>
          <w:t>R068</w:t>
        </w:r>
      </w:hyperlink>
      <w:r>
        <w:t xml:space="preserve">; </w:t>
      </w:r>
      <w:hyperlink r:id="rId18">
        <w:r>
          <w:rPr>
            <w:color w:val="155A89"/>
            <w:u w:val="single"/>
          </w:rPr>
          <w:t>R094</w:t>
        </w:r>
      </w:hyperlink>
      <w:r>
        <w:t>]</w:t>
      </w:r>
    </w:p>
    <w:p>
      <w:r>
        <w:t xml:space="preserve">Для </w:t>
      </w:r>
      <w:r>
        <w:rPr>
          <w:b/>
        </w:rPr>
        <w:t>Brahmasiddhi</w:t>
      </w:r>
      <w:r>
        <w:t xml:space="preserve"> основной проверенный полный оригинальный e-text — GRETIL; для </w:t>
      </w:r>
      <w:r>
        <w:rPr>
          <w:b/>
        </w:rPr>
        <w:t>Naiṣkarmyasiddhi</w:t>
      </w:r>
      <w:r>
        <w:t xml:space="preserve"> — библиотечный скан Jacob 1906 и современный перевод Alston. Это разные преимущества: доступный оригинальный печатный слой и удобное английское прочтение. Наличие английского введения в старом санскритском томе не названо полным переводом. Для </w:t>
      </w:r>
      <w:r>
        <w:rPr>
          <w:b/>
        </w:rPr>
        <w:t>Tattvasamīkṣā</w:t>
      </w:r>
      <w:r>
        <w:t xml:space="preserve"> сильнейший библиографический вход — UW–Madison; покупка того же издания даётся отдельно. [</w:t>
      </w:r>
      <w:hyperlink r:id="rId20">
        <w:r>
          <w:rPr>
            <w:color w:val="155A89"/>
            <w:u w:val="single"/>
          </w:rPr>
          <w:t>R005</w:t>
        </w:r>
      </w:hyperlink>
      <w:r>
        <w:t xml:space="preserve">; </w:t>
      </w:r>
      <w:hyperlink r:id="rId23">
        <w:r>
          <w:rPr>
            <w:color w:val="155A89"/>
            <w:u w:val="single"/>
          </w:rPr>
          <w:t>R063</w:t>
        </w:r>
      </w:hyperlink>
      <w:r>
        <w:t>–</w:t>
      </w:r>
      <w:hyperlink r:id="rId24">
        <w:r>
          <w:rPr>
            <w:color w:val="155A89"/>
            <w:u w:val="single"/>
          </w:rPr>
          <w:t>R065</w:t>
        </w:r>
      </w:hyperlink>
      <w:r>
        <w:t xml:space="preserve">; </w:t>
      </w:r>
      <w:hyperlink r:id="rId25">
        <w:r>
          <w:rPr>
            <w:color w:val="155A89"/>
            <w:u w:val="single"/>
          </w:rPr>
          <w:t>R069</w:t>
        </w:r>
      </w:hyperlink>
      <w:r>
        <w:t>]</w:t>
      </w:r>
    </w:p>
    <w:p>
      <w:r>
        <w:br w:type="page"/>
      </w:r>
    </w:p>
    <w:p>
      <w:pPr>
        <w:pStyle w:val="Heading1"/>
      </w:pPr>
      <w:r>
        <w:t>3. Лучшие пути доступа — комментарийные линии</w:t>
      </w:r>
    </w:p>
    <w:p>
      <w:pPr>
        <w:pStyle w:val="Heading2"/>
      </w:pPr>
      <w:r>
        <w:t>Bhāmatī и ранние субкомментарии</w:t>
      </w:r>
    </w:p>
    <w:p>
      <w:r>
        <w:rPr>
          <w:b/>
        </w:rPr>
        <w:t>Bhāmatī</w:t>
      </w:r>
      <w:r>
        <w:t xml:space="preserve"> представлена полным читательским электронным изданием Sringeri, неполным GRETIL-слоем и старым изданием Jīvānanda Vidyāsāgara 1891 г. в институциональной оцифровке. Для последовательного чтения предпочтителен Sringeri; для проверки старой печати — факсимильный маршрут; для обработки текста — GRETIL только в его реально доступных границах. Четыре скан-части одного издания не превращены в четыре независимых произведения. [</w:t>
      </w:r>
      <w:hyperlink r:id="rId66">
        <w:r>
          <w:rPr>
            <w:color w:val="155A89"/>
            <w:u w:val="single"/>
          </w:rPr>
          <w:t>R002</w:t>
        </w:r>
      </w:hyperlink>
      <w:r>
        <w:t xml:space="preserve">; </w:t>
      </w:r>
      <w:hyperlink r:id="rId12">
        <w:r>
          <w:rPr>
            <w:color w:val="155A89"/>
            <w:u w:val="single"/>
          </w:rPr>
          <w:t>R024</w:t>
        </w:r>
      </w:hyperlink>
      <w:r>
        <w:t xml:space="preserve">; </w:t>
      </w:r>
      <w:hyperlink r:id="rId67">
        <w:r>
          <w:rPr>
            <w:color w:val="155A89"/>
            <w:u w:val="single"/>
          </w:rPr>
          <w:t>R083</w:t>
        </w:r>
      </w:hyperlink>
      <w:r>
        <w:t>]</w:t>
      </w:r>
    </w:p>
    <w:p>
      <w:r>
        <w:rPr>
          <w:b/>
        </w:rPr>
        <w:t>Pañcapādikā</w:t>
      </w:r>
      <w:r>
        <w:t xml:space="preserve"> доступна в Sringeri целиком как сохранившийся текст, но она сама не комментирует все Brahmasūtra. Это важное различие между полнотой отдельного сочинения и полнотой охвата его основы. Vaktavyakāśikā продолжает именно эту линию. Vedāntakalpataru и Kalpataruparimala разворачивают Bhāmatī; все три имеют отдельные текстовые входы. [</w:t>
      </w:r>
      <w:hyperlink r:id="rId22">
        <w:r>
          <w:rPr>
            <w:color w:val="155A89"/>
            <w:u w:val="single"/>
          </w:rPr>
          <w:t>R027</w:t>
        </w:r>
      </w:hyperlink>
      <w:r>
        <w:t xml:space="preserve">; </w:t>
      </w:r>
      <w:hyperlink r:id="rId68">
        <w:r>
          <w:rPr>
            <w:color w:val="155A89"/>
            <w:u w:val="single"/>
          </w:rPr>
          <w:t>R040</w:t>
        </w:r>
      </w:hyperlink>
      <w:r>
        <w:t xml:space="preserve">; </w:t>
      </w:r>
      <w:hyperlink r:id="rId51">
        <w:r>
          <w:rPr>
            <w:color w:val="155A89"/>
            <w:u w:val="single"/>
          </w:rPr>
          <w:t>R042</w:t>
        </w:r>
      </w:hyperlink>
      <w:r>
        <w:t>–</w:t>
      </w:r>
      <w:hyperlink r:id="rId69">
        <w:r>
          <w:rPr>
            <w:color w:val="155A89"/>
            <w:u w:val="single"/>
          </w:rPr>
          <w:t>R043</w:t>
        </w:r>
      </w:hyperlink>
      <w:r>
        <w:t>]</w:t>
      </w:r>
    </w:p>
    <w:p>
      <w:pPr>
        <w:pStyle w:val="Heading2"/>
      </w:pPr>
      <w:r>
        <w:t>Vivaraṇa: сильная карта, неполный полнотекстовый доступ</w:t>
      </w:r>
    </w:p>
    <w:p>
      <w:r>
        <w:t xml:space="preserve">Для </w:t>
      </w:r>
      <w:r>
        <w:rPr>
          <w:b/>
        </w:rPr>
        <w:t>Pañcapādikāvivaraṇa</w:t>
      </w:r>
      <w:r>
        <w:t xml:space="preserve"> перевод Bina Gupta, Consciousness, Knowledge, and Ignorance, является полезным современным научным входом, но переводит первый раздел. Он не заменяет полного санскритского произведения. Vivaraṇaprameyasaṅgraha Vidyāraṇya доступен отдельно; это не другой файл самого Vivaraṇa. PANDiT помогает установить произведение и комментарийную семью. [</w:t>
      </w:r>
      <w:hyperlink r:id="rId26">
        <w:r>
          <w:rPr>
            <w:color w:val="155A89"/>
            <w:u w:val="single"/>
          </w:rPr>
          <w:t>R062</w:t>
        </w:r>
      </w:hyperlink>
      <w:r>
        <w:t xml:space="preserve">; </w:t>
      </w:r>
      <w:hyperlink r:id="rId34">
        <w:r>
          <w:rPr>
            <w:color w:val="155A89"/>
            <w:u w:val="single"/>
          </w:rPr>
          <w:t>R054</w:t>
        </w:r>
      </w:hyperlink>
      <w:r>
        <w:t xml:space="preserve">; </w:t>
      </w:r>
      <w:hyperlink r:id="rId31">
        <w:r>
          <w:rPr>
            <w:color w:val="155A89"/>
            <w:u w:val="single"/>
          </w:rPr>
          <w:t>R100</w:t>
        </w:r>
      </w:hyperlink>
      <w:r>
        <w:t>]</w:t>
      </w:r>
    </w:p>
    <w:p>
      <w:r>
        <w:t xml:space="preserve">Особенно ценное добавление — </w:t>
      </w:r>
      <w:r>
        <w:rPr>
          <w:b/>
        </w:rPr>
        <w:t>Trayyantabhāvadīpikā</w:t>
      </w:r>
      <w:r>
        <w:t>, EAP1039/1/33. Каталог связывает её с Ṛjuvivaraṇa Viṣṇubhaṭṭa, а ту — с Prakāśātman. Найдена, таким образом, конкретная поздняя цепь, а не только название «школа Vivaraṇa». Но просмотр листов через исследовательский инструмент не состоялся; в реестре это metadata-only свидетель, не свободная цифровая транскрипция. [</w:t>
      </w:r>
      <w:hyperlink r:id="rId70">
        <w:r>
          <w:rPr>
            <w:color w:val="155A89"/>
            <w:u w:val="single"/>
          </w:rPr>
          <w:t>R087</w:t>
        </w:r>
      </w:hyperlink>
      <w:r>
        <w:t>; G02]</w:t>
      </w:r>
    </w:p>
    <w:p>
      <w:pPr>
        <w:pStyle w:val="Heading2"/>
      </w:pPr>
      <w:r>
        <w:t>Iṣṭasiddhi, Citsukhī и отрицательная диалектика</w:t>
      </w:r>
    </w:p>
    <w:p>
      <w:r>
        <w:rPr>
          <w:b/>
        </w:rPr>
        <w:t>Iṣṭasiddhi</w:t>
      </w:r>
      <w:r>
        <w:t xml:space="preserve"> доступна через библиотечный скан издания Hiriyanna. Дата 1933 в DLI расходится с 1935 в библиографическом обзоре; расхождение сохранено. Печатаемые извлечения из Jñānottama не являются его полным комментарием. </w:t>
      </w:r>
      <w:r>
        <w:rPr>
          <w:b/>
        </w:rPr>
        <w:t>Citsukhī / Tattvapradīpikā</w:t>
      </w:r>
      <w:r>
        <w:t xml:space="preserve"> с Nayanaprasādinī и сборник </w:t>
      </w:r>
      <w:r>
        <w:rPr>
          <w:b/>
        </w:rPr>
        <w:t>Ānandabodha</w:t>
      </w:r>
      <w:r>
        <w:t xml:space="preserve"> расширяют круг самостоятельных адвайтинских аргументативных сочинений. OCR у старых сканов пригоден лишь после проверки по изображению. [</w:t>
      </w:r>
      <w:hyperlink r:id="rId27">
        <w:r>
          <w:rPr>
            <w:color w:val="155A89"/>
            <w:u w:val="single"/>
          </w:rPr>
          <w:t>R066</w:t>
        </w:r>
      </w:hyperlink>
      <w:r>
        <w:t xml:space="preserve">; </w:t>
      </w:r>
      <w:hyperlink r:id="rId35">
        <w:r>
          <w:rPr>
            <w:color w:val="155A89"/>
            <w:u w:val="single"/>
          </w:rPr>
          <w:t>R073</w:t>
        </w:r>
      </w:hyperlink>
      <w:r>
        <w:t xml:space="preserve">; </w:t>
      </w:r>
      <w:hyperlink r:id="rId36">
        <w:r>
          <w:rPr>
            <w:color w:val="155A89"/>
            <w:u w:val="single"/>
          </w:rPr>
          <w:t>R090</w:t>
        </w:r>
      </w:hyperlink>
      <w:r>
        <w:t>]</w:t>
      </w:r>
    </w:p>
    <w:p>
      <w:r>
        <w:t xml:space="preserve">Для </w:t>
      </w:r>
      <w:r>
        <w:rPr>
          <w:b/>
        </w:rPr>
        <w:t>Khaṇḍanakhaṇḍakhādya</w:t>
      </w:r>
      <w:r>
        <w:t xml:space="preserve"> наиболее полный найденный английский путь — продаваемый двухтомник Jha. Granoff даёт перевод введения в составе Philosophy and Argument in Late Vedānta: свободные front/back matter на Springer не делают открытой саму переводную главу. Khaṇḍanaphakkikāvibhajana Ānandapūrṇa сохранено отдельным старым сканом; комплектность ещё нуждается в проверке. Школьная принадлежность Śrīharṣa оставлена осторожной, как в DR. [</w:t>
      </w:r>
      <w:hyperlink r:id="rId71">
        <w:r>
          <w:rPr>
            <w:color w:val="155A89"/>
            <w:u w:val="single"/>
          </w:rPr>
          <w:t>R074</w:t>
        </w:r>
      </w:hyperlink>
      <w:r>
        <w:t xml:space="preserve">; </w:t>
      </w:r>
      <w:hyperlink r:id="rId29">
        <w:r>
          <w:rPr>
            <w:color w:val="155A89"/>
            <w:u w:val="single"/>
          </w:rPr>
          <w:t>R078</w:t>
        </w:r>
      </w:hyperlink>
      <w:r>
        <w:t>–</w:t>
      </w:r>
      <w:hyperlink r:id="rId30">
        <w:r>
          <w:rPr>
            <w:color w:val="155A89"/>
            <w:u w:val="single"/>
          </w:rPr>
          <w:t>R079</w:t>
        </w:r>
      </w:hyperlink>
      <w:r>
        <w:t>]</w:t>
      </w:r>
    </w:p>
    <w:p>
      <w:r>
        <w:br w:type="page"/>
      </w:r>
    </w:p>
    <w:p>
      <w:pPr>
        <w:pStyle w:val="Heading1"/>
      </w:pPr>
      <w:r>
        <w:t>3. Лучшие пути доступа — продолжения и свидетели</w:t>
      </w:r>
    </w:p>
    <w:p>
      <w:pPr>
        <w:pStyle w:val="Heading2"/>
      </w:pPr>
      <w:r>
        <w:t>Vidyāraṇya и раннемодерная передача</w:t>
      </w:r>
    </w:p>
    <w:p>
      <w:r>
        <w:rPr>
          <w:b/>
        </w:rPr>
        <w:t>Jīvanmuktiviveka</w:t>
      </w:r>
      <w:r>
        <w:t xml:space="preserve">: старый английский перевод M. N. Dvivedi 1897 г. доступен в библиотечной оцифровке; современный Mokshadananda — у Advaita Ashrama. </w:t>
      </w:r>
      <w:r>
        <w:rPr>
          <w:b/>
        </w:rPr>
        <w:t>Pañcadaśī</w:t>
      </w:r>
      <w:r>
        <w:t>: санскритско-английское издание Swahananda, с использованием комментария Rāmakṛṣṇa. Это удобные входы в позднесредневековое ядро, но не единый свободный «корпус Vidyāraṇya». [</w:t>
      </w:r>
      <w:hyperlink r:id="rId72">
        <w:r>
          <w:rPr>
            <w:color w:val="155A89"/>
            <w:u w:val="single"/>
          </w:rPr>
          <w:t>R067</w:t>
        </w:r>
      </w:hyperlink>
      <w:r>
        <w:t xml:space="preserve">; </w:t>
      </w:r>
      <w:hyperlink r:id="rId43">
        <w:r>
          <w:rPr>
            <w:color w:val="155A89"/>
            <w:u w:val="single"/>
          </w:rPr>
          <w:t>R080</w:t>
        </w:r>
      </w:hyperlink>
      <w:r>
        <w:t xml:space="preserve">; </w:t>
      </w:r>
      <w:hyperlink r:id="rId73">
        <w:r>
          <w:rPr>
            <w:color w:val="155A89"/>
            <w:u w:val="single"/>
          </w:rPr>
          <w:t>R102</w:t>
        </w:r>
      </w:hyperlink>
      <w:r>
        <w:t>]</w:t>
      </w:r>
    </w:p>
    <w:p>
      <w:r>
        <w:t xml:space="preserve">Для раннемодерной ветви пригодны текстовые входы Sringeri: </w:t>
      </w:r>
      <w:r>
        <w:rPr>
          <w:b/>
        </w:rPr>
        <w:t>Advaitasiddhi</w:t>
      </w:r>
      <w:r>
        <w:t xml:space="preserve">, </w:t>
      </w:r>
      <w:r>
        <w:rPr>
          <w:b/>
        </w:rPr>
        <w:t>Nyāyarakṣāmaṇi</w:t>
      </w:r>
      <w:r>
        <w:t xml:space="preserve">, </w:t>
      </w:r>
      <w:r>
        <w:rPr>
          <w:b/>
        </w:rPr>
        <w:t>Śāstrasiddhāntaleśasaṅgraha</w:t>
      </w:r>
      <w:r>
        <w:t xml:space="preserve">, </w:t>
      </w:r>
      <w:r>
        <w:rPr>
          <w:b/>
        </w:rPr>
        <w:t>Vedāntaparibhāṣā</w:t>
      </w:r>
      <w:r>
        <w:t>. Siddhāntabindu имеет дополнительно GRETIL-версию. Nyāyāmṛta с Nyāyāmṛtaprakāśa включена по конкретному первому тому: общий проект многотомный, и предисловие отдельно предостерегает против принятия старых частичных публикаций за целое. [</w:t>
      </w:r>
      <w:hyperlink r:id="rId50">
        <w:r>
          <w:rPr>
            <w:color w:val="155A89"/>
            <w:u w:val="single"/>
          </w:rPr>
          <w:t>R008</w:t>
        </w:r>
      </w:hyperlink>
      <w:r>
        <w:t xml:space="preserve">; </w:t>
      </w:r>
      <w:hyperlink r:id="rId52">
        <w:r>
          <w:rPr>
            <w:color w:val="155A89"/>
            <w:u w:val="single"/>
          </w:rPr>
          <w:t>R048</w:t>
        </w:r>
      </w:hyperlink>
      <w:r>
        <w:t>–</w:t>
      </w:r>
      <w:hyperlink r:id="rId53">
        <w:r>
          <w:rPr>
            <w:color w:val="155A89"/>
            <w:u w:val="single"/>
          </w:rPr>
          <w:t>R052</w:t>
        </w:r>
      </w:hyperlink>
      <w:r>
        <w:t xml:space="preserve">; </w:t>
      </w:r>
      <w:hyperlink r:id="rId55">
        <w:r>
          <w:rPr>
            <w:color w:val="155A89"/>
            <w:u w:val="single"/>
          </w:rPr>
          <w:t>R096</w:t>
        </w:r>
      </w:hyperlink>
      <w:r>
        <w:t>]</w:t>
      </w:r>
    </w:p>
    <w:p>
      <w:pPr>
        <w:pStyle w:val="Heading2"/>
      </w:pPr>
      <w:r>
        <w:t>Семантическая ветвь Maṇḍana</w:t>
      </w:r>
    </w:p>
    <w:p>
      <w:r>
        <w:rPr>
          <w:b/>
        </w:rPr>
        <w:t>Sphoṭasiddhi</w:t>
      </w:r>
      <w:r>
        <w:t xml:space="preserve"> — один из наиболее удачных результатов расширения: старый санскритский том с Gopālikā, английская версия Iyer и официальный французско-санскритский PDF Biardeau/Bhatt/Ramanujam. Введение Iyer прямо оговаривает отсутствие перевода трёх kārikā; потому английский маршрут не помечен как полный. Французский PDF предлагается самим IFP, но не был принят инструментом из-за размера. Его свободное скачивание не означает права переиздания. [</w:t>
      </w:r>
      <w:hyperlink r:id="rId74">
        <w:r>
          <w:rPr>
            <w:color w:val="155A89"/>
            <w:u w:val="single"/>
          </w:rPr>
          <w:t>R091</w:t>
        </w:r>
      </w:hyperlink>
      <w:r>
        <w:t>–</w:t>
      </w:r>
      <w:hyperlink r:id="rId37">
        <w:r>
          <w:rPr>
            <w:color w:val="155A89"/>
            <w:u w:val="single"/>
          </w:rPr>
          <w:t>R092</w:t>
        </w:r>
      </w:hyperlink>
      <w:r>
        <w:t xml:space="preserve">; </w:t>
      </w:r>
      <w:hyperlink r:id="rId38">
        <w:r>
          <w:rPr>
            <w:color w:val="155A89"/>
            <w:u w:val="single"/>
          </w:rPr>
          <w:t>R103</w:t>
        </w:r>
      </w:hyperlink>
      <w:r>
        <w:t>]</w:t>
      </w:r>
    </w:p>
    <w:p>
      <w:pPr>
        <w:pStyle w:val="Heading2"/>
      </w:pPr>
      <w:r>
        <w:t>Рукописи: где действительно есть оригинальный свидетель</w:t>
      </w:r>
    </w:p>
    <w:p>
      <w:r>
        <w:rPr>
          <w:b/>
        </w:rPr>
        <w:t>OPenn</w:t>
      </w:r>
      <w:r>
        <w:t xml:space="preserve"> даёт три конкретных объекта: Vedāntasāra с комментарием, фрагмент BSB и Īśopaniṣad с комментарием Mahīdhara. Последний не приписан Śaṅkara. На карточках перечислены листы и форматы; имеются отдельные права на содержание/изображения и метаданные. Прямые загрузки давали timeout, поэтому листы ещё не прочитаны. TEI здесь описывает рукопись, а не заменяет её транскрипцию. [</w:t>
      </w:r>
      <w:hyperlink r:id="rId56">
        <w:r>
          <w:rPr>
            <w:color w:val="155A89"/>
            <w:u w:val="single"/>
          </w:rPr>
          <w:t>R070</w:t>
        </w:r>
      </w:hyperlink>
      <w:r>
        <w:t>–</w:t>
      </w:r>
      <w:hyperlink r:id="rId57">
        <w:r>
          <w:rPr>
            <w:color w:val="155A89"/>
            <w:u w:val="single"/>
          </w:rPr>
          <w:t>R072</w:t>
        </w:r>
      </w:hyperlink>
      <w:r>
        <w:t>]</w:t>
      </w:r>
    </w:p>
    <w:p>
      <w:r>
        <w:rPr>
          <w:b/>
        </w:rPr>
        <w:t>British Library / EAP</w:t>
      </w:r>
      <w:r>
        <w:t xml:space="preserve"> подтверждает три адресных свидетеля: Trayyantabhāvadīpikā; Bṛhadāraṇyaka-vārttika без начала; Kalpataruparimala только на I.1–I.3. </w:t>
      </w:r>
      <w:r>
        <w:rPr>
          <w:b/>
        </w:rPr>
        <w:t>HMML</w:t>
      </w:r>
      <w:r>
        <w:t xml:space="preserve"> подтверждает коллекцию Naṭuvil Maṭham Svāmiyār из 11 объектов и конкретный вход N-00001. Эти 11 нельзя смешивать с основным комплексом Thrissur из 748 рукописей. Для изображений HMML требуется вход; ни регистрация, ни скачивание не выполнялись. [</w:t>
      </w:r>
      <w:hyperlink r:id="rId70">
        <w:r>
          <w:rPr>
            <w:color w:val="155A89"/>
            <w:u w:val="single"/>
          </w:rPr>
          <w:t>R087</w:t>
        </w:r>
      </w:hyperlink>
      <w:r>
        <w:t>–</w:t>
      </w:r>
      <w:hyperlink r:id="rId59">
        <w:r>
          <w:rPr>
            <w:color w:val="155A89"/>
            <w:u w:val="single"/>
          </w:rPr>
          <w:t>R089</w:t>
        </w:r>
      </w:hyperlink>
      <w:r>
        <w:t xml:space="preserve">; </w:t>
      </w:r>
      <w:hyperlink r:id="rId60">
        <w:r>
          <w:rPr>
            <w:color w:val="155A89"/>
            <w:u w:val="single"/>
          </w:rPr>
          <w:t>R097</w:t>
        </w:r>
      </w:hyperlink>
      <w:r>
        <w:t>–</w:t>
      </w:r>
      <w:hyperlink r:id="rId61">
        <w:r>
          <w:rPr>
            <w:color w:val="155A89"/>
            <w:u w:val="single"/>
          </w:rPr>
          <w:t>R098</w:t>
        </w:r>
      </w:hyperlink>
      <w:r>
        <w:t>]</w:t>
      </w:r>
    </w:p>
    <w:p>
      <w:pPr>
        <w:pStyle w:val="Caption"/>
      </w:pPr>
      <w:r>
        <w:t>Машиночитаемый итог: проверены HTML e-text и предлагаемые TEI-ссылки GRETIL, каталожные TEI OPenn и старый OCR DLI. Готовый полный Advaita dataset, протестированные API/bulk download или целостный IIIF-пакет этим исследованием не установлены.</w:t>
      </w:r>
    </w:p>
    <w:p>
      <w:r>
        <w:br w:type="page"/>
      </w:r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Потенциальное зеркалирование: три разных основания</w:t>
      </w:r>
    </w:p>
    <w:p>
      <w:r>
        <w:rPr>
          <w:b/>
        </w:rPr>
        <w:t>GRETIL: 12 записей с item-level CC BY-NC-SA 4.0.</w:t>
      </w:r>
      <w:r>
        <w:t xml:space="preserve"> Возможны некоммерческое воспроизведение и адаптация предоставленного электронного слоя при атрибуции, сохранении лицензии и ShareAlike для распространяемой адаптации. В registry FULLTEXT_INDEX_OK и EMBEDDINGS_OK означают вывод в этих пределах, а не неограниченную лицензию на исходные критические издания. Тексты с современной редакторской основой дополнительно отмечены RIGHTS_REVIEW_REQUIRED. [</w:t>
      </w:r>
      <w:hyperlink r:id="rId11">
        <w:r>
          <w:rPr>
            <w:color w:val="155A89"/>
            <w:u w:val="single"/>
          </w:rPr>
          <w:t>R001</w:t>
        </w:r>
      </w:hyperlink>
      <w:r>
        <w:t>–</w:t>
      </w:r>
      <w:hyperlink r:id="rId39">
        <w:r>
          <w:rPr>
            <w:color w:val="155A89"/>
            <w:u w:val="single"/>
          </w:rPr>
          <w:t>R010</w:t>
        </w:r>
      </w:hyperlink>
      <w:r>
        <w:t xml:space="preserve">; </w:t>
      </w:r>
      <w:hyperlink r:id="rId48">
        <w:r>
          <w:rPr>
            <w:color w:val="155A89"/>
            <w:u w:val="single"/>
          </w:rPr>
          <w:t>R076</w:t>
        </w:r>
      </w:hyperlink>
      <w:r>
        <w:t>–</w:t>
      </w:r>
      <w:hyperlink r:id="rId64">
        <w:r>
          <w:rPr>
            <w:color w:val="155A89"/>
            <w:u w:val="single"/>
          </w:rPr>
          <w:t>R077</w:t>
        </w:r>
      </w:hyperlink>
      <w:r>
        <w:t>]</w:t>
      </w:r>
    </w:p>
    <w:p>
      <w:r>
        <w:rPr>
          <w:b/>
        </w:rPr>
        <w:t>Sacred Texts: специальное разрешение для части II Thibaut.</w:t>
      </w:r>
      <w:r>
        <w:t xml:space="preserve"> На титульной странице разрешено некоммерческое использование файлов с сохранением атрибуционного уведомления. Это не Creative Commons. Уведомление относится к историческому e-text, а не к современному оформлению сайта. Здесь тоже возможно некоммерческое зеркало; разрешение на один том не переносится на другой источник. [</w:t>
      </w:r>
      <w:hyperlink r:id="rId17">
        <w:r>
          <w:rPr>
            <w:color w:val="155A89"/>
            <w:u w:val="single"/>
          </w:rPr>
          <w:t>R093</w:t>
        </w:r>
      </w:hyperlink>
      <w:r>
        <w:t>]</w:t>
      </w:r>
    </w:p>
    <w:p>
      <w:r>
        <w:rPr>
          <w:b/>
        </w:rPr>
        <w:t>OPenn: Public Domain Mark на изображения и содержание конкретных свидетелей, CC BY 4.0 на метаданные.</w:t>
      </w:r>
      <w:r>
        <w:t xml:space="preserve"> PDM — маркировка статуса, не лицензия. При успешном получении указанных файлов они образуют наиболее свободный факсимильный слой. OCR и последующая индексация ограничены именно этими объектами. Атрибуция обязательна для повторно используемого каталожного описания. [</w:t>
      </w:r>
      <w:hyperlink r:id="rId56">
        <w:r>
          <w:rPr>
            <w:color w:val="155A89"/>
            <w:u w:val="single"/>
          </w:rPr>
          <w:t>R070</w:t>
        </w:r>
      </w:hyperlink>
      <w:r>
        <w:t>–</w:t>
      </w:r>
      <w:hyperlink r:id="rId57">
        <w:r>
          <w:rPr>
            <w:color w:val="155A89"/>
            <w:u w:val="single"/>
          </w:rPr>
          <w:t>R072</w:t>
        </w:r>
      </w:hyperlink>
      <w:r>
        <w:t>]</w:t>
      </w:r>
    </w:p>
    <w:p>
      <w:pPr>
        <w:pStyle w:val="Heading2"/>
      </w:pPr>
      <w:r>
        <w:t>Читать и скачивать — не то же самое, что размещать у себя</w:t>
      </w:r>
    </w:p>
    <w:p>
      <w:r>
        <w:t>Sringeri даёт 46 удобных текстовых входов, но проверенное уведомление сохраняет права; для ToS это прежде всего LINK_OK / FREE_READ / LINK_ONLY. Официальный PDF Sivananda можно получить для чтения, однако copyright Divine Life Trust не разрешает собственное публичное зеркало. У IFP различие ещё явнее: PDF предлагается бесплатно, но переиспользование требует письменного разрешения. [</w:t>
      </w:r>
      <w:hyperlink r:id="rId62">
        <w:r>
          <w:rPr>
            <w:color w:val="155A89"/>
            <w:u w:val="single"/>
          </w:rPr>
          <w:t>R011</w:t>
        </w:r>
      </w:hyperlink>
      <w:r>
        <w:t>–</w:t>
      </w:r>
      <w:hyperlink r:id="rId42">
        <w:r>
          <w:rPr>
            <w:color w:val="155A89"/>
            <w:u w:val="single"/>
          </w:rPr>
          <w:t>R056</w:t>
        </w:r>
      </w:hyperlink>
      <w:r>
        <w:t xml:space="preserve">; </w:t>
      </w:r>
      <w:hyperlink r:id="rId75">
        <w:r>
          <w:rPr>
            <w:color w:val="155A89"/>
            <w:u w:val="single"/>
          </w:rPr>
          <w:t>R086</w:t>
        </w:r>
      </w:hyperlink>
      <w:r>
        <w:t xml:space="preserve">; </w:t>
      </w:r>
      <w:hyperlink r:id="rId38">
        <w:r>
          <w:rPr>
            <w:color w:val="155A89"/>
            <w:u w:val="single"/>
          </w:rPr>
          <w:t>R103</w:t>
        </w:r>
      </w:hyperlink>
      <w:r>
        <w:t>]</w:t>
      </w:r>
    </w:p>
    <w:p>
      <w:r>
        <w:t>Для современных переводов Gambhirananda, Madhavananda, Nikhilananda, Alston, Gupta, Mayeda и Mokshadananda сохранены покупка или preview. Библиотечная запись Tattvasamīkṣā даёт путь запроса правомочным читателем, но не доказанную текущую выдачу. Ни один маршрут не объявлен проверенным Controlled Digital Lending. Старые DLI-сканы имеют институциональную историю, но не получили автоматического разрешения на международное зеркало. [</w:t>
      </w:r>
      <w:hyperlink r:id="rId13">
        <w:r>
          <w:rPr>
            <w:color w:val="155A89"/>
            <w:u w:val="single"/>
          </w:rPr>
          <w:t>R057</w:t>
        </w:r>
      </w:hyperlink>
      <w:r>
        <w:t>–</w:t>
      </w:r>
      <w:hyperlink r:id="rId25">
        <w:r>
          <w:rPr>
            <w:color w:val="155A89"/>
            <w:u w:val="single"/>
          </w:rPr>
          <w:t>R069</w:t>
        </w:r>
      </w:hyperlink>
      <w:r>
        <w:t xml:space="preserve">; </w:t>
      </w:r>
      <w:hyperlink r:id="rId29">
        <w:r>
          <w:rPr>
            <w:color w:val="155A89"/>
            <w:u w:val="single"/>
          </w:rPr>
          <w:t>R078</w:t>
        </w:r>
      </w:hyperlink>
      <w:r>
        <w:t>–</w:t>
      </w:r>
      <w:hyperlink r:id="rId30">
        <w:r>
          <w:rPr>
            <w:color w:val="155A89"/>
            <w:u w:val="single"/>
          </w:rPr>
          <w:t>R079</w:t>
        </w:r>
      </w:hyperlink>
      <w:r>
        <w:t xml:space="preserve">; </w:t>
      </w:r>
      <w:hyperlink r:id="rId18">
        <w:r>
          <w:rPr>
            <w:color w:val="155A89"/>
            <w:u w:val="single"/>
          </w:rPr>
          <w:t>R094</w:t>
        </w:r>
      </w:hyperlink>
      <w:r>
        <w:t xml:space="preserve">; </w:t>
      </w:r>
      <w:hyperlink r:id="rId19">
        <w:r>
          <w:rPr>
            <w:color w:val="155A89"/>
            <w:u w:val="single"/>
          </w:rPr>
          <w:t>R101</w:t>
        </w:r>
      </w:hyperlink>
      <w:r>
        <w:t>–</w:t>
      </w:r>
      <w:hyperlink r:id="rId73">
        <w:r>
          <w:rPr>
            <w:color w:val="155A89"/>
            <w:u w:val="single"/>
          </w:rPr>
          <w:t>R102</w:t>
        </w:r>
      </w:hyperlink>
      <w:r>
        <w:t>]</w:t>
      </w:r>
    </w:p>
    <w:p>
      <w:pPr>
        <w:pStyle w:val="Heading2"/>
      </w:pPr>
      <w:r>
        <w:t>Собственный перевод ToS</w:t>
      </w:r>
    </w:p>
    <w:p>
      <w:r>
        <w:t xml:space="preserve">Безусловный тег OWN_TRANSLATION_POSSIBLE поставлен только для </w:t>
      </w:r>
      <w:r>
        <w:rPr>
          <w:b/>
        </w:rPr>
        <w:t>конкретного открыто лицензированного e-text Brahmasūtra</w:t>
      </w:r>
      <w:r>
        <w:t>; он сохраняет NC/SA и требует текстологической сверки. Для OPenn чистая факсимильная основа потенциально существует, но листы ещё нужно получить и прочитать. Для современной реконструкции, перевода-посредника и неидентифицированного скана такой тег не поставлен. Нигде он не обещает перевод всего корпуса по доступу к одному фрагменту. [</w:t>
      </w:r>
      <w:hyperlink r:id="rId48">
        <w:r>
          <w:rPr>
            <w:color w:val="155A89"/>
            <w:u w:val="single"/>
          </w:rPr>
          <w:t>R076</w:t>
        </w:r>
      </w:hyperlink>
      <w:r>
        <w:t xml:space="preserve">; </w:t>
      </w:r>
      <w:hyperlink r:id="rId56">
        <w:r>
          <w:rPr>
            <w:color w:val="155A89"/>
            <w:u w:val="single"/>
          </w:rPr>
          <w:t>R070</w:t>
        </w:r>
      </w:hyperlink>
      <w:r>
        <w:t>–</w:t>
      </w:r>
      <w:hyperlink r:id="rId57">
        <w:r>
          <w:rPr>
            <w:color w:val="155A89"/>
            <w:u w:val="single"/>
          </w:rPr>
          <w:t>R072</w:t>
        </w:r>
      </w:hyperlink>
      <w:r>
        <w:t>]</w:t>
      </w:r>
    </w:p>
    <w:p>
      <w:r>
        <w:br w:type="page"/>
      </w:r>
    </w:p>
    <w:p>
      <w:pPr>
        <w:pStyle w:val="Heading1"/>
      </w:pPr>
      <w:r>
        <w:t>5. Характерные правовые и текстологические тонкости</w:t>
      </w:r>
    </w:p>
    <w:p>
      <w:pPr>
        <w:pStyle w:val="Heading2"/>
      </w:pPr>
      <w:r>
        <w:t>Лицензия файла не устраняет историю его изготовления</w:t>
      </w:r>
    </w:p>
    <w:p>
      <w:r>
        <w:t>Электронный файл может содержать древний текст, современный набор, варианты чтений и редакторские решения. Поэтому e-text, печатное издание и аппарат разделены. Так, открытый электронный слой Upadeśasāhasrī не превращает книгу Mayeda в открытое издание; аналогичная осторожность нужна для Brahmasiddhi и Vibhramaviveka. Положительные теги с RIGHTS_REVIEW_REQUIRED действуют только в явно указанном слое. [</w:t>
      </w:r>
      <w:hyperlink r:id="rId65">
        <w:r>
          <w:rPr>
            <w:color w:val="155A89"/>
            <w:u w:val="single"/>
          </w:rPr>
          <w:t>R003</w:t>
        </w:r>
      </w:hyperlink>
      <w:r>
        <w:t xml:space="preserve">; </w:t>
      </w:r>
      <w:hyperlink r:id="rId20">
        <w:r>
          <w:rPr>
            <w:color w:val="155A89"/>
            <w:u w:val="single"/>
          </w:rPr>
          <w:t>R005</w:t>
        </w:r>
      </w:hyperlink>
      <w:r>
        <w:t xml:space="preserve">; </w:t>
      </w:r>
      <w:hyperlink r:id="rId76">
        <w:r>
          <w:rPr>
            <w:color w:val="155A89"/>
            <w:u w:val="single"/>
          </w:rPr>
          <w:t>R007</w:t>
        </w:r>
      </w:hyperlink>
      <w:r>
        <w:t>]</w:t>
      </w:r>
    </w:p>
    <w:p>
      <w:pPr>
        <w:pStyle w:val="Heading2"/>
      </w:pPr>
      <w:r>
        <w:t>Public Domain: чьё утверждение и для какой территории</w:t>
      </w:r>
    </w:p>
    <w:p>
      <w:r>
        <w:t>Project Gutenberg заявляет Public Domain в США; это не всемирная гарантия для ToS. У DLI встречаются как отсутствие ясной лицензии, так и неопределённые public-domain метки, а у проблемного Vivaraṇa — указание правообладателя. Реестр сохраняет источник и формулировку, но не заменяет их единым «всё древнее свободно». Юрисдикции будущего размещения ToS ещё не определены. [</w:t>
      </w:r>
      <w:hyperlink r:id="rId27">
        <w:r>
          <w:rPr>
            <w:color w:val="155A89"/>
            <w:u w:val="single"/>
          </w:rPr>
          <w:t>R066</w:t>
        </w:r>
      </w:hyperlink>
      <w:r>
        <w:t xml:space="preserve">; </w:t>
      </w:r>
      <w:hyperlink r:id="rId28">
        <w:r>
          <w:rPr>
            <w:color w:val="155A89"/>
            <w:u w:val="single"/>
          </w:rPr>
          <w:t>R075</w:t>
        </w:r>
      </w:hyperlink>
      <w:r>
        <w:t xml:space="preserve">; </w:t>
      </w:r>
      <w:hyperlink r:id="rId16">
        <w:r>
          <w:rPr>
            <w:color w:val="155A89"/>
            <w:u w:val="single"/>
          </w:rPr>
          <w:t>R084</w:t>
        </w:r>
      </w:hyperlink>
      <w:r>
        <w:t>–</w:t>
      </w:r>
      <w:hyperlink r:id="rId58">
        <w:r>
          <w:rPr>
            <w:color w:val="155A89"/>
            <w:u w:val="single"/>
          </w:rPr>
          <w:t>R085</w:t>
        </w:r>
      </w:hyperlink>
      <w:r>
        <w:t>; G30]</w:t>
      </w:r>
    </w:p>
    <w:p>
      <w:r>
        <w:t>Item-level notice Sacred Texts одновременно заявляет всемирный public domain исторического перевода и устанавливает условие NC с сохранением атрибуции для файлов. В рекомендации использовано именно подтверждённое разрешение на эти файлы; самостоятельного международного расчёта сроков не делалось. Для коммерческой переработки или удаления уведомления нужен отдельный анализ. [</w:t>
      </w:r>
      <w:hyperlink r:id="rId17">
        <w:r>
          <w:rPr>
            <w:color w:val="155A89"/>
            <w:u w:val="single"/>
          </w:rPr>
          <w:t>R093</w:t>
        </w:r>
      </w:hyperlink>
      <w:r>
        <w:t>]</w:t>
      </w:r>
    </w:p>
    <w:p>
      <w:pPr>
        <w:pStyle w:val="Heading2"/>
      </w:pPr>
      <w:r>
        <w:t>Права метаданных и изображений расходятся</w:t>
      </w:r>
    </w:p>
    <w:p>
      <w:r>
        <w:t>У OPenn факсимиле и каталог имеют разные основания использования. У British Library положительные теги распространения относятся только к каталожным данным под CC BY 4.0; права TIFF не проверены. У HMML сам открытый каталог предупреждает, что изображения нельзя копировать или распространять без предварительного разрешения. Наличие viewer либо IIIF-ссылки не заменяет rights statement. [</w:t>
      </w:r>
      <w:hyperlink r:id="rId56">
        <w:r>
          <w:rPr>
            <w:color w:val="155A89"/>
            <w:u w:val="single"/>
          </w:rPr>
          <w:t>R070</w:t>
        </w:r>
      </w:hyperlink>
      <w:r>
        <w:t>–</w:t>
      </w:r>
      <w:hyperlink r:id="rId57">
        <w:r>
          <w:rPr>
            <w:color w:val="155A89"/>
            <w:u w:val="single"/>
          </w:rPr>
          <w:t>R072</w:t>
        </w:r>
      </w:hyperlink>
      <w:r>
        <w:t xml:space="preserve">; </w:t>
      </w:r>
      <w:hyperlink r:id="rId70">
        <w:r>
          <w:rPr>
            <w:color w:val="155A89"/>
            <w:u w:val="single"/>
          </w:rPr>
          <w:t>R087</w:t>
        </w:r>
      </w:hyperlink>
      <w:r>
        <w:t>–</w:t>
      </w:r>
      <w:hyperlink r:id="rId59">
        <w:r>
          <w:rPr>
            <w:color w:val="155A89"/>
            <w:u w:val="single"/>
          </w:rPr>
          <w:t>R089</w:t>
        </w:r>
      </w:hyperlink>
      <w:r>
        <w:t xml:space="preserve">; </w:t>
      </w:r>
      <w:hyperlink r:id="rId61">
        <w:r>
          <w:rPr>
            <w:color w:val="155A89"/>
            <w:u w:val="single"/>
          </w:rPr>
          <w:t>R098</w:t>
        </w:r>
      </w:hyperlink>
      <w:r>
        <w:t>]</w:t>
      </w:r>
    </w:p>
    <w:p>
      <w:pPr>
        <w:pStyle w:val="Heading2"/>
      </w:pPr>
      <w:r>
        <w:t>Полнота и авторство требуют собственной проверки</w:t>
      </w:r>
    </w:p>
    <w:p>
      <w:r>
        <w:t xml:space="preserve">Полный перевод введения Khaṇḍanakhaṇḍakhādya остаётся лишь частью произведения. Полный сохранившийся текст Pañcapādikā остаётся комментарием на ограниченный участок BSB. Первый том Nyāyāmṛta не равен всему многотомному полемическому комплексу. В карточках </w:t>
      </w:r>
      <w:hyperlink r:id="rId77">
        <w:r>
          <w:rPr>
            <w:color w:val="155A89"/>
            <w:u w:val="single"/>
          </w:rPr>
          <w:t>R045</w:t>
        </w:r>
      </w:hyperlink>
      <w:r>
        <w:t>/</w:t>
      </w:r>
      <w:hyperlink r:id="rId64">
        <w:r>
          <w:rPr>
            <w:color w:val="155A89"/>
            <w:u w:val="single"/>
          </w:rPr>
          <w:t>R077</w:t>
        </w:r>
      </w:hyperlink>
      <w:r>
        <w:t xml:space="preserve"> сохранено расхождение Govindānanda / Rāmānandayati для Ratnaprabhā: заголовок цифрового ресурса и текстовая атрибуция не должны молча унифицироваться.</w:t>
      </w:r>
    </w:p>
    <w:p>
      <w:r>
        <w:t>Доказанного слоя CC BY-ND или CC BY-NC-ND в включённых объектах не найдено. Поэтому категория «разрешено только неизменённым» не заполнена искусственно. Сохранение атрибуционного уведомления не равнозначно запрету всех переработок. Embeddings, OCR и публичная полнотекстовая индексация также не объединены в одно универсальное разрешение.</w:t>
      </w:r>
    </w:p>
    <w:p>
      <w:pPr>
        <w:pStyle w:val="Caption"/>
      </w:pPr>
      <w:r>
        <w:t>Практическое правило для последующего импорта: наличие FREE_DOWNLOAD не запускает зеркалирование. Сначала проверяются rights_scope, coverage, verification_status и пояснение к действию в notes.</w:t>
      </w:r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r>
        <w:t xml:space="preserve">Полный рабочий список — </w:t>
      </w:r>
      <w:r>
        <w:rPr>
          <w:b/>
        </w:rPr>
        <w:t>30 записей gaps</w:t>
      </w:r>
      <w:r>
        <w:t>. Главные содержательные пробелы: надёжный полный санскритский Vivaraṇa; чистая рукописная основа Tattvasamīkṣā; полный санскритский Khaṇḍanakhaṇḍakhādya; отдельный полный комментарий Jñānottama; открытый оригинал Jīvanmuktiviveka; Saṃkṣepaśārīraka и его комментарийные линии. Покупка или каталог там, где они найдены, сохранены в registry, а не заменены отметкой «текст отсутствует».</w:t>
      </w:r>
    </w:p>
    <w:p>
      <w:r>
        <w:t>Технические ограничения сосредоточены в OPenn, PANDiT, EAP viewer, HMML sign-in, нескольких русских журнальных ссылках и PDF IFP. Это разные ситуации: timeout, 403, не извлечённый JavaScript, необходимость входа и лимит размера файла. Отсутствие результата инструмента не обозначено как отсутствие цифрового объекта у учреждения.</w:t>
      </w:r>
    </w:p>
    <w:p>
      <w:pPr>
        <w:pStyle w:val="Heading2"/>
      </w:pPr>
      <w:r>
        <w:t>Восемь адресных продолжений</w:t>
      </w:r>
    </w:p>
    <w:p>
      <w:r>
        <w:rPr>
          <w:b/>
        </w:rPr>
        <w:t>1. Vivaraṇa и его потомки (G01–G02).</w:t>
      </w:r>
      <w:r>
        <w:t xml:space="preserve"> Установить издание проблемного скана; получить EAP1039/1/33; перейти от Trayyantabhāvadīpikā к отдельной Ṛjuvivaraṇa. Это главный приоритет для устранения разрыва между картой комментариев и текстом.</w:t>
      </w:r>
    </w:p>
    <w:p>
      <w:r>
        <w:rPr>
          <w:b/>
        </w:rPr>
        <w:t>2. Ранняя самостоятельная Advaita (G03–G04, G09–G11).</w:t>
      </w:r>
      <w:r>
        <w:t xml:space="preserve"> Сверить Kathmandu-свидетель Tattvasamīkṣā, дату Hiriyanna, состав Jacob и современные переводы Brahmasiddhi. Не объявлять монографию Thrasher полным переводом без оглавления.</w:t>
      </w:r>
    </w:p>
    <w:p>
      <w:r>
        <w:rPr>
          <w:b/>
        </w:rPr>
        <w:t>3. Saṃkṣepaśārīraka и поздние комментарии (G07–G08).</w:t>
      </w:r>
      <w:r>
        <w:t xml:space="preserve"> Проверить университетские сигнатуры, издание Veezhinathan и Sārasaṅgraha Madhusūdana. Эти кандидаты сохранены именно как родственники корпуса, несмотря на выход части дат за мастер-рамку.</w:t>
      </w:r>
    </w:p>
    <w:p>
      <w:r>
        <w:rPr>
          <w:b/>
        </w:rPr>
        <w:t>4. Полемика Śrīharṣa и Madhusūdana (G05–G06, G15–G16).</w:t>
      </w:r>
      <w:r>
        <w:t xml:space="preserve"> Установить комплектность KhKh и Ānandapūrṇa; проверить все тома Nyāyāmṛta/Advaitasiddhi и отдельный перевод Gūḍhārthadīpikā.</w:t>
      </w:r>
    </w:p>
    <w:p>
      <w:r>
        <w:rPr>
          <w:b/>
        </w:rPr>
        <w:t>5. Maṇḍana и входящие цитаты (G12–G14).</w:t>
      </w:r>
      <w:r>
        <w:t xml:space="preserve"> Найти Vidhiviveka, Bhāvanāviveka и Mīmāṃsānukramaṇī; зафиксировать конкретные места Bhartṛhari/Kumārila. Буддийские сопоставления переводить в поиск произведений только после установления текстовой связи.</w:t>
      </w:r>
    </w:p>
    <w:p>
      <w:r>
        <w:rPr>
          <w:b/>
        </w:rPr>
        <w:t>6. Свидетели и данные (G20–G26).</w:t>
      </w:r>
      <w:r>
        <w:t xml:space="preserve"> Получить OPenn-листы, проверить EAP image rights, идентифицировать HMML N-00001 и единственный манускрипт T. P. Mahadevan Collection, восстановить PANDiT-доступ и отдельно изучить условия экспорта.</w:t>
      </w:r>
    </w:p>
    <w:p>
      <w:r>
        <w:rPr>
          <w:b/>
        </w:rPr>
        <w:t>7. Русские и современные научные версии (G27–G29).</w:t>
      </w:r>
      <w:r>
        <w:t xml:space="preserve"> Восстановить IPhRAS/журнальные страницы с точным указанием переводчика и диапазона; уточнить Mayeda/SUNY; скачать официальный IFP PDF обычным браузером.</w:t>
      </w:r>
    </w:p>
    <w:p>
      <w:r>
        <w:rPr>
          <w:b/>
        </w:rPr>
        <w:t>8. Приписанный и раннемодерный край (G17–G19).</w:t>
      </w:r>
      <w:r>
        <w:t xml:space="preserve"> Проверить Ātmabodha, Aparokṣānubhūti, Dṛg-Dṛśya-Viveka, Advaitamakaranda, Svarājyasiddhi и другие Śaṅkaravijaya. Для слабых поисковых подсказок сначала установить идентичность и авторство, затем доступ и права.</w:t>
      </w:r>
    </w:p>
    <w:p>
      <w:pPr>
        <w:pStyle w:val="Caption"/>
      </w:pPr>
      <w:r>
        <w:t>unverified_candidate означает непроверенный кандидат или доступ, а не отрицание существования сочинения. Wikipedia не использована в итоговых ссылках или доказательствах; слабые поисковые указатели не заменяли официальную карточку.</w:t>
      </w:r>
    </w:p>
    <w:p>
      <w:r>
        <w:br w:type="page"/>
      </w:r>
    </w:p>
    <w:p>
      <w:pPr>
        <w:pStyle w:val="Heading1"/>
      </w:pPr>
      <w:r>
        <w:t>7. Итоговая оценка</w:t>
      </w:r>
    </w:p>
    <w:p>
      <w:r>
        <w:rPr>
          <w:b/>
        </w:rPr>
        <w:t>Корпус покрыт широко, но не исчерпывающе.</w:t>
      </w:r>
      <w:r>
        <w:t xml:space="preserve"> Получены 103 маршрута, из которых большинство ведёт не на главные страницы порталов, а к конкретным текстам, изданиям и свидетелям. Все основные произведения и инфраструктурные якоря DR получили доступ либо явный пробел. Особенно хорошо раскрыты шанкаровские комментарии, Bhāmatī-линия, Ānandagiri и прямые раннемодерные продолжения.</w:t>
      </w:r>
    </w:p>
    <w:p>
      <w:r>
        <w:rPr>
          <w:b/>
        </w:rPr>
        <w:t>Оригиналы доступны лучше переводов</w:t>
      </w:r>
      <w:r>
        <w:t>, прежде всего через санскритское чтение Sringeri и GRETIL. При этом полная читательская доступность и пригодность к свободному машинному импорту расходятся. Свободный оригинальный e-text может быть неполным; полный современный санскритский сайт может не давать прав на собственное зеркало. Ключевой оставшийся разрыв — полный проверенный оригинал Pañcapādikāvivaraṇa.</w:t>
      </w:r>
    </w:p>
    <w:p>
      <w:r>
        <w:rPr>
          <w:b/>
        </w:rPr>
        <w:t>Переводной слой неоднороден.</w:t>
      </w:r>
      <w:r>
        <w:t xml:space="preserve"> Для Śaṅkara есть старые английские версии и широкий современный издательский выбор. Для технических трактатов чаще доступны покупка, отдельный раздел, библиотечная карточка или старый перевод. Русский подтверждённый вход заметно уже: издательская карточка Исаевой и несколько пока не открывшихся журнальных кандидатов. Французско-санскритский Sphoṭasiddhi IFP — ценный законный downloadable-маршрут, но не открытая лицензия.</w:t>
      </w:r>
    </w:p>
    <w:p>
      <w:r>
        <w:rPr>
          <w:b/>
        </w:rPr>
        <w:t>Наиболее свободный слой</w:t>
      </w:r>
      <w:r>
        <w:t xml:space="preserve"> находится в item-level факсимиле OPenn с PDM; для некоммерческого текстового использования важны 12 CC BY-NC-SA e-text GRETIL и специальное разрешение Sacred Texts на второй том Thibaut. Главные ограничения — современные переводы и критические чтения, смешанные права рукописных ресурсов, неполнота некоторых файлов и нестабильный доступ.</w:t>
      </w:r>
    </w:p>
    <w:p>
      <w:r>
        <w:rPr>
          <w:b/>
        </w:rPr>
        <w:t>Пакет пригоден для передачи Codex как исследовательский реестр, а не как команда на автоматическое скачивание и публикацию.</w:t>
      </w:r>
      <w:r>
        <w:t xml:space="preserve"> Схема не требует графовой онтологии: один record_id, один практически различимый маршрут, provenance и ограничения в соответствующих полях. Дальнейшая нормализация должна сохранить различие произведения, версии, свидетеля и цифрового файла.</w:t>
      </w:r>
    </w:p>
    <w:p>
      <w:pPr>
        <w:pStyle w:val="Heading2"/>
      </w:pPr>
      <w:r>
        <w:t>Приоритет использования внутри ToS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57"/>
      </w:tblGrid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Внешние карточки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Использовать проверенные landing_url; показывать язык, переводчика, объём и режим доступа.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Локальная исследовательская работа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Брать официально предлагаемые файлы в пределах условий источника; не превращать локальную копию в публичное зеркало.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Первые кандидаты на повторное размещение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GRETIL — только допустимый NC/SA e-text; Sacred Texts — только часть II с уведомлением; OPenn — только конкретные изображения после успешной загрузки и проверки.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/>
            </w:pPr>
            <w:r>
              <w:rPr>
                <w:b/>
                <w:sz w:val="20"/>
              </w:rPr>
              <w:t>Сначала ручная проверка</w:t>
            </w:r>
          </w:p>
        </w:tc>
        <w:tc>
          <w:tcPr>
            <w:tcW w:type="dxa" w:w="7257"/>
          </w:tcPr>
          <w:p>
            <w:pPr>
              <w:spacing w:after="80"/>
            </w:pPr>
            <w:r>
              <w:rPr>
                <w:sz w:val="20"/>
              </w:rPr>
              <w:t>R062/R075/R100 — полнота и версия Vivaraṇa; R063 — критическая основа; R087–R098 — изображения и доступ; G30 — юрисдикции старых переводов.</w:t>
            </w:r>
          </w:p>
        </w:tc>
      </w:tr>
    </w:tbl>
    <w:p>
      <w:pPr>
        <w:pStyle w:val="Caption"/>
      </w:pPr>
      <w:r>
        <w:t>Исходный статус A/5 и хронологическая рамка T2-32 сохранены. Включение поздних комментариев, переводов и физических копий расширяет реестр доступа, а не меняет мастер-строку.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T2-32  •  04.09.2026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471"/>
        <w:sz w:val="18"/>
      </w:rPr>
      <w:t>ДРЕВО СОФИИ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63B4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3B4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63B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63B4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15B5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47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retil.sub.uni-goettingen.de/gretil/corpustei/transformations/html/sa_bAdarAyaNa-brahmasUtra-comm.htm" TargetMode="External"/><Relationship Id="rId12" Type="http://schemas.openxmlformats.org/officeDocument/2006/relationships/hyperlink" Target="https://www.advaitasharada.sringeri.net/read/bhamati/1-1/" TargetMode="External"/><Relationship Id="rId13" Type="http://schemas.openxmlformats.org/officeDocument/2006/relationships/hyperlink" Target="https://shop.advaitaashrama.org/products/brahma-sutra-bhasya-of-shankaracharya/1237499000010258285" TargetMode="External"/><Relationship Id="rId14" Type="http://schemas.openxmlformats.org/officeDocument/2006/relationships/hyperlink" Target="https://shop.advaitaashrama.org/products/mandukya-upanishad-commentary-of-shankaracharya-nikhilananda/1237499000010258245" TargetMode="External"/><Relationship Id="rId15" Type="http://schemas.openxmlformats.org/officeDocument/2006/relationships/hyperlink" Target="https://www.shantisadan.org/books/thousand-teachings-of-shankara/" TargetMode="External"/><Relationship Id="rId16" Type="http://schemas.openxmlformats.org/officeDocument/2006/relationships/hyperlink" Target="https://www.gutenberg.org/ebooks/16295" TargetMode="External"/><Relationship Id="rId17" Type="http://schemas.openxmlformats.org/officeDocument/2006/relationships/hyperlink" Target="https://sacred-texts.com/hin/sbe38/index.htm" TargetMode="External"/><Relationship Id="rId18" Type="http://schemas.openxmlformats.org/officeDocument/2006/relationships/hyperlink" Target="https://books.google.com/books/about/A_Thousand_Teachings.html?id=UZPbjwiqXKkC" TargetMode="External"/><Relationship Id="rId19" Type="http://schemas.openxmlformats.org/officeDocument/2006/relationships/hyperlink" Target="https://shop.advaitaashrama.org/products/bhagavad-gita-hb-by-swami-gambhirananda/1237499000010259809" TargetMode="External"/><Relationship Id="rId20" Type="http://schemas.openxmlformats.org/officeDocument/2006/relationships/hyperlink" Target="https://gretil.sub.uni-goettingen.de/gretil/corpustei/transformations/html/sa_mandanamizra-brahmasiddhi.htm" TargetMode="External"/><Relationship Id="rId21" Type="http://schemas.openxmlformats.org/officeDocument/2006/relationships/hyperlink" Target="https://www.advaitasharada.sringeri.net/read/brihadaranyakabhashya-vartika/1-0-1/" TargetMode="External"/><Relationship Id="rId22" Type="http://schemas.openxmlformats.org/officeDocument/2006/relationships/hyperlink" Target="https://www.advaitasharada.sringeri.net/read/panchapadika/1/" TargetMode="External"/><Relationship Id="rId23" Type="http://schemas.openxmlformats.org/officeDocument/2006/relationships/hyperlink" Target="https://search.library.wisc.edu/catalog/9910040168502121" TargetMode="External"/><Relationship Id="rId24" Type="http://schemas.openxmlformats.org/officeDocument/2006/relationships/hyperlink" Target="https://archive.org/details/in.ernet.dli.2015.279721" TargetMode="External"/><Relationship Id="rId25" Type="http://schemas.openxmlformats.org/officeDocument/2006/relationships/hyperlink" Target="https://www.shantisadan.org/books/realization-of-the-absolute/" TargetMode="External"/><Relationship Id="rId26" Type="http://schemas.openxmlformats.org/officeDocument/2006/relationships/hyperlink" Target="https://shop.thus.org/products/consciousness-knowledge-and-ignorance" TargetMode="External"/><Relationship Id="rId27" Type="http://schemas.openxmlformats.org/officeDocument/2006/relationships/hyperlink" Target="https://archive.org/details/in.ernet.dli.2015.280206" TargetMode="External"/><Relationship Id="rId28" Type="http://schemas.openxmlformats.org/officeDocument/2006/relationships/hyperlink" Target="https://archive.org/details/in.ernet.dli.2015.496088" TargetMode="External"/><Relationship Id="rId29" Type="http://schemas.openxmlformats.org/officeDocument/2006/relationships/hyperlink" Target="https://www.motilalbanarsidass.com/collections/hinduism-and-its-sources/products/the-khandanakhandakhadya-of-shri-harsha-in-2-vol-set" TargetMode="External"/><Relationship Id="rId30" Type="http://schemas.openxmlformats.org/officeDocument/2006/relationships/hyperlink" Target="https://link.springer.com/book/10.1007/978-94-009-9822-3" TargetMode="External"/><Relationship Id="rId31" Type="http://schemas.openxmlformats.org/officeDocument/2006/relationships/hyperlink" Target="https://panditproject.org/entity/89058/work" TargetMode="External"/><Relationship Id="rId32" Type="http://schemas.openxmlformats.org/officeDocument/2006/relationships/hyperlink" Target="https://www.advaitasharada.sringeri.net/read/anandagiri-aitareya/1/" TargetMode="External"/><Relationship Id="rId33" Type="http://schemas.openxmlformats.org/officeDocument/2006/relationships/hyperlink" Target="https://www.advaitasharada.sringeri.net/read/vaiyasika-nyayamala/1/" TargetMode="External"/><Relationship Id="rId34" Type="http://schemas.openxmlformats.org/officeDocument/2006/relationships/hyperlink" Target="https://www.advaitasharada.sringeri.net/read/vivaranaprameyasangraha/1/" TargetMode="External"/><Relationship Id="rId35" Type="http://schemas.openxmlformats.org/officeDocument/2006/relationships/hyperlink" Target="https://archive.org/details/dli.csl.7302" TargetMode="External"/><Relationship Id="rId36" Type="http://schemas.openxmlformats.org/officeDocument/2006/relationships/hyperlink" Target="https://archive.org/details/dli.ernet.496145" TargetMode="External"/><Relationship Id="rId37" Type="http://schemas.openxmlformats.org/officeDocument/2006/relationships/hyperlink" Target="https://www.exoticindiaart.com/book/details/sphotasiddhi-of-mandana-misra-rare-book-nag962/" TargetMode="External"/><Relationship Id="rId38" Type="http://schemas.openxmlformats.org/officeDocument/2006/relationships/hyperlink" Target="https://www.ifpindia.org/bookstore/pifi13/" TargetMode="External"/><Relationship Id="rId39" Type="http://schemas.openxmlformats.org/officeDocument/2006/relationships/hyperlink" Target="https://gretil.sub.uni-goettingen.de/gretil/corpustei/transformations/html/sa_zaMkara-vivekacuDAmaNi.htm" TargetMode="External"/><Relationship Id="rId40" Type="http://schemas.openxmlformats.org/officeDocument/2006/relationships/hyperlink" Target="https://www.advaitasharada.sringeri.net/read/vedantasara/0/" TargetMode="External"/><Relationship Id="rId41" Type="http://schemas.openxmlformats.org/officeDocument/2006/relationships/hyperlink" Target="https://www.advaitasharada.sringeri.net/read/hastamalakiyam/0/" TargetMode="External"/><Relationship Id="rId42" Type="http://schemas.openxmlformats.org/officeDocument/2006/relationships/hyperlink" Target="https://www.advaitasharada.sringeri.net/read/shrutisarasamuddharanam/0/" TargetMode="External"/><Relationship Id="rId43" Type="http://schemas.openxmlformats.org/officeDocument/2006/relationships/hyperlink" Target="https://shop.advaitaashrama.org/products/panchadashi-of-sri-vidyaranya-swami/1237499000010779603" TargetMode="External"/><Relationship Id="rId44" Type="http://schemas.openxmlformats.org/officeDocument/2006/relationships/hyperlink" Target="https://shop.advaitaashrama.org/products/shankara-dig-vijaya-by-madhava-vidyaranya/1237499000010765059" TargetMode="External"/><Relationship Id="rId45" Type="http://schemas.openxmlformats.org/officeDocument/2006/relationships/hyperlink" Target="https://gretil.sub.uni-goettingen.de/gretil/corpustei/transformations/html/sa_gauDapAda-AgamazAstra.htm" TargetMode="External"/><Relationship Id="rId46" Type="http://schemas.openxmlformats.org/officeDocument/2006/relationships/hyperlink" Target="https://www.advaitasharada.sringeri.net/read/aitareya-bhashya/1/" TargetMode="External"/><Relationship Id="rId47" Type="http://schemas.openxmlformats.org/officeDocument/2006/relationships/hyperlink" Target="https://www.advaitasharada.sringeri.net/read/taittiriya-bhashya/1/" TargetMode="External"/><Relationship Id="rId48" Type="http://schemas.openxmlformats.org/officeDocument/2006/relationships/hyperlink" Target="https://gretil.sub.uni-goettingen.de/gretil/corpustei/transformations/html/sa_bAdarAyaNa-brahmasUtra.htm" TargetMode="External"/><Relationship Id="rId49" Type="http://schemas.openxmlformats.org/officeDocument/2006/relationships/hyperlink" Target="https://ladomirbook.ru/books/isaeva-slovo-tvoryashchee-mir/" TargetMode="External"/><Relationship Id="rId50" Type="http://schemas.openxmlformats.org/officeDocument/2006/relationships/hyperlink" Target="https://gretil.sub.uni-goettingen.de/gretil/corpustei/transformations/html/sa_madhusUdanasarasvatI-siddhAntabindu.htm" TargetMode="External"/><Relationship Id="rId51" Type="http://schemas.openxmlformats.org/officeDocument/2006/relationships/hyperlink" Target="https://www.advaitasharada.sringeri.net/read/parimala/1/" TargetMode="External"/><Relationship Id="rId52" Type="http://schemas.openxmlformats.org/officeDocument/2006/relationships/hyperlink" Target="https://www.advaitasharada.sringeri.net/read/advaitasiddhi/1/" TargetMode="External"/><Relationship Id="rId53" Type="http://schemas.openxmlformats.org/officeDocument/2006/relationships/hyperlink" Target="https://www.advaitasharada.sringeri.net/read/vedantaparibhasha/1/" TargetMode="External"/><Relationship Id="rId54" Type="http://schemas.openxmlformats.org/officeDocument/2006/relationships/hyperlink" Target="https://virasat.dcpune.ac.in/jspui/handle/123456789/34789?frontend=frontend&amp;frontend=frontend&amp;order=desc&amp;query=&amp;query=%5Betal%3D0&amp;rpp=20&amp;searchWord=&amp;sort_by=dc.date.accessioned_dt&amp;start=18840%5D" TargetMode="External"/><Relationship Id="rId55" Type="http://schemas.openxmlformats.org/officeDocument/2006/relationships/hyperlink" Target="https://www.exoticindiaart.com/book/details/nyayamrtaprakasah-of-sri-srinivasatirtha-with-sri-vyasatirtha-s-nyayamrta-volume-1-uau071/" TargetMode="External"/><Relationship Id="rId56" Type="http://schemas.openxmlformats.org/officeDocument/2006/relationships/hyperlink" Target="https://openn.library.upenn.edu/Data/0002/html/mscoll390_item1170.html" TargetMode="External"/><Relationship Id="rId57" Type="http://schemas.openxmlformats.org/officeDocument/2006/relationships/hyperlink" Target="https://openn.library.upenn.edu/Data/0002/html/mscoll390_item1171.html" TargetMode="External"/><Relationship Id="rId58" Type="http://schemas.openxmlformats.org/officeDocument/2006/relationships/hyperlink" Target="https://www.gutenberg.org/ebooks/7297" TargetMode="External"/><Relationship Id="rId59" Type="http://schemas.openxmlformats.org/officeDocument/2006/relationships/hyperlink" Target="https://searcharchives.bl.uk/catalog/040-003481762" TargetMode="External"/><Relationship Id="rId60" Type="http://schemas.openxmlformats.org/officeDocument/2006/relationships/hyperlink" Target="https://hmml.org/collections/repositories/india/va%E1%B9%ADakke-ma%E1%B9%ADham-brahmasvam--na%E1%B9%ADuvil-ma%E1%B9%ADham-sv%C4%81miy%C4%81r-collection/" TargetMode="External"/><Relationship Id="rId61" Type="http://schemas.openxmlformats.org/officeDocument/2006/relationships/hyperlink" Target="https://www.vhmml.org/readingRoom/view/175892" TargetMode="External"/><Relationship Id="rId62" Type="http://schemas.openxmlformats.org/officeDocument/2006/relationships/hyperlink" Target="https://www.advaitasharada.sringeri.net/read/brahmasutra-bhashya/1/" TargetMode="External"/><Relationship Id="rId63" Type="http://schemas.openxmlformats.org/officeDocument/2006/relationships/hyperlink" Target="https://gretil.sub.uni-goettingen.de/gretil/corpustei/transformations/html/sa_bhagavadgItA-comm.htm" TargetMode="External"/><Relationship Id="rId64" Type="http://schemas.openxmlformats.org/officeDocument/2006/relationships/hyperlink" Target="https://gretil.sub.uni-goettingen.de/gretil/corpustei/transformations/html/sa_bAdarAyaNa-brahmasUtra-subcomm.htm" TargetMode="External"/><Relationship Id="rId65" Type="http://schemas.openxmlformats.org/officeDocument/2006/relationships/hyperlink" Target="https://gretil.sub.uni-goettingen.de/gretil/corpustei/transformations/html/sa_zaMkara-upadezasAhasrI.htm" TargetMode="External"/><Relationship Id="rId66" Type="http://schemas.openxmlformats.org/officeDocument/2006/relationships/hyperlink" Target="https://gretil.sub.uni-goettingen.de/gretil/corpustei/transformations/html/sa_bAdarAyaNa-brahmasUtra-subcomm2.htm" TargetMode="External"/><Relationship Id="rId67" Type="http://schemas.openxmlformats.org/officeDocument/2006/relationships/hyperlink" Target="https://archive.org/details/dli.ministry.25376" TargetMode="External"/><Relationship Id="rId68" Type="http://schemas.openxmlformats.org/officeDocument/2006/relationships/hyperlink" Target="https://www.advaitasharada.sringeri.net/read/kalpataru/1/" TargetMode="External"/><Relationship Id="rId69" Type="http://schemas.openxmlformats.org/officeDocument/2006/relationships/hyperlink" Target="https://www.advaitasharada.sringeri.net/read/vaktavyakashika/1-1/" TargetMode="External"/><Relationship Id="rId70" Type="http://schemas.openxmlformats.org/officeDocument/2006/relationships/hyperlink" Target="https://searcharchives.bl.uk/catalog/040-003481756" TargetMode="External"/><Relationship Id="rId71" Type="http://schemas.openxmlformats.org/officeDocument/2006/relationships/hyperlink" Target="https://archive.org/details/in.ernet.dli.2015.487080" TargetMode="External"/><Relationship Id="rId72" Type="http://schemas.openxmlformats.org/officeDocument/2006/relationships/hyperlink" Target="https://archive.org/details/dli.ministry.03360" TargetMode="External"/><Relationship Id="rId73" Type="http://schemas.openxmlformats.org/officeDocument/2006/relationships/hyperlink" Target="https://shop.advaitaashrama.org/products/jivanmukti-viveka-of-swami-vidyaranya/1237499000010259169" TargetMode="External"/><Relationship Id="rId74" Type="http://schemas.openxmlformats.org/officeDocument/2006/relationships/hyperlink" Target="https://archive.org/details/in.ernet.dli.2015.489158" TargetMode="External"/><Relationship Id="rId75" Type="http://schemas.openxmlformats.org/officeDocument/2006/relationships/hyperlink" Target="https://www.dlshq.org/books/brahma-sutras/" TargetMode="External"/><Relationship Id="rId76" Type="http://schemas.openxmlformats.org/officeDocument/2006/relationships/hyperlink" Target="https://gretil.sub.uni-goettingen.de/gretil/corpustei/transformations/html/sa_maNDanamizra-vibhramaviveka.htm" TargetMode="External"/><Relationship Id="rId77" Type="http://schemas.openxmlformats.org/officeDocument/2006/relationships/hyperlink" Target="https://www.advaitasharada.sringeri.net/read/ratnaprabha/1-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T2-32</dc:title>
  <dc:subject>Адвайта-веданта и пост-шанкаровские линии: корпус, законный доступ и права</dc:subject>
  <dc:creator>ToS Research</dc:creator>
  <cp:keywords>T2-32; Advaita; corpus; rights; registry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