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2616B"/>
          <w:sz w:val="17"/>
        </w:rPr>
        <w:t>ToS Corpus &amp; Rights Registry  •  Исследовательский пакет</w:t>
      </w:r>
    </w:p>
    <w:p>
      <w:pPr>
        <w:pStyle w:val="Title"/>
      </w:pPr>
      <w:r>
        <w:t>Корпус и права доступа</w:t>
      </w:r>
    </w:p>
    <w:p>
      <w:pPr>
        <w:pStyle w:val="Subtitle"/>
      </w:pPr>
      <w:r>
        <w:t>T2-36 — Позднеиндийская буддийская схоластика</w:t>
        <w:br/>
        <w:t>и монастырский университетский комплекс</w:t>
      </w:r>
    </w:p>
    <w:p>
      <w:r>
        <w:t>Санскритские трактаты, тантрическая экзегеза, индийско-тибетская передача и материальные свидетели. Реестр различает возможность ознакомиться с произведением и право ToS использовать конкретную цифровую версию.</w:t>
      </w:r>
    </w:p>
    <w:p>
      <w:r>
        <w:rPr>
          <w:b/>
          <w:color w:val="20596B"/>
        </w:rPr>
        <w:t>72 маршрута доступа  •  43 текстовые/корпусные учётные единицы  •  26 записей о пробелах</w:t>
      </w:r>
    </w:p>
    <w:p>
      <w:r>
        <w:rPr>
          <w:color w:val="52616B"/>
          <w:sz w:val="17"/>
        </w:rPr>
        <w:t>Сопровождающий файл: ToS_Corpus_Rights_T2-36_registry.xlsx. Ссылки [R001] и далее соответствуют record_id T2-36-R001 в таблице и ведут к использованному источнику.</w:t>
      </w:r>
    </w:p>
    <w:p>
      <w:pPr>
        <w:pStyle w:val="Heading1"/>
      </w:pPr>
      <w:r>
        <w:t>1. Паспорт</w:t>
      </w:r>
    </w:p>
    <w:tbl>
      <w:tblPr>
        <w:tblW w:type="auto" w:w="0"/>
        <w:jc w:val="center"/>
        <w:tblLayout w:type="fixed"/>
        <w:tblLook w:firstColumn="1" w:firstRow="1" w:lastColumn="0" w:lastRow="0" w:noHBand="0" w:noVBand="1" w:val="04A0"/>
      </w:tblPr>
      <w:tblGrid>
        <w:gridCol w:w="2041"/>
        <w:gridCol w:w="7597"/>
      </w:tblGrid>
      <w:tr>
        <w:trPr>
          <w:cantSplit/>
          <w:tblHeader/>
        </w:trPr>
        <w:tc>
          <w:tcPr>
            <w:tcW w:type="dxa" w:w="2041"/>
            <w:shd w:fill="17364B"/>
          </w:tcPr>
          <w:p>
            <w:pPr>
              <w:spacing w:after="100" w:before="80"/>
            </w:pPr>
            <w:r>
              <w:rPr>
                <w:b/>
                <w:color w:val="FFFFFF"/>
                <w:sz w:val="18"/>
              </w:rPr>
              <w:t>Поле</w:t>
            </w:r>
          </w:p>
        </w:tc>
        <w:tc>
          <w:tcPr>
            <w:tcW w:type="dxa" w:w="7597"/>
            <w:shd w:fill="17364B"/>
          </w:tcPr>
          <w:p>
            <w:pPr>
              <w:spacing w:after="100" w:before="80"/>
            </w:pPr>
            <w:r>
              <w:rPr>
                <w:b/>
                <w:color w:val="FFFFFF"/>
                <w:sz w:val="18"/>
              </w:rPr>
              <w:t>Значение</w:t>
            </w:r>
          </w:p>
        </w:tc>
      </w:tr>
      <w:tr>
        <w:trPr>
          <w:cantSplit/>
        </w:trPr>
        <w:tc>
          <w:tcPr>
            <w:tcW w:type="dxa" w:w="2041"/>
            <w:vAlign w:val="top"/>
            <w:shd w:fill="F0F5F7"/>
          </w:tcPr>
          <w:p>
            <w:pPr>
              <w:spacing w:after="100" w:before="80"/>
            </w:pPr>
            <w:r>
              <w:rPr>
                <w:sz w:val="18"/>
              </w:rPr>
              <w:t>Мастер-строка</w:t>
            </w:r>
          </w:p>
        </w:tc>
        <w:tc>
          <w:tcPr>
            <w:tcW w:type="dxa" w:w="7597"/>
            <w:vAlign w:val="top"/>
            <w:shd w:fill="F0F5F7"/>
          </w:tcPr>
          <w:p>
            <w:pPr>
              <w:spacing w:after="100" w:before="80"/>
            </w:pPr>
            <w:r>
              <w:rPr>
                <w:sz w:val="18"/>
              </w:rPr>
              <w:t>T2-36; название сохранено без изменений.</w:t>
            </w:r>
          </w:p>
        </w:tc>
      </w:tr>
      <w:tr>
        <w:trPr>
          <w:cantSplit/>
        </w:trPr>
        <w:tc>
          <w:tcPr>
            <w:tcW w:type="dxa" w:w="2041"/>
            <w:vAlign w:val="top"/>
            <w:shd w:fill="FFFFFF"/>
          </w:tcPr>
          <w:p>
            <w:pPr>
              <w:spacing w:after="100" w:before="80"/>
            </w:pPr>
            <w:r>
              <w:rPr>
                <w:sz w:val="18"/>
              </w:rPr>
              <w:t>Статус</w:t>
            </w:r>
          </w:p>
        </w:tc>
        <w:tc>
          <w:tcPr>
            <w:tcW w:type="dxa" w:w="7597"/>
            <w:vAlign w:val="top"/>
            <w:shd w:fill="FFFFFF"/>
          </w:tcPr>
          <w:p>
            <w:pPr>
              <w:spacing w:after="100" w:before="80"/>
            </w:pPr>
            <w:r>
              <w:rPr>
                <w:sz w:val="18"/>
              </w:rPr>
              <w:t>A; в мастер-таблице — A/4.</w:t>
            </w:r>
          </w:p>
        </w:tc>
      </w:tr>
      <w:tr>
        <w:trPr>
          <w:cantSplit/>
        </w:trPr>
        <w:tc>
          <w:tcPr>
            <w:tcW w:type="dxa" w:w="2041"/>
            <w:vAlign w:val="top"/>
            <w:shd w:fill="F0F5F7"/>
          </w:tcPr>
          <w:p>
            <w:pPr>
              <w:spacing w:after="100" w:before="80"/>
            </w:pPr>
            <w:r>
              <w:rPr>
                <w:sz w:val="18"/>
              </w:rPr>
              <w:t>Хронологическая рамка</w:t>
            </w:r>
          </w:p>
        </w:tc>
        <w:tc>
          <w:tcPr>
            <w:tcW w:type="dxa" w:w="7597"/>
            <w:vAlign w:val="top"/>
            <w:shd w:fill="F0F5F7"/>
          </w:tcPr>
          <w:p>
            <w:pPr>
              <w:spacing w:after="100" w:before="80"/>
            </w:pPr>
            <w:r>
              <w:rPr>
                <w:sz w:val="18"/>
              </w:rPr>
              <w:t>Формирование: 7–11 вв.; фиксация: 8–12 вв.; канонизация: 9–12 вв. Поздние свидетели и рецепции не меняют эту рамку.</w:t>
            </w:r>
          </w:p>
        </w:tc>
      </w:tr>
      <w:tr>
        <w:trPr>
          <w:cantSplit/>
        </w:trPr>
        <w:tc>
          <w:tcPr>
            <w:tcW w:type="dxa" w:w="2041"/>
            <w:vAlign w:val="top"/>
            <w:shd w:fill="FFFFFF"/>
          </w:tcPr>
          <w:p>
            <w:pPr>
              <w:spacing w:after="100" w:before="80"/>
            </w:pPr>
            <w:r>
              <w:rPr>
                <w:sz w:val="18"/>
              </w:rPr>
              <w:t>Исходный документ</w:t>
            </w:r>
          </w:p>
        </w:tc>
        <w:tc>
          <w:tcPr>
            <w:tcW w:type="dxa" w:w="7597"/>
            <w:vAlign w:val="top"/>
            <w:shd w:fill="FFFFFF"/>
          </w:tcPr>
          <w:p>
            <w:pPr>
              <w:spacing w:after="100" w:before="80"/>
            </w:pPr>
            <w:r>
              <w:rPr>
                <w:sz w:val="18"/>
              </w:rPr>
              <w:t>ToS Deep Research_ T2-36 — Позднеиндийская буддийская схоластика и монастырский университетский комп(1).docx</w:t>
            </w:r>
          </w:p>
        </w:tc>
      </w:tr>
      <w:tr>
        <w:trPr>
          <w:cantSplit/>
        </w:trPr>
        <w:tc>
          <w:tcPr>
            <w:tcW w:type="dxa" w:w="2041"/>
            <w:vAlign w:val="top"/>
            <w:shd w:fill="F0F5F7"/>
          </w:tcPr>
          <w:p>
            <w:pPr>
              <w:spacing w:after="100" w:before="80"/>
            </w:pPr>
            <w:r>
              <w:rPr>
                <w:sz w:val="18"/>
              </w:rPr>
              <w:t>Контрольный источник</w:t>
            </w:r>
          </w:p>
        </w:tc>
        <w:tc>
          <w:tcPr>
            <w:tcW w:type="dxa" w:w="7597"/>
            <w:vAlign w:val="top"/>
            <w:shd w:fill="F0F5F7"/>
          </w:tcPr>
          <w:p>
            <w:pPr>
              <w:spacing w:after="100" w:before="80"/>
            </w:pPr>
            <w:r>
              <w:rPr>
                <w:sz w:val="18"/>
              </w:rPr>
              <w:t>Таблица II для ToS.docx, строка T2-36.</w:t>
            </w:r>
          </w:p>
        </w:tc>
      </w:tr>
      <w:tr>
        <w:trPr>
          <w:cantSplit/>
        </w:trPr>
        <w:tc>
          <w:tcPr>
            <w:tcW w:type="dxa" w:w="2041"/>
            <w:vAlign w:val="top"/>
            <w:shd w:fill="FFFFFF"/>
          </w:tcPr>
          <w:p>
            <w:pPr>
              <w:spacing w:after="100" w:before="80"/>
            </w:pPr>
            <w:r>
              <w:rPr>
                <w:sz w:val="18"/>
              </w:rPr>
              <w:t>Дата проверки</w:t>
            </w:r>
          </w:p>
        </w:tc>
        <w:tc>
          <w:tcPr>
            <w:tcW w:type="dxa" w:w="7597"/>
            <w:vAlign w:val="top"/>
            <w:shd w:fill="FFFFFF"/>
          </w:tcPr>
          <w:p>
            <w:pPr>
              <w:spacing w:after="100" w:before="80"/>
            </w:pPr>
            <w:r>
              <w:rPr>
                <w:sz w:val="18"/>
              </w:rPr>
              <w:t>4 сентября 2026 года.</w:t>
            </w:r>
          </w:p>
        </w:tc>
      </w:tr>
      <w:tr>
        <w:trPr>
          <w:cantSplit/>
        </w:trPr>
        <w:tc>
          <w:tcPr>
            <w:tcW w:type="dxa" w:w="2041"/>
            <w:vAlign w:val="top"/>
            <w:shd w:fill="F0F5F7"/>
          </w:tcPr>
          <w:p>
            <w:pPr>
              <w:spacing w:after="100" w:before="80"/>
            </w:pPr>
            <w:r>
              <w:rPr>
                <w:sz w:val="18"/>
              </w:rPr>
              <w:t>Поставка</w:t>
            </w:r>
          </w:p>
        </w:tc>
        <w:tc>
          <w:tcPr>
            <w:tcW w:type="dxa" w:w="7597"/>
            <w:vAlign w:val="top"/>
            <w:shd w:fill="F0F5F7"/>
          </w:tcPr>
          <w:p>
            <w:pPr>
              <w:spacing w:after="100" w:before="80"/>
            </w:pPr>
            <w:r>
              <w:rPr>
                <w:sz w:val="18"/>
              </w:rPr>
              <w:t>Один XLSX: registry + gaps. Один DOCX: настоящий отчёт.</w:t>
            </w:r>
          </w:p>
        </w:tc>
      </w:tr>
    </w:tbl>
    <w:p>
      <w:pPr>
        <w:spacing w:after="20"/>
      </w:pPr>
    </w:p>
    <w:p>
      <w:r>
        <w:t>Ядром считались не все произведения индийского буддизма, а названные в DR философские собрания и комментарийные линии: Śāntarakṣita–Kamalaśīla, Jñānaśrīmitra–Ratnakīrti, Харибхадра и Ратнакарашанти, Атиша и Абхаякарагупта. Наланда, Викрамашила, медная грамота Девапалы и книжные свидетели включены как институциональные и материальные опоры, а не как заменители текстового корпуса.</w:t>
      </w:r>
    </w:p>
    <w:p>
      <w:r>
        <w:t>Основной поиск вёлся по английским и русским названиям, санскритским вариантам в IAST, тибетским названиям и каноническим идентификаторам. Проверялись также немецкие и японские библиографические поля; испанский перевод найден отдельным издательским маршрутом. Это не заявляется как исчерпывающий поиск на всех языках традиции.</w:t>
      </w:r>
    </w:p>
    <w:p>
      <w:r>
        <w:t>Для доступа использованы официальные цифровые издания, университетские репозитории, музейные и библиотечные карточки, авторский архив и издательства. Библиографическая идентификация и права проверялись раздельно: заголовок TEI, каталог или титульный лист могли подтверждать редакцию, а licence/rights statement — только определённый цифровой слой. Ни наличие файла на GitHub, ни кнопка Download сами по себе не были достаточным основанием для зеркала.</w:t>
      </w:r>
    </w:p>
    <w:p>
      <w:r>
        <w:t>В XLSX сохранены 32 запрошенных поля. Verification_status различает открытый текст, прочитанный каталог, видимую, но не полученную загрузку и технически недоступный reader. Высокая rights_confidence означает уверенность в установленном ограничении или разрешении, а не обязательно свободный материал. Wikipedia не используется в итоговых ссылках или доказательствах. Неподтверждённые поисковые кандидаты сохранены в gaps, а не представлены установленными изданиями.</w:t>
      </w:r>
    </w:p>
    <w:p>
      <w:pPr>
        <w:pStyle w:val="Heading1"/>
      </w:pPr>
      <w:r>
        <w:t>2. Охват корпуса</w:t>
      </w:r>
    </w:p>
    <w:p>
      <w:r>
        <w:t>Количество маршрутов — 72. Для содержательного подсчёта они сведены к 43 текстовым/корпусным учётным единицам и пяти нетекстовым либо инфраструктурным единицам: два археологических комплекса, BDRC, 84000 и один специальный вторичный ориентир. Это не 43 строго нормализованных отдельных произведения: собрание двенадцати сочинений Jñānaśrīmitra считается одной корпусной единицей, а один выпуск Buddhist Forum может содержать несколько текстов. Внутренние трактаты и главы не превращены в фиктивные независимые цифровые находки.</w:t>
      </w:r>
    </w:p>
    <w:p>
      <w:r>
        <w:t>Распределение маршрутов: 31 core; 15 same_corpus_or_tradition; 9 antecedent; 6 transmission_or_preservation; 4 commentary_or_reception; 3 continuation; 1 boundary; 2 infrastructure; 1 secondary_navigation. Классификация относится к связи объекта с мастер-строкой, а не к дате его современного PDF. Supporting-задачи находятся преимущественно на листе пробелов.</w:t>
      </w:r>
    </w:p>
    <w:tbl>
      <w:tblPr>
        <w:tblW w:type="auto" w:w="0"/>
        <w:jc w:val="center"/>
        <w:tblLayout w:type="fixed"/>
        <w:tblLook w:firstColumn="1" w:firstRow="1" w:lastColumn="0" w:lastRow="0" w:noHBand="0" w:noVBand="1" w:val="04A0"/>
      </w:tblPr>
      <w:tblGrid>
        <w:gridCol w:w="2041"/>
        <w:gridCol w:w="4025"/>
        <w:gridCol w:w="3572"/>
      </w:tblGrid>
      <w:tr>
        <w:trPr>
          <w:cantSplit/>
          <w:tblHeader/>
        </w:trPr>
        <w:tc>
          <w:tcPr>
            <w:tcW w:type="dxa" w:w="2041"/>
            <w:shd w:fill="17364B"/>
          </w:tcPr>
          <w:p>
            <w:pPr>
              <w:spacing w:after="100" w:before="80"/>
            </w:pPr>
            <w:r>
              <w:rPr>
                <w:b/>
                <w:color w:val="FFFFFF"/>
                <w:sz w:val="18"/>
              </w:rPr>
              <w:t>Семейство</w:t>
            </w:r>
          </w:p>
        </w:tc>
        <w:tc>
          <w:tcPr>
            <w:tcW w:type="dxa" w:w="4025"/>
            <w:shd w:fill="17364B"/>
          </w:tcPr>
          <w:p>
            <w:pPr>
              <w:spacing w:after="100" w:before="80"/>
            </w:pPr>
            <w:r>
              <w:rPr>
                <w:b/>
                <w:color w:val="FFFFFF"/>
                <w:sz w:val="18"/>
              </w:rPr>
              <w:t>Что получено</w:t>
            </w:r>
          </w:p>
        </w:tc>
        <w:tc>
          <w:tcPr>
            <w:tcW w:type="dxa" w:w="3572"/>
            <w:shd w:fill="17364B"/>
          </w:tcPr>
          <w:p>
            <w:pPr>
              <w:spacing w:after="100" w:before="80"/>
            </w:pPr>
            <w:r>
              <w:rPr>
                <w:b/>
                <w:color w:val="FFFFFF"/>
                <w:sz w:val="18"/>
              </w:rPr>
              <w:t>Существенная граница</w:t>
            </w:r>
          </w:p>
        </w:tc>
      </w:tr>
      <w:tr>
        <w:trPr>
          <w:cantSplit/>
        </w:trPr>
        <w:tc>
          <w:tcPr>
            <w:tcW w:type="dxa" w:w="2041"/>
            <w:vAlign w:val="top"/>
            <w:shd w:fill="F0F5F7"/>
          </w:tcPr>
          <w:p>
            <w:pPr>
              <w:spacing w:after="100" w:before="80"/>
            </w:pPr>
            <w:r>
              <w:rPr>
                <w:sz w:val="18"/>
              </w:rPr>
              <w:t>Śāntarakṣita / Kamalaśīla</w:t>
            </w:r>
          </w:p>
        </w:tc>
        <w:tc>
          <w:tcPr>
            <w:tcW w:type="dxa" w:w="4025"/>
            <w:vAlign w:val="top"/>
            <w:shd w:fill="F0F5F7"/>
          </w:tcPr>
          <w:p>
            <w:pPr>
              <w:spacing w:after="100" w:before="80"/>
            </w:pPr>
            <w:r>
              <w:rPr>
                <w:sz w:val="18"/>
              </w:rPr>
              <w:t>Санскритский том I Tattvasaṅgraha/Pañjikā; Jha; Bhāvanākrama I/III и перевод II; Madhyamakāloka; Mipham на Madhyamakālaṃkāra.</w:t>
            </w:r>
          </w:p>
        </w:tc>
        <w:tc>
          <w:tcPr>
            <w:tcW w:type="dxa" w:w="3572"/>
            <w:vAlign w:val="top"/>
            <w:shd w:fill="F0F5F7"/>
          </w:tcPr>
          <w:p>
            <w:pPr>
              <w:spacing w:after="100" w:before="80"/>
            </w:pPr>
            <w:r>
              <w:rPr>
                <w:sz w:val="18"/>
              </w:rPr>
              <w:t>Не получен проверенный полный санскритский двухтомник; часть оригинальноязычных слоёв требует установления версии.</w:t>
            </w:r>
          </w:p>
        </w:tc>
      </w:tr>
      <w:tr>
        <w:trPr>
          <w:cantSplit/>
        </w:trPr>
        <w:tc>
          <w:tcPr>
            <w:tcW w:type="dxa" w:w="2041"/>
            <w:vAlign w:val="top"/>
            <w:shd w:fill="FFFFFF"/>
          </w:tcPr>
          <w:p>
            <w:pPr>
              <w:spacing w:after="100" w:before="80"/>
            </w:pPr>
            <w:r>
              <w:rPr>
                <w:sz w:val="18"/>
              </w:rPr>
              <w:t>Jñānaśrīmitra / Ratnakīrti</w:t>
            </w:r>
          </w:p>
        </w:tc>
        <w:tc>
          <w:tcPr>
            <w:tcW w:type="dxa" w:w="4025"/>
            <w:vAlign w:val="top"/>
            <w:shd w:fill="FFFFFF"/>
          </w:tcPr>
          <w:p>
            <w:pPr>
              <w:spacing w:after="100" w:before="80"/>
            </w:pPr>
            <w:r>
              <w:rPr>
                <w:sz w:val="18"/>
              </w:rPr>
              <w:t>Полные опубликованные санскритские собрания; перевод Apohaprakaraṇa; Tarkarahasya в двух редакциях.</w:t>
            </w:r>
          </w:p>
        </w:tc>
        <w:tc>
          <w:tcPr>
            <w:tcW w:type="dxa" w:w="3572"/>
            <w:vAlign w:val="top"/>
            <w:shd w:fill="FFFFFF"/>
          </w:tcPr>
          <w:p>
            <w:pPr>
              <w:spacing w:after="100" w:before="80"/>
            </w:pPr>
            <w:r>
              <w:rPr>
                <w:sz w:val="18"/>
              </w:rPr>
              <w:t>Полные факсимиле и переводы каждого внутреннего трактата не закрыты.</w:t>
            </w:r>
          </w:p>
        </w:tc>
      </w:tr>
      <w:tr>
        <w:trPr>
          <w:cantSplit/>
        </w:trPr>
        <w:tc>
          <w:tcPr>
            <w:tcW w:type="dxa" w:w="2041"/>
            <w:vAlign w:val="top"/>
            <w:shd w:fill="F0F5F7"/>
          </w:tcPr>
          <w:p>
            <w:pPr>
              <w:spacing w:after="100" w:before="80"/>
            </w:pPr>
            <w:r>
              <w:rPr>
                <w:sz w:val="18"/>
              </w:rPr>
              <w:t>Prajñāpāramitā</w:t>
            </w:r>
          </w:p>
        </w:tc>
        <w:tc>
          <w:tcPr>
            <w:tcW w:type="dxa" w:w="4025"/>
            <w:vAlign w:val="top"/>
            <w:shd w:fill="F0F5F7"/>
          </w:tcPr>
          <w:p>
            <w:pPr>
              <w:spacing w:after="100" w:before="80"/>
            </w:pPr>
            <w:r>
              <w:rPr>
                <w:sz w:val="18"/>
              </w:rPr>
              <w:t>Aṣṭasāhasrikā; Ālokā; Sphuṭārthā; Sāratamā; лист Met.</w:t>
            </w:r>
          </w:p>
        </w:tc>
        <w:tc>
          <w:tcPr>
            <w:tcW w:type="dxa" w:w="3572"/>
            <w:vAlign w:val="top"/>
            <w:shd w:fill="F0F5F7"/>
          </w:tcPr>
          <w:p>
            <w:pPr>
              <w:spacing w:after="100" w:before="80"/>
            </w:pPr>
            <w:r>
              <w:rPr>
                <w:sz w:val="18"/>
              </w:rPr>
              <w:t>Права современной редакции не следуют из древности сутры; библиография Ālokā требует сверки.</w:t>
            </w:r>
          </w:p>
        </w:tc>
      </w:tr>
      <w:tr>
        <w:trPr>
          <w:cantSplit/>
        </w:trPr>
        <w:tc>
          <w:tcPr>
            <w:tcW w:type="dxa" w:w="2041"/>
            <w:vAlign w:val="top"/>
            <w:shd w:fill="FFFFFF"/>
          </w:tcPr>
          <w:p>
            <w:pPr>
              <w:spacing w:after="100" w:before="80"/>
            </w:pPr>
            <w:r>
              <w:rPr>
                <w:sz w:val="18"/>
              </w:rPr>
              <w:t>Тантрическая экзегеза</w:t>
            </w:r>
          </w:p>
        </w:tc>
        <w:tc>
          <w:tcPr>
            <w:tcW w:type="dxa" w:w="4025"/>
            <w:vAlign w:val="top"/>
            <w:shd w:fill="FFFFFF"/>
          </w:tcPr>
          <w:p>
            <w:pPr>
              <w:spacing w:after="100" w:before="80"/>
            </w:pPr>
            <w:r>
              <w:rPr>
                <w:sz w:val="18"/>
              </w:rPr>
              <w:t>Guṇavatī; Hevajra/Muktāvalī; Nairātmyāprakāśa; Caryāmelāpakapradīpa; Abhayapaddhati.</w:t>
            </w:r>
          </w:p>
        </w:tc>
        <w:tc>
          <w:tcPr>
            <w:tcW w:type="dxa" w:w="3572"/>
            <w:vAlign w:val="top"/>
            <w:shd w:fill="FFFFFF"/>
          </w:tcPr>
          <w:p>
            <w:pPr>
              <w:spacing w:after="100" w:before="80"/>
            </w:pPr>
            <w:r>
              <w:rPr>
                <w:sz w:val="18"/>
              </w:rPr>
              <w:t>У нескольких изданий доступны лишь выбранные главы, каталог или авторский upload без файла.</w:t>
            </w:r>
          </w:p>
        </w:tc>
      </w:tr>
      <w:tr>
        <w:trPr>
          <w:cantSplit/>
        </w:trPr>
        <w:tc>
          <w:tcPr>
            <w:tcW w:type="dxa" w:w="2041"/>
            <w:vAlign w:val="top"/>
            <w:shd w:fill="F0F5F7"/>
          </w:tcPr>
          <w:p>
            <w:pPr>
              <w:spacing w:after="100" w:before="80"/>
            </w:pPr>
            <w:r>
              <w:rPr>
                <w:sz w:val="18"/>
              </w:rPr>
              <w:t>Ритуальные компендии</w:t>
            </w:r>
          </w:p>
        </w:tc>
        <w:tc>
          <w:tcPr>
            <w:tcW w:type="dxa" w:w="4025"/>
            <w:vAlign w:val="top"/>
            <w:shd w:fill="F0F5F7"/>
          </w:tcPr>
          <w:p>
            <w:pPr>
              <w:spacing w:after="100" w:before="80"/>
            </w:pPr>
            <w:r>
              <w:rPr>
                <w:sz w:val="18"/>
              </w:rPr>
              <w:t>Vajrāvalī — Tokyo IIIF; Niṣpannayogāvalī — глава 1 и каталоги; Jyotirmañjarī — официальный PDF-выпуск.</w:t>
            </w:r>
          </w:p>
        </w:tc>
        <w:tc>
          <w:tcPr>
            <w:tcW w:type="dxa" w:w="3572"/>
            <w:vAlign w:val="top"/>
            <w:shd w:fill="F0F5F7"/>
          </w:tcPr>
          <w:p>
            <w:pPr>
              <w:spacing w:after="100" w:before="80"/>
            </w:pPr>
            <w:r>
              <w:rPr>
                <w:sz w:val="18"/>
              </w:rPr>
              <w:t>Полный цифровой корпус трёх компендиев не объявлен полученным.</w:t>
            </w:r>
          </w:p>
        </w:tc>
      </w:tr>
      <w:tr>
        <w:trPr>
          <w:cantSplit/>
        </w:trPr>
        <w:tc>
          <w:tcPr>
            <w:tcW w:type="dxa" w:w="2041"/>
            <w:vAlign w:val="top"/>
            <w:shd w:fill="FFFFFF"/>
          </w:tcPr>
          <w:p>
            <w:pPr>
              <w:spacing w:after="100" w:before="80"/>
            </w:pPr>
            <w:r>
              <w:rPr>
                <w:sz w:val="18"/>
              </w:rPr>
              <w:t>Atiśa и передача</w:t>
            </w:r>
          </w:p>
        </w:tc>
        <w:tc>
          <w:tcPr>
            <w:tcW w:type="dxa" w:w="4025"/>
            <w:vAlign w:val="top"/>
            <w:shd w:fill="FFFFFF"/>
          </w:tcPr>
          <w:p>
            <w:pPr>
              <w:spacing w:after="100" w:before="80"/>
            </w:pPr>
            <w:r>
              <w:rPr>
                <w:sz w:val="18"/>
              </w:rPr>
              <w:t>Bodhipathapradīpa: тибетский, английские и русский пути; Kongtrul; Mahāvyutpatti; Derge Tengyur.</w:t>
            </w:r>
          </w:p>
        </w:tc>
        <w:tc>
          <w:tcPr>
            <w:tcW w:type="dxa" w:w="3572"/>
            <w:vAlign w:val="top"/>
            <w:shd w:fill="FFFFFF"/>
          </w:tcPr>
          <w:p>
            <w:pPr>
              <w:spacing w:after="100" w:before="80"/>
            </w:pPr>
            <w:r>
              <w:rPr>
                <w:sz w:val="18"/>
              </w:rPr>
              <w:t>Ретроверсия санскрита отделена от исторического тибетского текста; канонические файлы требуют item-level сверки.</w:t>
            </w:r>
          </w:p>
        </w:tc>
      </w:tr>
    </w:tbl>
    <w:p>
      <w:pPr>
        <w:spacing w:after="20"/>
      </w:pPr>
    </w:p>
    <w:p>
      <w:pPr>
        <w:pStyle w:val="Heading2"/>
      </w:pPr>
      <w:r>
        <w:t>2.1. Более ранние источники</w:t>
      </w:r>
    </w:p>
    <w:p>
      <w:r>
        <w:t>Расширение назад выполнено по прямым текстовым отношениям. Abhisamayālaṃkāra — корень комментариев Харибхадры; Aṣṭasāhasrikā — основа Ālokā и Sāratamā; Vādanyāya Дхармакирти — предмет комментария Шантаракшиты. Bodhisattvabhūmi включена не как произвольный ранний йогачаринский текст: Bodhipathapradīpa 22 называет её главу дисциплины. Строфа 51 того же трактата прямо отсылает к Mūlamadhyamakakārikā и Śūnyatāsaptati. Для последней найден лишь официальный отрывок, и это ограничение сохранено.</w:t>
      </w:r>
      <w:r>
        <w:t xml:space="preserve"> </w:t>
      </w:r>
      <w:hyperlink r:id="rId11">
        <w:r>
          <w:rPr>
            <w:color w:val="14657A"/>
            <w:u w:val="single"/>
          </w:rPr>
          <w:t>[R009]</w:t>
        </w:r>
      </w:hyperlink>
      <w:r>
        <w:t xml:space="preserve"> </w:t>
      </w:r>
      <w:hyperlink r:id="rId12">
        <w:r>
          <w:rPr>
            <w:color w:val="14657A"/>
            <w:u w:val="single"/>
          </w:rPr>
          <w:t>[R032]</w:t>
        </w:r>
      </w:hyperlink>
      <w:r>
        <w:t xml:space="preserve"> </w:t>
      </w:r>
      <w:hyperlink r:id="rId13">
        <w:r>
          <w:rPr>
            <w:color w:val="14657A"/>
            <w:u w:val="single"/>
          </w:rPr>
          <w:t>[R048]</w:t>
        </w:r>
      </w:hyperlink>
      <w:r>
        <w:t xml:space="preserve"> </w:t>
      </w:r>
      <w:hyperlink r:id="rId14">
        <w:r>
          <w:rPr>
            <w:color w:val="14657A"/>
            <w:u w:val="single"/>
          </w:rPr>
          <w:t>[R049]</w:t>
        </w:r>
      </w:hyperlink>
      <w:r>
        <w:t xml:space="preserve"> </w:t>
      </w:r>
      <w:hyperlink r:id="rId15">
        <w:r>
          <w:rPr>
            <w:color w:val="14657A"/>
            <w:u w:val="single"/>
          </w:rPr>
          <w:t>[R043]</w:t>
        </w:r>
      </w:hyperlink>
      <w:r>
        <w:t xml:space="preserve"> </w:t>
      </w:r>
      <w:hyperlink r:id="rId16">
        <w:r>
          <w:rPr>
            <w:color w:val="14657A"/>
            <w:u w:val="single"/>
          </w:rPr>
          <w:t>[R061]</w:t>
        </w:r>
      </w:hyperlink>
      <w:r>
        <w:t xml:space="preserve"> </w:t>
      </w:r>
      <w:hyperlink r:id="rId17">
        <w:r>
          <w:rPr>
            <w:color w:val="14657A"/>
            <w:u w:val="single"/>
          </w:rPr>
          <w:t>[R062]</w:t>
        </w:r>
      </w:hyperlink>
    </w:p>
    <w:p>
      <w:r>
        <w:t>Ранние рассказы Yijing и Xuanzang добавлены как первичные свидетельства монастырской жизни и Наланды. Они помогают читать институциональный слой строки, но не подменяют доказательства философских доктрин. Проверены старое институциональное сканирование английского Yijing и официальный современный перевод Xuanzang у BDK.</w:t>
      </w:r>
      <w:r>
        <w:t xml:space="preserve"> </w:t>
      </w:r>
      <w:hyperlink r:id="rId18">
        <w:r>
          <w:rPr>
            <w:color w:val="14657A"/>
            <w:u w:val="single"/>
          </w:rPr>
          <w:t>[R046]</w:t>
        </w:r>
      </w:hyperlink>
      <w:r>
        <w:t xml:space="preserve"> </w:t>
      </w:r>
      <w:hyperlink r:id="rId19">
        <w:r>
          <w:rPr>
            <w:color w:val="14657A"/>
            <w:u w:val="single"/>
          </w:rPr>
          <w:t>[R047]</w:t>
        </w:r>
      </w:hyperlink>
    </w:p>
    <w:p>
      <w:pPr>
        <w:pStyle w:val="Heading2"/>
      </w:pPr>
      <w:r>
        <w:t>2.2. Продолжения и поздние носители</w:t>
      </w:r>
    </w:p>
    <w:p>
      <w:r>
        <w:t>Tarkabhāṣā Мокшакарагупты продолжает конкретную логическую линию: её колофон называет Jagaddala, а текст обращается к Jñānaśrīmitra. Краткое наставление Śākyaśrībhadra сопровождается колофоном о переводе в его присутствии. Эти объекты не исключены из-за близости к XIII веку. Биография Dharmasvāmin отмечена как boundary: поздний свидетель, важный для истории индийско-тибетской передачи, но пока доступный в проверенном маршруте только библиографически.</w:t>
      </w:r>
      <w:r>
        <w:t xml:space="preserve"> </w:t>
      </w:r>
      <w:hyperlink r:id="rId20">
        <w:r>
          <w:rPr>
            <w:color w:val="14657A"/>
            <w:u w:val="single"/>
          </w:rPr>
          <w:t>[R023]</w:t>
        </w:r>
      </w:hyperlink>
      <w:r>
        <w:t xml:space="preserve"> </w:t>
      </w:r>
      <w:hyperlink r:id="rId21">
        <w:r>
          <w:rPr>
            <w:color w:val="14657A"/>
            <w:u w:val="single"/>
          </w:rPr>
          <w:t>[R037]</w:t>
        </w:r>
      </w:hyperlink>
      <w:r>
        <w:t xml:space="preserve"> </w:t>
      </w:r>
      <w:hyperlink r:id="rId22">
        <w:r>
          <w:rPr>
            <w:color w:val="14657A"/>
            <w:u w:val="single"/>
          </w:rPr>
          <w:t>[R038]</w:t>
        </w:r>
      </w:hyperlink>
      <w:r>
        <w:t xml:space="preserve"> </w:t>
      </w:r>
      <w:hyperlink r:id="rId23">
        <w:r>
          <w:rPr>
            <w:color w:val="14657A"/>
            <w:u w:val="single"/>
          </w:rPr>
          <w:t>[R063]</w:t>
        </w:r>
      </w:hyperlink>
    </w:p>
    <w:p>
      <w:r>
        <w:t>Мипхам XIX века включён как прямой комментатор Madhyamakālaṃkāra, а Джамгён Конгтрул — как комментатор Bodhipathapradīpa. Tāranātha 1608 представляет позднюю историческую память, не синхронный отчёт о Наланде VIII–XI веков. Derge Tengyur XVIII века и поздние собрания Maitrīpa — носители сохранения более ранних произведений: дата редакции, дата перевода и дата сочинения не слиты.</w:t>
      </w:r>
      <w:r>
        <w:t xml:space="preserve"> </w:t>
      </w:r>
      <w:hyperlink r:id="rId24">
        <w:r>
          <w:rPr>
            <w:color w:val="14657A"/>
            <w:u w:val="single"/>
          </w:rPr>
          <w:t>[R014]</w:t>
        </w:r>
      </w:hyperlink>
      <w:r>
        <w:t xml:space="preserve"> </w:t>
      </w:r>
      <w:hyperlink r:id="rId25">
        <w:r>
          <w:rPr>
            <w:color w:val="14657A"/>
            <w:u w:val="single"/>
          </w:rPr>
          <w:t>[R051]</w:t>
        </w:r>
      </w:hyperlink>
      <w:r>
        <w:t xml:space="preserve"> </w:t>
      </w:r>
      <w:hyperlink r:id="rId26">
        <w:r>
          <w:rPr>
            <w:color w:val="14657A"/>
            <w:u w:val="single"/>
          </w:rPr>
          <w:t>[R045]</w:t>
        </w:r>
      </w:hyperlink>
      <w:r>
        <w:t xml:space="preserve"> </w:t>
      </w:r>
      <w:hyperlink r:id="rId27">
        <w:r>
          <w:rPr>
            <w:color w:val="14657A"/>
            <w:u w:val="single"/>
          </w:rPr>
          <w:t>[R054]</w:t>
        </w:r>
      </w:hyperlink>
      <w:r>
        <w:t xml:space="preserve"> </w:t>
      </w:r>
      <w:hyperlink r:id="rId28">
        <w:r>
          <w:rPr>
            <w:color w:val="14657A"/>
            <w:u w:val="single"/>
          </w:rPr>
          <w:t>[R035]</w:t>
        </w:r>
      </w:hyperlink>
      <w:r>
        <w:t xml:space="preserve"> </w:t>
      </w:r>
      <w:hyperlink r:id="rId29">
        <w:r>
          <w:rPr>
            <w:color w:val="14657A"/>
            <w:u w:val="single"/>
          </w:rPr>
          <w:t>[R036]</w:t>
        </w:r>
      </w:hyperlink>
    </w:p>
    <w:p>
      <w:r>
        <w:t>В ходе веб-поиска к DR добавлены, среди прочего, Sphuṭārthā, Vādanyāyaṭīkā, Caryāmelāpakapradīpa, Nairātmyāprakāśa, Abhayapaddhati с её коренной тантрой, Kriyāsaṃgrahapañjikā и собрания Advayavajra/Maitrīpa. Основания включения — тот же автор, прямая комментарийная зависимость или конкретная семья позднеиндийских философско-ритуальных руководств; одной принадлежности к буддизму было бы недостаточно.</w:t>
      </w:r>
      <w:r>
        <w:t xml:space="preserve"> </w:t>
      </w:r>
      <w:hyperlink r:id="rId30">
        <w:r>
          <w:rPr>
            <w:color w:val="14657A"/>
            <w:u w:val="single"/>
          </w:rPr>
          <w:t>[R004]</w:t>
        </w:r>
      </w:hyperlink>
      <w:r>
        <w:t xml:space="preserve"> </w:t>
      </w:r>
      <w:hyperlink r:id="rId31">
        <w:r>
          <w:rPr>
            <w:color w:val="14657A"/>
            <w:u w:val="single"/>
          </w:rPr>
          <w:t>[R018]</w:t>
        </w:r>
      </w:hyperlink>
      <w:r>
        <w:t xml:space="preserve"> </w:t>
      </w:r>
      <w:hyperlink r:id="rId32">
        <w:r>
          <w:rPr>
            <w:color w:val="14657A"/>
            <w:u w:val="single"/>
          </w:rPr>
          <w:t>[R020]</w:t>
        </w:r>
      </w:hyperlink>
      <w:r>
        <w:t xml:space="preserve"> </w:t>
      </w:r>
      <w:hyperlink r:id="rId33">
        <w:r>
          <w:rPr>
            <w:color w:val="14657A"/>
            <w:u w:val="single"/>
          </w:rPr>
          <w:t>[R021]</w:t>
        </w:r>
      </w:hyperlink>
      <w:r>
        <w:t xml:space="preserve"> </w:t>
      </w:r>
      <w:hyperlink r:id="rId34">
        <w:r>
          <w:rPr>
            <w:color w:val="14657A"/>
            <w:u w:val="single"/>
          </w:rPr>
          <w:t>[R022]</w:t>
        </w:r>
      </w:hyperlink>
      <w:r>
        <w:t xml:space="preserve"> </w:t>
      </w:r>
      <w:hyperlink r:id="rId35">
        <w:r>
          <w:rPr>
            <w:color w:val="14657A"/>
            <w:u w:val="single"/>
          </w:rPr>
          <w:t>[R031]</w:t>
        </w:r>
      </w:hyperlink>
      <w:r>
        <w:t xml:space="preserve"> </w:t>
      </w:r>
      <w:hyperlink r:id="rId36">
        <w:r>
          <w:rPr>
            <w:color w:val="14657A"/>
            <w:u w:val="single"/>
          </w:rPr>
          <w:t>[R055]</w:t>
        </w:r>
      </w:hyperlink>
      <w:r>
        <w:t xml:space="preserve"> </w:t>
      </w:r>
      <w:hyperlink r:id="rId37">
        <w:r>
          <w:rPr>
            <w:color w:val="14657A"/>
            <w:u w:val="single"/>
          </w:rPr>
          <w:t>[R056]</w:t>
        </w:r>
      </w:hyperlink>
    </w:p>
    <w:p>
      <w:pPr>
        <w:pStyle w:val="Heading1"/>
      </w:pPr>
      <w:r>
        <w:t>3. Лучшие найденные пути доступа</w:t>
      </w:r>
    </w:p>
    <w:p>
      <w:r>
        <w:t>Ниже «лучший» означает наиболее полезный среди проверенных входов для определённой задачи. Это не ранжирование всех существующих критических изданий. Когда свободный полный вариант не установлен, сохранены покупка, официальный отрывок или каталог вместо вымышленного Open Access.</w:t>
      </w:r>
    </w:p>
    <w:p>
      <w:pPr>
        <w:pStyle w:val="Heading2"/>
      </w:pPr>
      <w:r>
        <w:t>3.1. Tattvasaṅgraha / Pañjikā и Камалашила</w:t>
      </w:r>
    </w:p>
    <w:p>
      <w:r>
        <w:t>Для санскрита проверен институциональный скан тома I издания 1926. Он не закрывает том II. SARIT предоставляет конкретный XML-файл, но его большой raw-объект не удалось прочитать: состав и licence требуют отдельной проверки. Полный английский перевод Jha доступен издательским двухтомником. Веб-версия Wisdom Library видна для чтения, однако её цепочка разрешений не подтверждена: она сохранена с предупреждением, а не рекомендована как свободная основа ToS.</w:t>
      </w:r>
      <w:r>
        <w:t xml:space="preserve"> </w:t>
      </w:r>
      <w:hyperlink r:id="rId38">
        <w:r>
          <w:rPr>
            <w:color w:val="14657A"/>
            <w:u w:val="single"/>
          </w:rPr>
          <w:t>[R025]</w:t>
        </w:r>
      </w:hyperlink>
      <w:r>
        <w:t xml:space="preserve"> </w:t>
      </w:r>
      <w:hyperlink r:id="rId39">
        <w:r>
          <w:rPr>
            <w:color w:val="14657A"/>
            <w:u w:val="single"/>
          </w:rPr>
          <w:t>[R026]</w:t>
        </w:r>
      </w:hyperlink>
      <w:r>
        <w:t xml:space="preserve"> </w:t>
      </w:r>
      <w:hyperlink r:id="rId40">
        <w:r>
          <w:rPr>
            <w:color w:val="14657A"/>
            <w:u w:val="single"/>
          </w:rPr>
          <w:t>[R027]</w:t>
        </w:r>
      </w:hyperlink>
      <w:r>
        <w:t xml:space="preserve"> </w:t>
      </w:r>
      <w:hyperlink r:id="rId41">
        <w:r>
          <w:rPr>
            <w:color w:val="14657A"/>
            <w:u w:val="single"/>
          </w:rPr>
          <w:t>[R050]</w:t>
        </w:r>
      </w:hyperlink>
    </w:p>
    <w:p>
      <w:r>
        <w:t>Bhāvanākrama следует собирать по частям: GRETIL содержит I и III, а Stages of Meditation — перевод II с современным комментарием; найден также отдельный испанский издательский вариант. Для Madhyamakālaṃkāra есть английское издание с Мипхамом. У GRETIL Madhyamakāloka источник санскритской версии описан недостаточно, поэтому нельзя автоматически принять этот файл за сохранившийся оригинал.</w:t>
      </w:r>
      <w:r>
        <w:t xml:space="preserve"> </w:t>
      </w:r>
      <w:hyperlink r:id="rId42">
        <w:r>
          <w:rPr>
            <w:color w:val="14657A"/>
            <w:u w:val="single"/>
          </w:rPr>
          <w:t>[R008]</w:t>
        </w:r>
      </w:hyperlink>
      <w:r>
        <w:t xml:space="preserve"> </w:t>
      </w:r>
      <w:hyperlink r:id="rId43">
        <w:r>
          <w:rPr>
            <w:color w:val="14657A"/>
            <w:u w:val="single"/>
          </w:rPr>
          <w:t>[R057]</w:t>
        </w:r>
      </w:hyperlink>
      <w:r>
        <w:t xml:space="preserve"> </w:t>
      </w:r>
      <w:hyperlink r:id="rId44">
        <w:r>
          <w:rPr>
            <w:color w:val="14657A"/>
            <w:u w:val="single"/>
          </w:rPr>
          <w:t>[R058]</w:t>
        </w:r>
      </w:hyperlink>
      <w:r>
        <w:t xml:space="preserve"> </w:t>
      </w:r>
      <w:hyperlink r:id="rId24">
        <w:r>
          <w:rPr>
            <w:color w:val="14657A"/>
            <w:u w:val="single"/>
          </w:rPr>
          <w:t>[R014]</w:t>
        </w:r>
      </w:hyperlink>
      <w:r>
        <w:t xml:space="preserve"> </w:t>
      </w:r>
      <w:hyperlink r:id="rId45">
        <w:r>
          <w:rPr>
            <w:color w:val="14657A"/>
            <w:u w:val="single"/>
          </w:rPr>
          <w:t>[R011]</w:t>
        </w:r>
      </w:hyperlink>
    </w:p>
    <w:p>
      <w:pPr>
        <w:pStyle w:val="Heading2"/>
      </w:pPr>
      <w:r>
        <w:t>3.2. Jñānaśrīmitra, Ratnakīrti и Tarkarahasya</w:t>
      </w:r>
    </w:p>
    <w:p>
      <w:r>
        <w:t>Самый удобный проверенный машиночитаемый слой философского ядра — SARIT TEI: собрание Jñānaśrīmitra под CC BY-SA 4.0 и Ratnakīrti под CC BY-SA 3.0. Они пригодны как стартовые электронные тексты при сохранении атрибуции, лицензии и указания изменений. Это не изображения уникальных рукописей и не разрешение оцифровывать любые печатные переводы. Для полного Apohaprakaraṇa найден современный научный перевод McCrea–Patil с санскритским приложением, но он защищён.</w:t>
      </w:r>
      <w:r>
        <w:t xml:space="preserve"> </w:t>
      </w:r>
      <w:hyperlink r:id="rId46">
        <w:r>
          <w:rPr>
            <w:color w:val="14657A"/>
            <w:u w:val="single"/>
          </w:rPr>
          <w:t>[R001]</w:t>
        </w:r>
      </w:hyperlink>
      <w:r>
        <w:t xml:space="preserve"> </w:t>
      </w:r>
      <w:hyperlink r:id="rId47">
        <w:r>
          <w:rPr>
            <w:color w:val="14657A"/>
            <w:u w:val="single"/>
          </w:rPr>
          <w:t>[R002]</w:t>
        </w:r>
      </w:hyperlink>
      <w:r>
        <w:t xml:space="preserve"> </w:t>
      </w:r>
      <w:hyperlink r:id="rId48">
        <w:r>
          <w:rPr>
            <w:color w:val="14657A"/>
            <w:u w:val="single"/>
          </w:rPr>
          <w:t>[R028]</w:t>
        </w:r>
      </w:hyperlink>
    </w:p>
    <w:p>
      <w:r>
        <w:t>Tarkarahasya, прямо названный DR, получил полный опубликованный санскритский TEI по Yaita 2005 под CC BY-SA 4.0 и отдельный ранний раздел Pratyakṣalakṣaṇa по Yaita 1988 на TextGrid под CC BY-NC-SA 4.0. Это действительно разные редакционно-объёмные пути, не дубликаты HTML и EPUB. Автор и точная дата в просмотренных заголовках не установлены. Исследование Patil Against a Hindu God включено только как специальная навигация по конкретному полемическому Ratnakīrti-тексту, а не как якобы полный перевод всего корпуса.</w:t>
      </w:r>
      <w:r>
        <w:t xml:space="preserve"> </w:t>
      </w:r>
      <w:hyperlink r:id="rId49">
        <w:r>
          <w:rPr>
            <w:color w:val="14657A"/>
            <w:u w:val="single"/>
          </w:rPr>
          <w:t>[R060]</w:t>
        </w:r>
      </w:hyperlink>
      <w:r>
        <w:t xml:space="preserve"> </w:t>
      </w:r>
      <w:hyperlink r:id="rId50">
        <w:r>
          <w:rPr>
            <w:color w:val="14657A"/>
            <w:u w:val="single"/>
          </w:rPr>
          <w:t>[R065]</w:t>
        </w:r>
      </w:hyperlink>
      <w:r>
        <w:t xml:space="preserve"> </w:t>
      </w:r>
      <w:hyperlink r:id="rId51">
        <w:r>
          <w:rPr>
            <w:color w:val="14657A"/>
            <w:u w:val="single"/>
          </w:rPr>
          <w:t>[R064]</w:t>
        </w:r>
      </w:hyperlink>
    </w:p>
    <w:p>
      <w:pPr>
        <w:pStyle w:val="Heading2"/>
      </w:pPr>
      <w:r>
        <w:t>3.3. Prajñāpāramitā и её комментарии</w:t>
      </w:r>
    </w:p>
    <w:p>
      <w:r>
        <w:t>Оригинальноязычные входы распределены между GRETIL и DSBC: Aṣṭasāhasrikā, Sāratamā, Ālokā и Sphuṭārthā. Для чтения они полезны, но режим дальнейшего использования неодинаков и требует проверки входящих редакций. В Ālokā есть библиографическое расхождение, а в GRETIL Aṣṭasāhasrikā добавлен материал из публикации 2013 к базе 1960: нельзя описать файл как однородное старое издание. Современный полный английский reader 84000 в этом запуске не подтверждён технически.</w:t>
      </w:r>
      <w:r>
        <w:t xml:space="preserve"> </w:t>
      </w:r>
      <w:hyperlink r:id="rId52">
        <w:r>
          <w:rPr>
            <w:color w:val="14657A"/>
            <w:u w:val="single"/>
          </w:rPr>
          <w:t>[R005]</w:t>
        </w:r>
      </w:hyperlink>
      <w:r>
        <w:t xml:space="preserve"> </w:t>
      </w:r>
      <w:hyperlink r:id="rId53">
        <w:r>
          <w:rPr>
            <w:color w:val="14657A"/>
            <w:u w:val="single"/>
          </w:rPr>
          <w:t>[R017]</w:t>
        </w:r>
      </w:hyperlink>
      <w:r>
        <w:t xml:space="preserve"> </w:t>
      </w:r>
      <w:hyperlink r:id="rId31">
        <w:r>
          <w:rPr>
            <w:color w:val="14657A"/>
            <w:u w:val="single"/>
          </w:rPr>
          <w:t>[R018]</w:t>
        </w:r>
      </w:hyperlink>
      <w:r>
        <w:t xml:space="preserve"> </w:t>
      </w:r>
      <w:hyperlink r:id="rId12">
        <w:r>
          <w:rPr>
            <w:color w:val="14657A"/>
            <w:u w:val="single"/>
          </w:rPr>
          <w:t>[R032]</w:t>
        </w:r>
      </w:hyperlink>
      <w:r>
        <w:t xml:space="preserve"> </w:t>
      </w:r>
      <w:hyperlink r:id="rId54">
        <w:r>
          <w:rPr>
            <w:color w:val="14657A"/>
            <w:u w:val="single"/>
          </w:rPr>
          <w:t>[R067]</w:t>
        </w:r>
      </w:hyperlink>
    </w:p>
    <w:p>
      <w:r>
        <w:t>Лучший наиболее свободный материальный вход этой семьи — лист Met 1985.400.3. Его Open Access-изображение полезно для показа, собственного чтения и транскрипции, но представляет лишь фрагмент рассеянной рукописи. Даже юридически свободное изображение не создаёт отсутствующие страницы.</w:t>
      </w:r>
      <w:r>
        <w:t xml:space="preserve"> </w:t>
      </w:r>
      <w:hyperlink r:id="rId55">
        <w:r>
          <w:rPr>
            <w:color w:val="14657A"/>
            <w:u w:val="single"/>
          </w:rPr>
          <w:t>[R016]</w:t>
        </w:r>
      </w:hyperlink>
    </w:p>
    <w:p>
      <w:pPr>
        <w:pStyle w:val="Heading2"/>
      </w:pPr>
      <w:r>
        <w:t>3.4. Hevajra, Mahāmāyā и философско-тантрические тексты</w:t>
      </w:r>
    </w:p>
    <w:p>
      <w:r>
        <w:t>Mahāmāyātantra вместе с Guṇavatī можно читать на DSBC. Для Hevajra/Muktāvalī найден каталог санскритского издания 2001 и официальный путь покупки английской The Concealed Essence; полный современный Muktāvalī не назван свободным. Выделяется статья Conlon 2025: она даёт под CC BY 4.0 критический санскритский Nairātmyāprakāśa, связанный с Hevajra и Muktāvalī. Это лицензированная оригинальноязычная редакция, но не полный английский перевод и не бесспорно восстановленный автограф.</w:t>
      </w:r>
      <w:r>
        <w:t xml:space="preserve"> </w:t>
      </w:r>
      <w:hyperlink r:id="rId56">
        <w:r>
          <w:rPr>
            <w:color w:val="14657A"/>
            <w:u w:val="single"/>
          </w:rPr>
          <w:t>[R019]</w:t>
        </w:r>
      </w:hyperlink>
      <w:r>
        <w:t xml:space="preserve"> </w:t>
      </w:r>
      <w:hyperlink r:id="rId57">
        <w:r>
          <w:rPr>
            <w:color w:val="14657A"/>
            <w:u w:val="single"/>
          </w:rPr>
          <w:t>[R033]</w:t>
        </w:r>
      </w:hyperlink>
      <w:r>
        <w:t xml:space="preserve"> </w:t>
      </w:r>
      <w:hyperlink r:id="rId58">
        <w:r>
          <w:rPr>
            <w:color w:val="14657A"/>
            <w:u w:val="single"/>
          </w:rPr>
          <w:t>[R034]</w:t>
        </w:r>
      </w:hyperlink>
      <w:r>
        <w:t xml:space="preserve"> </w:t>
      </w:r>
      <w:hyperlink r:id="rId35">
        <w:r>
          <w:rPr>
            <w:color w:val="14657A"/>
            <w:u w:val="single"/>
          </w:rPr>
          <w:t>[R031]</w:t>
        </w:r>
      </w:hyperlink>
    </w:p>
    <w:p>
      <w:r>
        <w:t>Для Guhyasamāja-линии особенно полезен Caryāmelāpakapradīpa в SARIT: правообладатель открыл санскритскую часть III издания Wedemeyer под CC BY-SA 3.0. Английский перевод той же книги сюда не входит. Корпус Maitrīpa доступен в раннем e-text DSBC и в современном издании Mathes. Последнее свободно скачивается официальными PDF, но на правовом листе сохранено All rights reserved, а часть английской Kudṛṣṭinirghātana сокращена.</w:t>
      </w:r>
      <w:r>
        <w:t xml:space="preserve"> </w:t>
      </w:r>
      <w:hyperlink r:id="rId30">
        <w:r>
          <w:rPr>
            <w:color w:val="14657A"/>
            <w:u w:val="single"/>
          </w:rPr>
          <w:t>[R004]</w:t>
        </w:r>
      </w:hyperlink>
      <w:r>
        <w:t xml:space="preserve"> </w:t>
      </w:r>
      <w:hyperlink r:id="rId34">
        <w:r>
          <w:rPr>
            <w:color w:val="14657A"/>
            <w:u w:val="single"/>
          </w:rPr>
          <w:t>[R022]</w:t>
        </w:r>
      </w:hyperlink>
      <w:r>
        <w:t xml:space="preserve"> </w:t>
      </w:r>
      <w:hyperlink r:id="rId28">
        <w:r>
          <w:rPr>
            <w:color w:val="14657A"/>
            <w:u w:val="single"/>
          </w:rPr>
          <w:t>[R035]</w:t>
        </w:r>
      </w:hyperlink>
    </w:p>
    <w:p>
      <w:pPr>
        <w:pStyle w:val="Heading2"/>
      </w:pPr>
      <w:r>
        <w:t>3.5. Абхаякарагупта и ритуальные компендии</w:t>
      </w:r>
    </w:p>
    <w:p>
      <w:r>
        <w:t>Для Vajrāvalī лучший проверенный оригинальный свидетель — Tokyo Matsunami 350: 131 лист с IIIF-последовательностью. Изображения имеют CC BY 4.0, метаданные — CC BY-SA 4.0. Это позволяет построить исследовательскую транскрипцию или перевод по конкретной рукописи, не объявляя результат критическим текстом всех свидетелей. Лицензия должна сохраняться вместе с точной атрибуцией учреждения.</w:t>
      </w:r>
      <w:r>
        <w:t xml:space="preserve"> </w:t>
      </w:r>
      <w:hyperlink r:id="rId59">
        <w:r>
          <w:rPr>
            <w:color w:val="14657A"/>
            <w:u w:val="single"/>
          </w:rPr>
          <w:t>[R015]</w:t>
        </w:r>
      </w:hyperlink>
    </w:p>
    <w:p>
      <w:r>
        <w:t>У Niṣpannayogāvalī обнаружены три принципиально разных положения: GRETIL — только глава 1; DSBC — карточка с No Data; Cambridge Add.1279 — описание полного позднего носителя, но manifest возвращает пустой список изображений. Поэтому ни один из этих путей не обозначен полным факсимиле произведения. Jyotirmañjarī входит в официальный выпуск Buddhist Forum VI, однако тело большого PDF и его индивидуальные правовые уведомления не проверены до конца.</w:t>
      </w:r>
      <w:r>
        <w:t xml:space="preserve"> </w:t>
      </w:r>
      <w:hyperlink r:id="rId60">
        <w:r>
          <w:rPr>
            <w:color w:val="14657A"/>
            <w:u w:val="single"/>
          </w:rPr>
          <w:t>[R029]</w:t>
        </w:r>
      </w:hyperlink>
      <w:r>
        <w:t xml:space="preserve"> </w:t>
      </w:r>
      <w:hyperlink r:id="rId61">
        <w:r>
          <w:rPr>
            <w:color w:val="14657A"/>
            <w:u w:val="single"/>
          </w:rPr>
          <w:t>[R052]</w:t>
        </w:r>
      </w:hyperlink>
      <w:r>
        <w:t xml:space="preserve"> </w:t>
      </w:r>
      <w:hyperlink r:id="rId62">
        <w:r>
          <w:rPr>
            <w:color w:val="14657A"/>
            <w:u w:val="single"/>
          </w:rPr>
          <w:t>[R053]</w:t>
        </w:r>
      </w:hyperlink>
      <w:r>
        <w:t xml:space="preserve"> </w:t>
      </w:r>
      <w:hyperlink r:id="rId63">
        <w:r>
          <w:rPr>
            <w:color w:val="14657A"/>
            <w:u w:val="single"/>
          </w:rPr>
          <w:t>[R030]</w:t>
        </w:r>
      </w:hyperlink>
    </w:p>
    <w:p>
      <w:r>
        <w:t>Abhayapaddhati и доступный Buddhakapālatantra ограничены главами 9–14. Āmnāyamañjarī представлена авторской карточкой издания одного фрагмента Göttingen 259b, а Kriyāsaṃgrahapañjikā — частичным электронным текстом. Эти находки расширяют ритуальную семью, но не позволяют объявить все компендии и комментарии Абхаякарагупты полностью доступными.</w:t>
      </w:r>
      <w:r>
        <w:t xml:space="preserve"> </w:t>
      </w:r>
      <w:hyperlink r:id="rId32">
        <w:r>
          <w:rPr>
            <w:color w:val="14657A"/>
            <w:u w:val="single"/>
          </w:rPr>
          <w:t>[R020]</w:t>
        </w:r>
      </w:hyperlink>
      <w:r>
        <w:t xml:space="preserve"> </w:t>
      </w:r>
      <w:hyperlink r:id="rId36">
        <w:r>
          <w:rPr>
            <w:color w:val="14657A"/>
            <w:u w:val="single"/>
          </w:rPr>
          <w:t>[R055]</w:t>
        </w:r>
      </w:hyperlink>
      <w:r>
        <w:t xml:space="preserve"> </w:t>
      </w:r>
      <w:hyperlink r:id="rId64">
        <w:r>
          <w:rPr>
            <w:color w:val="14657A"/>
            <w:u w:val="single"/>
          </w:rPr>
          <w:t>[R059]</w:t>
        </w:r>
      </w:hyperlink>
      <w:r>
        <w:t xml:space="preserve"> </w:t>
      </w:r>
      <w:hyperlink r:id="rId37">
        <w:r>
          <w:rPr>
            <w:color w:val="14657A"/>
            <w:u w:val="single"/>
          </w:rPr>
          <w:t>[R056]</w:t>
        </w:r>
      </w:hyperlink>
    </w:p>
    <w:p>
      <w:pPr>
        <w:pStyle w:val="Heading2"/>
      </w:pPr>
      <w:r>
        <w:t>3.6. Атиша: оригинальный слой, переводы, комментарии</w:t>
      </w:r>
    </w:p>
    <w:p>
      <w:r>
        <w:t>Для нового перевода ToS предпочтительнее проверенная историческая тибетская версия Bodhipathapradīpa на Lotsawa House под CC BY-NC 4.0. Санскрит GRETIL прямо назван Restored Sanskrit text и не заменяет исторический оригинал. На Lotsawa House есть самостоятельный английский перевод Patrick Dowd; LYWA публикует Ruth Sonam с разрешения Snow Lion; русский Study Buddhism — ещё одна версия с отдельными правами. Лицензия первой платформы не переносится на две другие.</w:t>
      </w:r>
      <w:r>
        <w:t xml:space="preserve"> </w:t>
      </w:r>
      <w:hyperlink r:id="rId15">
        <w:r>
          <w:rPr>
            <w:color w:val="14657A"/>
            <w:u w:val="single"/>
          </w:rPr>
          <w:t>[R043]</w:t>
        </w:r>
      </w:hyperlink>
      <w:r>
        <w:t xml:space="preserve"> </w:t>
      </w:r>
      <w:hyperlink r:id="rId65">
        <w:r>
          <w:rPr>
            <w:color w:val="14657A"/>
            <w:u w:val="single"/>
          </w:rPr>
          <w:t>[R010]</w:t>
        </w:r>
      </w:hyperlink>
      <w:r>
        <w:t xml:space="preserve"> </w:t>
      </w:r>
      <w:hyperlink r:id="rId66">
        <w:r>
          <w:rPr>
            <w:color w:val="14657A"/>
            <w:u w:val="single"/>
          </w:rPr>
          <w:t>[R042]</w:t>
        </w:r>
      </w:hyperlink>
      <w:r>
        <w:t xml:space="preserve"> </w:t>
      </w:r>
      <w:hyperlink r:id="rId67">
        <w:r>
          <w:rPr>
            <w:color w:val="14657A"/>
            <w:u w:val="single"/>
          </w:rPr>
          <w:t>[R013]</w:t>
        </w:r>
      </w:hyperlink>
      <w:r>
        <w:t xml:space="preserve"> </w:t>
      </w:r>
      <w:hyperlink r:id="rId68">
        <w:r>
          <w:rPr>
            <w:color w:val="14657A"/>
            <w:u w:val="single"/>
          </w:rPr>
          <w:t>[R044]</w:t>
        </w:r>
      </w:hyperlink>
    </w:p>
    <w:p>
      <w:r>
        <w:t>Для поздней рецепции найден перевод комментария Конгтрула в Dharma Ebooks: PDF проверен, лицензия CC BY-NC-ND 4.0 видна на правовой странице. Его можно рассматривать для неизменённого некоммерческого зеркала с атрибуцией. Нельзя вслед за этим автоматически публиковать переработанную книгу, новый перевод-посредник или считать все формы полнотекстовой индексации разрешёнными.</w:t>
      </w:r>
      <w:r>
        <w:t xml:space="preserve"> </w:t>
      </w:r>
      <w:hyperlink r:id="rId69">
        <w:r>
          <w:rPr>
            <w:color w:val="14657A"/>
            <w:u w:val="single"/>
          </w:rPr>
          <w:t>[R051]</w:t>
        </w:r>
      </w:hyperlink>
    </w:p>
    <w:p>
      <w:pPr>
        <w:pStyle w:val="Heading2"/>
      </w:pPr>
      <w:r>
        <w:t>3.7. Передача, канон и институциональные свидетели</w:t>
      </w:r>
    </w:p>
    <w:p>
      <w:r>
        <w:t>Esukhia Derge Tengyur — наиболее свободный обнаруженный массовый тибетский текстовый слой: изготовитель заявляет Public Domain. Но ZIP в инструмент не загрузился, и индивидуальные произведения ядра не сверены, поэтому разрешения ограничены реально полученными и проверенными текстами. BDRC остаётся необходимым входом к физическим изданиям и изображениям, однако его сканы не наследуют прав Esukhia. Репозиторий 84000 имеет собственную NC-ND-лицензию на английские TEI, а не на любой канонический объект.</w:t>
      </w:r>
      <w:r>
        <w:t xml:space="preserve"> </w:t>
      </w:r>
      <w:hyperlink r:id="rId70">
        <w:r>
          <w:rPr>
            <w:color w:val="14657A"/>
            <w:u w:val="single"/>
          </w:rPr>
          <w:t>[R036]</w:t>
        </w:r>
      </w:hyperlink>
      <w:r>
        <w:t xml:space="preserve"> </w:t>
      </w:r>
      <w:hyperlink r:id="rId71">
        <w:r>
          <w:rPr>
            <w:color w:val="14657A"/>
            <w:u w:val="single"/>
          </w:rPr>
          <w:t>[R066]</w:t>
        </w:r>
      </w:hyperlink>
      <w:r>
        <w:t xml:space="preserve"> </w:t>
      </w:r>
      <w:hyperlink r:id="rId72">
        <w:r>
          <w:rPr>
            <w:color w:val="14657A"/>
            <w:u w:val="single"/>
          </w:rPr>
          <w:t>[R041]</w:t>
        </w:r>
      </w:hyperlink>
    </w:p>
    <w:p>
      <w:r>
        <w:t>Для институционального чтения доступны DHARMA-редакция грамоты Девапалы, исторический Yijing, современный перевод Xuanzang, поздние Tāranātha и Dharmasvāmin. Они дают разные типы свидетельств: грамота, описание практик, путевой отчёт и поздняя историческая память. Только первый объект в этом перечне получил безусловно открытый современный текстовый слой CC BY-SA 4.0; остальные требуют иных способов доступа и проверки прав.</w:t>
      </w:r>
      <w:r>
        <w:t xml:space="preserve"> </w:t>
      </w:r>
      <w:hyperlink r:id="rId73">
        <w:r>
          <w:rPr>
            <w:color w:val="14657A"/>
            <w:u w:val="single"/>
          </w:rPr>
          <w:t>[R006]</w:t>
        </w:r>
      </w:hyperlink>
      <w:r>
        <w:t xml:space="preserve"> </w:t>
      </w:r>
      <w:hyperlink r:id="rId18">
        <w:r>
          <w:rPr>
            <w:color w:val="14657A"/>
            <w:u w:val="single"/>
          </w:rPr>
          <w:t>[R046]</w:t>
        </w:r>
      </w:hyperlink>
      <w:r>
        <w:t xml:space="preserve"> </w:t>
      </w:r>
      <w:hyperlink r:id="rId19">
        <w:r>
          <w:rPr>
            <w:color w:val="14657A"/>
            <w:u w:val="single"/>
          </w:rPr>
          <w:t>[R047]</w:t>
        </w:r>
      </w:hyperlink>
      <w:r>
        <w:t xml:space="preserve"> </w:t>
      </w:r>
      <w:hyperlink r:id="rId26">
        <w:r>
          <w:rPr>
            <w:color w:val="14657A"/>
            <w:u w:val="single"/>
          </w:rPr>
          <w:t>[R045]</w:t>
        </w:r>
      </w:hyperlink>
      <w:r>
        <w:t xml:space="preserve"> </w:t>
      </w:r>
      <w:hyperlink r:id="rId27">
        <w:r>
          <w:rPr>
            <w:color w:val="14657A"/>
            <w:u w:val="single"/>
          </w:rPr>
          <w:t>[R054]</w:t>
        </w:r>
      </w:hyperlink>
      <w:r>
        <w:t xml:space="preserve"> </w:t>
      </w:r>
      <w:hyperlink r:id="rId23">
        <w:r>
          <w:rPr>
            <w:color w:val="14657A"/>
            <w:u w:val="single"/>
          </w:rPr>
          <w:t>[R063]</w:t>
        </w:r>
      </w:hyperlink>
    </w:p>
    <w:p>
      <w:pPr>
        <w:pStyle w:val="Heading1"/>
      </w:pPr>
      <w:r>
        <w:t>4. Карта прав и практического использования</w:t>
      </w:r>
    </w:p>
    <w:p>
      <w:r>
        <w:t>Самый свободный проверенный набор неоднороден. SARIT предлагает несколько оригинальноязычных TEI под BY-SA; Conlon — критический текст под BY; DHARMA — редакцию и перевод грамоты под BY-SA; Tokyo — изображения под BY; Met — Open Access-изображения с PD/CC0. Для каждого разрешение относится к конкретному компоненту. Публичный перевод с одного листа или одной главы не означает права и возможности перевести весь корпус.</w:t>
      </w:r>
      <w:r>
        <w:t xml:space="preserve"> </w:t>
      </w:r>
      <w:hyperlink r:id="rId46">
        <w:r>
          <w:rPr>
            <w:color w:val="14657A"/>
            <w:u w:val="single"/>
          </w:rPr>
          <w:t>[R001]</w:t>
        </w:r>
      </w:hyperlink>
      <w:r>
        <w:t xml:space="preserve"> </w:t>
      </w:r>
      <w:hyperlink r:id="rId47">
        <w:r>
          <w:rPr>
            <w:color w:val="14657A"/>
            <w:u w:val="single"/>
          </w:rPr>
          <w:t>[R002]</w:t>
        </w:r>
      </w:hyperlink>
      <w:r>
        <w:t xml:space="preserve"> </w:t>
      </w:r>
      <w:hyperlink r:id="rId74">
        <w:r>
          <w:rPr>
            <w:color w:val="14657A"/>
            <w:u w:val="single"/>
          </w:rPr>
          <w:t>[R004]</w:t>
        </w:r>
      </w:hyperlink>
      <w:r>
        <w:t xml:space="preserve"> </w:t>
      </w:r>
      <w:hyperlink r:id="rId75">
        <w:r>
          <w:rPr>
            <w:color w:val="14657A"/>
            <w:u w:val="single"/>
          </w:rPr>
          <w:t>[R060]</w:t>
        </w:r>
      </w:hyperlink>
      <w:r>
        <w:t xml:space="preserve"> </w:t>
      </w:r>
      <w:hyperlink r:id="rId35">
        <w:r>
          <w:rPr>
            <w:color w:val="14657A"/>
            <w:u w:val="single"/>
          </w:rPr>
          <w:t>[R031]</w:t>
        </w:r>
      </w:hyperlink>
      <w:r>
        <w:t xml:space="preserve"> </w:t>
      </w:r>
      <w:hyperlink r:id="rId73">
        <w:r>
          <w:rPr>
            <w:color w:val="14657A"/>
            <w:u w:val="single"/>
          </w:rPr>
          <w:t>[R006]</w:t>
        </w:r>
      </w:hyperlink>
      <w:r>
        <w:t xml:space="preserve"> </w:t>
      </w:r>
      <w:hyperlink r:id="rId59">
        <w:r>
          <w:rPr>
            <w:color w:val="14657A"/>
            <w:u w:val="single"/>
          </w:rPr>
          <w:t>[R015]</w:t>
        </w:r>
      </w:hyperlink>
      <w:r>
        <w:t xml:space="preserve"> </w:t>
      </w:r>
      <w:hyperlink r:id="rId55">
        <w:r>
          <w:rPr>
            <w:color w:val="14657A"/>
            <w:u w:val="single"/>
          </w:rPr>
          <w:t>[R016]</w:t>
        </w:r>
      </w:hyperlink>
    </w:p>
    <w:tbl>
      <w:tblPr>
        <w:tblW w:type="auto" w:w="0"/>
        <w:jc w:val="center"/>
        <w:tblLayout w:type="fixed"/>
        <w:tblLook w:firstColumn="1" w:firstRow="1" w:lastColumn="0" w:lastRow="0" w:noHBand="0" w:noVBand="1" w:val="04A0"/>
      </w:tblPr>
      <w:tblGrid>
        <w:gridCol w:w="2891"/>
        <w:gridCol w:w="6746"/>
      </w:tblGrid>
      <w:tr>
        <w:trPr>
          <w:cantSplit/>
          <w:tblHeader/>
        </w:trPr>
        <w:tc>
          <w:tcPr>
            <w:tcW w:type="dxa" w:w="2891"/>
            <w:shd w:fill="17364B"/>
          </w:tcPr>
          <w:p>
            <w:pPr>
              <w:spacing w:after="100" w:before="80"/>
            </w:pPr>
            <w:r>
              <w:rPr>
                <w:b/>
                <w:color w:val="FFFFFF"/>
                <w:sz w:val="18"/>
              </w:rPr>
              <w:t>Режим</w:t>
            </w:r>
          </w:p>
        </w:tc>
        <w:tc>
          <w:tcPr>
            <w:tcW w:type="dxa" w:w="6746"/>
            <w:shd w:fill="17364B"/>
          </w:tcPr>
          <w:p>
            <w:pPr>
              <w:spacing w:after="100" w:before="80"/>
            </w:pPr>
            <w:r>
              <w:rPr>
                <w:b/>
                <w:color w:val="FFFFFF"/>
                <w:sz w:val="18"/>
              </w:rPr>
              <w:t>Практический смысл для ToS</w:t>
            </w:r>
          </w:p>
        </w:tc>
      </w:tr>
      <w:tr>
        <w:trPr>
          <w:cantSplit/>
        </w:trPr>
        <w:tc>
          <w:tcPr>
            <w:tcW w:type="dxa" w:w="2891"/>
            <w:vAlign w:val="top"/>
            <w:shd w:fill="F0F5F7"/>
          </w:tcPr>
          <w:p>
            <w:pPr>
              <w:spacing w:after="100" w:before="80"/>
            </w:pPr>
            <w:r>
              <w:rPr>
                <w:sz w:val="18"/>
              </w:rPr>
              <w:t>Открытая переработка с условиями</w:t>
            </w:r>
          </w:p>
        </w:tc>
        <w:tc>
          <w:tcPr>
            <w:tcW w:type="dxa" w:w="6746"/>
            <w:vAlign w:val="top"/>
            <w:shd w:fill="F0F5F7"/>
          </w:tcPr>
          <w:p>
            <w:pPr>
              <w:spacing w:after="100" w:before="80"/>
            </w:pPr>
            <w:r>
              <w:rPr>
                <w:sz w:val="18"/>
              </w:rPr>
              <w:t>Хранение, переработка и публикация доступны в рамках подтверждённых BY/BY-SA либо PD/CC0-слоёв. Атрибуция, отметки изменений и SA сохраняются там, где требуются.</w:t>
            </w:r>
          </w:p>
        </w:tc>
      </w:tr>
      <w:tr>
        <w:trPr>
          <w:cantSplit/>
        </w:trPr>
        <w:tc>
          <w:tcPr>
            <w:tcW w:type="dxa" w:w="2891"/>
            <w:vAlign w:val="top"/>
            <w:shd w:fill="FFFFFF"/>
          </w:tcPr>
          <w:p>
            <w:pPr>
              <w:spacing w:after="100" w:before="80"/>
            </w:pPr>
            <w:r>
              <w:rPr>
                <w:sz w:val="18"/>
              </w:rPr>
              <w:t>Некоммерческая переработка</w:t>
            </w:r>
          </w:p>
        </w:tc>
        <w:tc>
          <w:tcPr>
            <w:tcW w:type="dxa" w:w="6746"/>
            <w:vAlign w:val="top"/>
            <w:shd w:fill="FFFFFF"/>
          </w:tcPr>
          <w:p>
            <w:pPr>
              <w:spacing w:after="100" w:before="80"/>
            </w:pPr>
            <w:r>
              <w:rPr>
                <w:sz w:val="18"/>
              </w:rPr>
              <w:t>Lotsawa House и некоторые не-DSBC GRETIL/TextGrid e-text полезны для ToS при NC; SA дополнительно действует только у соответствующих записей.</w:t>
            </w:r>
          </w:p>
        </w:tc>
      </w:tr>
      <w:tr>
        <w:trPr>
          <w:cantSplit/>
        </w:trPr>
        <w:tc>
          <w:tcPr>
            <w:tcW w:type="dxa" w:w="2891"/>
            <w:vAlign w:val="top"/>
            <w:shd w:fill="F0F5F7"/>
          </w:tcPr>
          <w:p>
            <w:pPr>
              <w:spacing w:after="100" w:before="80"/>
            </w:pPr>
            <w:r>
              <w:rPr>
                <w:sz w:val="18"/>
              </w:rPr>
              <w:t>Только неизменённое распространение</w:t>
            </w:r>
          </w:p>
        </w:tc>
        <w:tc>
          <w:tcPr>
            <w:tcW w:type="dxa" w:w="6746"/>
            <w:vAlign w:val="top"/>
            <w:shd w:fill="F0F5F7"/>
          </w:tcPr>
          <w:p>
            <w:pPr>
              <w:spacing w:after="100" w:before="80"/>
            </w:pPr>
            <w:r>
              <w:rPr>
                <w:sz w:val="18"/>
              </w:rPr>
              <w:t>Dharma Ebooks 2017 и лицензированные файлы 84000: NC, ND, атрибуция. Не дано автоматического разрешения на публичную адаптацию.</w:t>
            </w:r>
          </w:p>
        </w:tc>
      </w:tr>
      <w:tr>
        <w:trPr>
          <w:cantSplit/>
        </w:trPr>
        <w:tc>
          <w:tcPr>
            <w:tcW w:type="dxa" w:w="2891"/>
            <w:vAlign w:val="top"/>
            <w:shd w:fill="FFFFFF"/>
          </w:tcPr>
          <w:p>
            <w:pPr>
              <w:spacing w:after="100" w:before="80"/>
            </w:pPr>
            <w:r>
              <w:rPr>
                <w:sz w:val="18"/>
              </w:rPr>
              <w:t>Бесплатное чтение/скачивание без установленного зеркала</w:t>
            </w:r>
          </w:p>
        </w:tc>
        <w:tc>
          <w:tcPr>
            <w:tcW w:type="dxa" w:w="6746"/>
            <w:vAlign w:val="top"/>
            <w:shd w:fill="FFFFFF"/>
          </w:tcPr>
          <w:p>
            <w:pPr>
              <w:spacing w:after="100" w:before="80"/>
            </w:pPr>
            <w:r>
              <w:rPr>
                <w:sz w:val="18"/>
              </w:rPr>
              <w:t>DSBC, Mathes, LYWA, BDK, Study Buddhism и часть институциональных сканов. Ссылки сохраняются; повторное размещение не выведено из цены 0.</w:t>
            </w:r>
          </w:p>
        </w:tc>
      </w:tr>
      <w:tr>
        <w:trPr>
          <w:cantSplit/>
        </w:trPr>
        <w:tc>
          <w:tcPr>
            <w:tcW w:type="dxa" w:w="2891"/>
            <w:vAlign w:val="top"/>
            <w:shd w:fill="F0F5F7"/>
          </w:tcPr>
          <w:p>
            <w:pPr>
              <w:spacing w:after="100" w:before="80"/>
            </w:pPr>
            <w:r>
              <w:rPr>
                <w:sz w:val="18"/>
              </w:rPr>
              <w:t>Каталог, preview, покупка</w:t>
            </w:r>
          </w:p>
        </w:tc>
        <w:tc>
          <w:tcPr>
            <w:tcW w:type="dxa" w:w="6746"/>
            <w:vAlign w:val="top"/>
            <w:shd w:fill="F0F5F7"/>
          </w:tcPr>
          <w:p>
            <w:pPr>
              <w:spacing w:after="100" w:before="80"/>
            </w:pPr>
            <w:r>
              <w:rPr>
                <w:sz w:val="18"/>
              </w:rPr>
              <w:t>WorldCat, PRLib, Google Books, издательские страницы и технически непрочитанные 84000 item-страницы. Не объявлены доступным полным текстом.</w:t>
            </w:r>
          </w:p>
        </w:tc>
      </w:tr>
    </w:tbl>
    <w:p>
      <w:pPr>
        <w:spacing w:after="20"/>
      </w:pPr>
    </w:p>
    <w:p>
      <w:r>
        <w:t>Не следует читать RIGHTS_REVIEW_REQUIRED как автоматическое отрицание всех остальных тегов. У Cambridge Add.1279 положительное некоммерческое зеркало относится только к полученным метаданным; у NC-ND-книги — к неизменённому файлу; у Esukhia — к текстовому слою, а не к изображениям и не к непроверенному полному релизу. Notes явно ограничивает компонент, действие и объём. Там, где зеркалирование не доказано, оставлены LINK_OK, чтение, preview, purchase или metadata_only.</w:t>
      </w:r>
    </w:p>
    <w:p>
      <w:r>
        <w:t>Чистые основы собственного перевода установлены для ряда санскритских SARIT-редакций, одного современного CC BY-издания, DHARMA-грамоты, конкретного Tokyo-свидетеля, фрагмента Met и исторических тибетских текстов Lotsawa House. Они различаются филологически: перевод открытой реконструкции должен называть реконструкцию; перевод с тибетского нельзя обозначать переводом с санскрита. GRETIL-ретроверсия Атиши и недоописанные Madhyamakāloka/Satyadvayāvatāra не получили безусловного тега собственного перевода.</w:t>
      </w:r>
      <w:r>
        <w:t xml:space="preserve"> </w:t>
      </w:r>
      <w:hyperlink r:id="rId76">
        <w:r>
          <w:rPr>
            <w:color w:val="14657A"/>
            <w:u w:val="single"/>
          </w:rPr>
          <w:t>[R001]</w:t>
        </w:r>
      </w:hyperlink>
      <w:r>
        <w:t xml:space="preserve"> </w:t>
      </w:r>
      <w:hyperlink r:id="rId30">
        <w:r>
          <w:rPr>
            <w:color w:val="14657A"/>
            <w:u w:val="single"/>
          </w:rPr>
          <w:t>[R004]</w:t>
        </w:r>
      </w:hyperlink>
      <w:r>
        <w:t xml:space="preserve"> </w:t>
      </w:r>
      <w:hyperlink r:id="rId73">
        <w:r>
          <w:rPr>
            <w:color w:val="14657A"/>
            <w:u w:val="single"/>
          </w:rPr>
          <w:t>[R006]</w:t>
        </w:r>
      </w:hyperlink>
      <w:r>
        <w:t xml:space="preserve"> </w:t>
      </w:r>
      <w:hyperlink r:id="rId59">
        <w:r>
          <w:rPr>
            <w:color w:val="14657A"/>
            <w:u w:val="single"/>
          </w:rPr>
          <w:t>[R015]</w:t>
        </w:r>
      </w:hyperlink>
      <w:r>
        <w:t xml:space="preserve"> </w:t>
      </w:r>
      <w:hyperlink r:id="rId55">
        <w:r>
          <w:rPr>
            <w:color w:val="14657A"/>
            <w:u w:val="single"/>
          </w:rPr>
          <w:t>[R016]</w:t>
        </w:r>
      </w:hyperlink>
      <w:r>
        <w:t xml:space="preserve"> </w:t>
      </w:r>
      <w:hyperlink r:id="rId35">
        <w:r>
          <w:rPr>
            <w:color w:val="14657A"/>
            <w:u w:val="single"/>
          </w:rPr>
          <w:t>[R031]</w:t>
        </w:r>
      </w:hyperlink>
      <w:r>
        <w:t xml:space="preserve"> </w:t>
      </w:r>
      <w:hyperlink r:id="rId22">
        <w:r>
          <w:rPr>
            <w:color w:val="14657A"/>
            <w:u w:val="single"/>
          </w:rPr>
          <w:t>[R038]</w:t>
        </w:r>
      </w:hyperlink>
      <w:r>
        <w:t xml:space="preserve"> </w:t>
      </w:r>
      <w:hyperlink r:id="rId15">
        <w:r>
          <w:rPr>
            <w:color w:val="14657A"/>
            <w:u w:val="single"/>
          </w:rPr>
          <w:t>[R043]</w:t>
        </w:r>
      </w:hyperlink>
      <w:r>
        <w:t xml:space="preserve"> </w:t>
      </w:r>
      <w:hyperlink r:id="rId65">
        <w:r>
          <w:rPr>
            <w:color w:val="14657A"/>
            <w:u w:val="single"/>
          </w:rPr>
          <w:t>[R010]</w:t>
        </w:r>
      </w:hyperlink>
      <w:r>
        <w:t xml:space="preserve"> </w:t>
      </w:r>
      <w:hyperlink r:id="rId45">
        <w:r>
          <w:rPr>
            <w:color w:val="14657A"/>
            <w:u w:val="single"/>
          </w:rPr>
          <w:t>[R011]</w:t>
        </w:r>
      </w:hyperlink>
      <w:r>
        <w:t xml:space="preserve"> </w:t>
      </w:r>
      <w:hyperlink r:id="rId77">
        <w:r>
          <w:rPr>
            <w:color w:val="14657A"/>
            <w:u w:val="single"/>
          </w:rPr>
          <w:t>[R012]</w:t>
        </w:r>
      </w:hyperlink>
    </w:p>
    <w:p>
      <w:r>
        <w:t>OCR, публичный полнотекстовый индекс и embeddings не объединены в одно разрешение. OCR_OK используется прежде всего для реально доступных открытых изображений. Для готовых TEI OCR не нужен. Лицензированная возможность переработки текста поддерживает отдельные теги индексации и embeddings лишь в указанном scope; NC/SA сохраняются. Для ND и смешанных прав эти действия оставлены на ручной проверке. Реестр не санкционирует обход ограничений сайтов или массовые запросы вне их правил.</w:t>
      </w:r>
    </w:p>
    <w:p>
      <w:pPr>
        <w:pStyle w:val="Heading1"/>
      </w:pPr>
      <w:r>
        <w:t>5. Характерные правовые и текстологические тонкости</w:t>
      </w:r>
    </w:p>
    <w:p>
      <w:pPr>
        <w:pStyle w:val="Heading2"/>
      </w:pPr>
      <w:r>
        <w:t>5.1. GRETIL и DSBC — не один правовой слой</w:t>
      </w:r>
    </w:p>
    <w:p>
      <w:r>
        <w:t>На GRETIL встречается явная CC BY-NC-SA 4.0 и указание разрешения на входящий DSBC-текст. Одновременно Usage Policy DSBC сохраняет права исходных изданий и ограничивает воспроизведение. Это не доказательство нарушения со стороны GRETIL, но и не установленная цепочка прав на любой редакторский компонент. В затронутых строках оставлено чтение/загрузка и требование проверки до публичного повторного использования. Сам DSBC называет review, indexing и word search целями исследования; это не истолковано как безусловное разрешение разместить собственный публичный полнотекстовый сервис.</w:t>
      </w:r>
      <w:r>
        <w:t xml:space="preserve"> </w:t>
      </w:r>
      <w:hyperlink r:id="rId78">
        <w:r>
          <w:rPr>
            <w:color w:val="14657A"/>
            <w:u w:val="single"/>
          </w:rPr>
          <w:t>[R003]</w:t>
        </w:r>
      </w:hyperlink>
      <w:r>
        <w:t xml:space="preserve"> </w:t>
      </w:r>
      <w:hyperlink r:id="rId52">
        <w:r>
          <w:rPr>
            <w:color w:val="14657A"/>
            <w:u w:val="single"/>
          </w:rPr>
          <w:t>[R005]</w:t>
        </w:r>
      </w:hyperlink>
      <w:r>
        <w:t xml:space="preserve"> </w:t>
      </w:r>
      <w:hyperlink r:id="rId79">
        <w:r>
          <w:rPr>
            <w:color w:val="14657A"/>
            <w:u w:val="single"/>
          </w:rPr>
          <w:t>[R017]</w:t>
        </w:r>
      </w:hyperlink>
      <w:r>
        <w:t xml:space="preserve"> </w:t>
      </w:r>
      <w:hyperlink r:id="rId12">
        <w:r>
          <w:rPr>
            <w:color w:val="14657A"/>
            <w:u w:val="single"/>
          </w:rPr>
          <w:t>[R032]</w:t>
        </w:r>
      </w:hyperlink>
    </w:p>
    <w:p>
      <w:pPr>
        <w:pStyle w:val="Heading2"/>
      </w:pPr>
      <w:r>
        <w:t>5.2. Open Access, древность и поздние носители</w:t>
      </w:r>
    </w:p>
    <w:p>
      <w:r>
        <w:t>Mathes можно бесплатно скачать с сайта академического издателя, но правовой лист сохраняет All rights reserved. У Yijing 1896 институциональная карточка явно относит NOT_IN_COPYRIGHT к США; этот статус не назван универсальным. Русская Tāranātha 1869 и современная книга 2023 различаются как редакционные объекты. Дата рукописи 1875 или ксилографа XVIII века не заменяет дату исходного индийского сочинения и не определяет автоматически статус современной фотографии.</w:t>
      </w:r>
      <w:r>
        <w:t xml:space="preserve"> </w:t>
      </w:r>
      <w:hyperlink r:id="rId80">
        <w:r>
          <w:rPr>
            <w:color w:val="14657A"/>
            <w:u w:val="single"/>
          </w:rPr>
          <w:t>[R035]</w:t>
        </w:r>
      </w:hyperlink>
      <w:r>
        <w:t xml:space="preserve"> </w:t>
      </w:r>
      <w:hyperlink r:id="rId18">
        <w:r>
          <w:rPr>
            <w:color w:val="14657A"/>
            <w:u w:val="single"/>
          </w:rPr>
          <w:t>[R046]</w:t>
        </w:r>
      </w:hyperlink>
      <w:r>
        <w:t xml:space="preserve"> </w:t>
      </w:r>
      <w:hyperlink r:id="rId26">
        <w:r>
          <w:rPr>
            <w:color w:val="14657A"/>
            <w:u w:val="single"/>
          </w:rPr>
          <w:t>[R045]</w:t>
        </w:r>
      </w:hyperlink>
      <w:r>
        <w:t xml:space="preserve"> </w:t>
      </w:r>
      <w:hyperlink r:id="rId27">
        <w:r>
          <w:rPr>
            <w:color w:val="14657A"/>
            <w:u w:val="single"/>
          </w:rPr>
          <w:t>[R054]</w:t>
        </w:r>
      </w:hyperlink>
      <w:r>
        <w:t xml:space="preserve"> </w:t>
      </w:r>
      <w:hyperlink r:id="rId81">
        <w:r>
          <w:rPr>
            <w:color w:val="14657A"/>
            <w:u w:val="single"/>
          </w:rPr>
          <w:t>[R052]</w:t>
        </w:r>
      </w:hyperlink>
      <w:r>
        <w:t xml:space="preserve"> </w:t>
      </w:r>
      <w:hyperlink r:id="rId70">
        <w:r>
          <w:rPr>
            <w:color w:val="14657A"/>
            <w:u w:val="single"/>
          </w:rPr>
          <w:t>[R036]</w:t>
        </w:r>
      </w:hyperlink>
    </w:p>
    <w:p>
      <w:pPr>
        <w:pStyle w:val="Heading2"/>
      </w:pPr>
      <w:r>
        <w:t>5.3. Права на текст, изображение и аппарат расходятся</w:t>
      </w:r>
    </w:p>
    <w:p>
      <w:r>
        <w:t>В Tokyo изображения CC BY 4.0 и метаданные CC BY-SA 4.0 требуют раздельного учёта. DHARMA открывает свою редакцию и перевод, но не тем самым использованные исследователями музейные фотографии. На Lotsawa House текст и портреты третьих лиц также разведены. У Met публичнодоменный лист не делает свободной всю кураторскую страницу. Поэтому общий зеркальный флаг без rights_scope был бы неверен.</w:t>
      </w:r>
      <w:r>
        <w:t xml:space="preserve"> </w:t>
      </w:r>
      <w:hyperlink r:id="rId59">
        <w:r>
          <w:rPr>
            <w:color w:val="14657A"/>
            <w:u w:val="single"/>
          </w:rPr>
          <w:t>[R015]</w:t>
        </w:r>
      </w:hyperlink>
      <w:r>
        <w:t xml:space="preserve"> </w:t>
      </w:r>
      <w:hyperlink r:id="rId73">
        <w:r>
          <w:rPr>
            <w:color w:val="14657A"/>
            <w:u w:val="single"/>
          </w:rPr>
          <w:t>[R006]</w:t>
        </w:r>
      </w:hyperlink>
      <w:r>
        <w:t xml:space="preserve"> </w:t>
      </w:r>
      <w:hyperlink r:id="rId55">
        <w:r>
          <w:rPr>
            <w:color w:val="14657A"/>
            <w:u w:val="single"/>
          </w:rPr>
          <w:t>[R016]</w:t>
        </w:r>
      </w:hyperlink>
      <w:r>
        <w:t xml:space="preserve"> </w:t>
      </w:r>
      <w:hyperlink r:id="rId66">
        <w:r>
          <w:rPr>
            <w:color w:val="14657A"/>
            <w:u w:val="single"/>
          </w:rPr>
          <w:t>[R042]</w:t>
        </w:r>
      </w:hyperlink>
    </w:p>
    <w:p>
      <w:pPr>
        <w:pStyle w:val="Heading2"/>
      </w:pPr>
      <w:r>
        <w:t>5.4. Текстологическая полнота важнее названия файла</w:t>
      </w:r>
    </w:p>
    <w:p>
      <w:r>
        <w:t>Файл с названием Niṣpannayogāvalī может содержать одну главу; Abhayapaddhati — только 9–14; в Mathes одна английская часть сокращена; полный физический кодекс в Cambridge может иметь нулевую цифровую доступность изображений. Равным образом страница 84000 с правильным заголовком не доказывает, что инструмент получил перевод. Registry сохраняет coverage и verification_status отдельно, чтобы эти различия не исчезли при дальнейшей загрузке данных.</w:t>
      </w:r>
      <w:r>
        <w:t xml:space="preserve"> </w:t>
      </w:r>
      <w:hyperlink r:id="rId60">
        <w:r>
          <w:rPr>
            <w:color w:val="14657A"/>
            <w:u w:val="single"/>
          </w:rPr>
          <w:t>[R029]</w:t>
        </w:r>
      </w:hyperlink>
      <w:r>
        <w:t xml:space="preserve"> </w:t>
      </w:r>
      <w:hyperlink r:id="rId32">
        <w:r>
          <w:rPr>
            <w:color w:val="14657A"/>
            <w:u w:val="single"/>
          </w:rPr>
          <w:t>[R020]</w:t>
        </w:r>
      </w:hyperlink>
      <w:r>
        <w:t xml:space="preserve"> </w:t>
      </w:r>
      <w:hyperlink r:id="rId28">
        <w:r>
          <w:rPr>
            <w:color w:val="14657A"/>
            <w:u w:val="single"/>
          </w:rPr>
          <w:t>[R035]</w:t>
        </w:r>
      </w:hyperlink>
      <w:r>
        <w:t xml:space="preserve"> </w:t>
      </w:r>
      <w:hyperlink r:id="rId61">
        <w:r>
          <w:rPr>
            <w:color w:val="14657A"/>
            <w:u w:val="single"/>
          </w:rPr>
          <w:t>[R052]</w:t>
        </w:r>
      </w:hyperlink>
      <w:r>
        <w:t xml:space="preserve"> </w:t>
      </w:r>
      <w:hyperlink r:id="rId54">
        <w:r>
          <w:rPr>
            <w:color w:val="14657A"/>
            <w:u w:val="single"/>
          </w:rPr>
          <w:t>[R067]</w:t>
        </w:r>
      </w:hyperlink>
      <w:r>
        <w:t xml:space="preserve"> </w:t>
      </w:r>
      <w:hyperlink r:id="rId82">
        <w:r>
          <w:rPr>
            <w:color w:val="14657A"/>
            <w:u w:val="single"/>
          </w:rPr>
          <w:t>[R068]</w:t>
        </w:r>
      </w:hyperlink>
    </w:p>
    <w:p>
      <w:pPr>
        <w:pStyle w:val="Heading1"/>
      </w:pPr>
      <w:r>
        <w:t>6. Пробелы и дальнейший поиск</w:t>
      </w:r>
    </w:p>
    <w:p>
      <w:r>
        <w:t>В gaps — 26 конкретных записей, включая неустановленные права, неполные цифровые входы, библиографические конфликты и кандидатов без достаточного подтверждения. Отсутствие проверенного доступа нигде не названо отсутствием произведения. Самые заметные ограничения — большие или технически непрочитанные файлы, пустые image-manifest и reader-оболочки. Полная исследовательская насыщенность всех авторских корпусов не достигнута.</w:t>
      </w:r>
    </w:p>
    <w:p>
      <w:r>
        <w:rPr>
          <w:b/>
        </w:rPr>
        <w:t xml:space="preserve">1. Закрыть оригинальноязычное ядро. </w:t>
      </w:r>
      <w:r>
        <w:t>Нужны том II Tattvasaṅgraha/Pañjikā, заголовок большого SARIT XML, полный кодекс Jñānaśrīmitra и реальные изображения Niṣpannayogāvalī. Это G001–G003 и G005; первоочередной результат — конкретные файлы/листы и их права, а не новые общие порталы.</w:t>
      </w:r>
    </w:p>
    <w:p>
      <w:r>
        <w:rPr>
          <w:b/>
        </w:rPr>
        <w:t xml:space="preserve">2. Разрешить канонические item-level входы. </w:t>
      </w:r>
      <w:r>
        <w:t>Проверить 84000 для Toh 12,417,425,467,748,3947 и BDRC-свидетели; получить версию, переводчика, полноту и лицензию каждого файла. Затем сверить соответствующие тексты реально загруженного Esukhia-релиза. G008, G011–G012.</w:t>
      </w:r>
    </w:p>
    <w:p>
      <w:r>
        <w:rPr>
          <w:b/>
        </w:rPr>
        <w:t xml:space="preserve">3. Сверить спорные редакции. </w:t>
      </w:r>
      <w:r>
        <w:t>Для Ālokā развести Tucci/Wogihara; для Madhyamakāloka и Satyadvayāvatāra выяснить оригинал или ретроверсию; для Tarkarahasya установить аргументы об авторстве и датировке. G004, G015–G016. Не превращать пустое поле автора в догадку.</w:t>
      </w:r>
    </w:p>
    <w:p>
      <w:r>
        <w:rPr>
          <w:b/>
        </w:rPr>
        <w:t xml:space="preserve">4. Дополнить тантрические компендии по границам изданий. </w:t>
      </w:r>
      <w:r>
        <w:t>Проверить тело Buddhist Forum VI, полный Muktāvalī, фрагмент Āmnāyamañjarī, главы 1–8 Buddhakapāla/Abhayapaddhati и полную Kriyāsaṃgrahapañjikā. G006–G007, G018–G019. Идентичность текста и право его использования проверяются отдельно.</w:t>
      </w:r>
    </w:p>
    <w:p>
      <w:r>
        <w:rPr>
          <w:b/>
        </w:rPr>
        <w:t xml:space="preserve">5. Расширить передачу Атиши и переводческие каталоги. </w:t>
      </w:r>
      <w:r>
        <w:t>Нужны конкретный Bodhipathapradīpapañjikā с проверенной атрибуцией, параллельный Mahāvyutpatti и релевантные каталоги dkar chag. Для дальнейшего ламрим включать только прямые зависимости от корня, не всю тибетскую литературу. G009–G010, G014, G026.</w:t>
      </w:r>
    </w:p>
    <w:p>
      <w:r>
        <w:rPr>
          <w:b/>
        </w:rPr>
        <w:t xml:space="preserve">6. Найти недостающие переводы и библиотечные экземпляры. </w:t>
      </w:r>
      <w:r>
        <w:t>Полные научные переводы отдельных трактатов Ratnakīrti/Jñānaśrīmitra, Roerich 1959 и скан русского Tāranātha 1869 требуют отдельного доступа. G022–G024. Библиотечные карточки найдены, но конкретная выдача/CDL не подтверждены; эти режимы не подставлены автоматически.</w:t>
      </w:r>
    </w:p>
    <w:p>
      <w:r>
        <w:rPr>
          <w:b/>
        </w:rPr>
        <w:t xml:space="preserve">7. Решить повторяющиеся правовые вопросы. </w:t>
      </w:r>
      <w:r>
        <w:t>Сверить цепочку DSBC→GRETIL, условия использования современных изданий и границы лицензий сторонних компонентов. G013. Только после этого расширять технические действия за пределы явно разрешённого scope; аккаунты, обращения и покупки в запуске не выполнялись.</w:t>
      </w:r>
    </w:p>
    <w:p>
      <w:r>
        <w:rPr>
          <w:b/>
        </w:rPr>
        <w:t xml:space="preserve">8. Подтвердить оставшиеся корпусные кандидаты. </w:t>
      </w:r>
      <w:r>
        <w:t>Sādhanamālā и Hevajrasādhanasaṅgraha нельзя сливать; Bhramahara нельзя автоматически отнести к определённой тантре по сходству названия. Это G020–G021: unverified-кандидаты или непроверенный доступ, не установленные полные издания. Полный свободный Śūnyatāsaptati остаётся отдельной задачей G025.</w:t>
      </w:r>
    </w:p>
    <w:p>
      <w:pPr>
        <w:pStyle w:val="Heading1"/>
      </w:pPr>
      <w:r>
        <w:t>7. Итоговая оценка</w:t>
      </w:r>
    </w:p>
    <w:p>
      <w:r>
        <w:t>Корпус покрыт достаточно широко для практического исследовательского старта: все основные семейства DR получили проверенный путь доступа либо точный обозначенный пробел, а более ранние источники и поздние линии передачи не исключены датой. Сильнее всего покрыты опубликованные санскритские философские e-text, многовариантный Bodhipathapradīpa и несколько лицензированных первичных редакций/свидетелей. Слабее — полные изображения уникальных кодексов, отдельные тантрические комментарии и проверка готовности канонических reader-публикаций.</w:t>
      </w:r>
    </w:p>
    <w:p>
      <w:r>
        <w:t>Оригиналы доступны не в одном виде: санскритский текст, критическая редакция, исторический тибетский перевод, ретроверсия и единичное факсимиле разведены. Переводы представлены открытыми современными текстами, защищённым чтением, официальными PDF, старым изданием, preview и покупкой. Наиболее свободный слой расположен в определённых SARIT-файлах, DHARMA, Conlon 2025, Tokyo и Met, а не во «всём интернете» или во «всём древнем буддизме».</w:t>
      </w:r>
    </w:p>
    <w:p>
      <w:r>
        <w:t>По уверенности правовых выводов: 36 маршрутов high, 20 medium и 16 low. Эти числа не равны количеству свободных объектов: уверенно установленный запрет или ограничение тоже имеет high. Главные ограничения сосредоточены в современных переводах/аппарате, смешанной цепочке цифрового ввода, недоступных reader-файлах и частичном составе публикаций.</w:t>
      </w:r>
    </w:p>
    <w:p>
      <w:r>
        <w:t>Пакет пригоден для передачи Codex как исследовательский реестр: идентификаторы простые, поля стабильные, источники и пределы использования сохранены. Он не является разрешением на автоматическое зеркалирование всех ссылок. Следующий этап должен опираться одновременно на rights_scope, coverage, verification_status и notes, сохраняя отрицательные и неопределённые результаты. Мастер-строка T2-36 и статус A оставлены без изменений.</w:t>
      </w:r>
    </w:p>
    <w:p>
      <w:r>
        <w:rPr>
          <w:color w:val="52616B"/>
          <w:sz w:val="17"/>
        </w:rPr>
        <w:t>Все найденные способы доступа, полные URL и индивидуальные условия находятся в XLSX. Настоящий отчёт объясняет выбор, охват и ограничения и не заменяет построчный реестр.</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ToS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2616B"/>
        <w:sz w:val="16"/>
      </w:rPr>
      <w:t>ДРЕВО СОФИИ  /  CORPUS &amp; RIGHTS                                       T2-36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DejaVu Sans" w:hAnsi="DejaVu Sans"/>
      <w:b/>
      <w:bCs/>
      <w:color w:val="17364B"/>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DejaVu Sans" w:hAnsi="DejaVu Sans"/>
      <w:b/>
      <w:bCs/>
      <w:color w:val="1736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DejaVu Sans" w:hAnsi="DejaVu Sans"/>
      <w:color w:val="1736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DejaVu Sans" w:hAnsi="DejaVu Sans"/>
      <w:i/>
      <w:iCs/>
      <w:color w:val="17364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etil.sub.uni-goettingen.de/gretil/corpustei/transformations/html/sa_abhisamayAlaMkAra.htm" TargetMode="External"/><Relationship Id="rId12" Type="http://schemas.openxmlformats.org/officeDocument/2006/relationships/hyperlink" Target="https://gretil.sub.uni-goettingen.de/gretil/corpustei/transformations/html/sa_aSTasAhasrikA-prajJApAramitA.htm" TargetMode="External"/><Relationship Id="rId13" Type="http://schemas.openxmlformats.org/officeDocument/2006/relationships/hyperlink" Target="https://gretil.sub.uni-goettingen.de/gretil/corpustei/transformations/html/sa_dharmakIrti-vAdanyAya.htm" TargetMode="External"/><Relationship Id="rId14" Type="http://schemas.openxmlformats.org/officeDocument/2006/relationships/hyperlink" Target="https://www.dsbcproject.org/canon-text/book/328" TargetMode="External"/><Relationship Id="rId15" Type="http://schemas.openxmlformats.org/officeDocument/2006/relationships/hyperlink" Target="https://www.lotsawahouse.org/bo/indian-masters/atisha/lamp-path-enlightenment" TargetMode="External"/><Relationship Id="rId16" Type="http://schemas.openxmlformats.org/officeDocument/2006/relationships/hyperlink" Target="https://gretil.sub.uni-goettingen.de/gretil/corpustei/transformations/html/sa_nAgArjuna-mUlamadhyamakakArikA.htm" TargetMode="External"/><Relationship Id="rId17" Type="http://schemas.openxmlformats.org/officeDocument/2006/relationships/hyperlink" Target="https://www.shambhala.com/snowlion_articles/nagarjunas-seventy-stanzasa-buddhist-psychology-of-emptiness/" TargetMode="External"/><Relationship Id="rId18" Type="http://schemas.openxmlformats.org/officeDocument/2006/relationships/hyperlink" Target="https://archive.org/details/recordofbuddhist00ichi" TargetMode="External"/><Relationship Id="rId19" Type="http://schemas.openxmlformats.org/officeDocument/2006/relationships/hyperlink" Target="https://www.bdkamerica.org/product/the-great-tang-dynasty-record-of-the-western-regions/" TargetMode="External"/><Relationship Id="rId20" Type="http://schemas.openxmlformats.org/officeDocument/2006/relationships/hyperlink" Target="https://www.dsbcproject.org/canon-text/book/322" TargetMode="External"/><Relationship Id="rId21" Type="http://schemas.openxmlformats.org/officeDocument/2006/relationships/hyperlink" Target="https://www.lotsawahouse.org/indian-masters/shakyashribhadra/instruction-pure-view-conduct" TargetMode="External"/><Relationship Id="rId22" Type="http://schemas.openxmlformats.org/officeDocument/2006/relationships/hyperlink" Target="https://www.lotsawahouse.org/bo/indian-masters/shakyashribhadra/instruction-pure-view-conduct" TargetMode="External"/><Relationship Id="rId23" Type="http://schemas.openxmlformats.org/officeDocument/2006/relationships/hyperlink" Target="https://books.google.com/books/about/Biography_of_Dharmasvamin_Chag_Lo_Tsaba.html?id=jWGAOwAACAAJ" TargetMode="External"/><Relationship Id="rId24" Type="http://schemas.openxmlformats.org/officeDocument/2006/relationships/hyperlink" Target="https://www.shambhala.com/authors/g-n/jamgon-mipham/the-adornment-of-the-middle-way-99.html" TargetMode="External"/><Relationship Id="rId25" Type="http://schemas.openxmlformats.org/officeDocument/2006/relationships/hyperlink" Target="https://dharmaebooks.org/the-lamp-for-the-path-to-enlightenment/" TargetMode="External"/><Relationship Id="rId26" Type="http://schemas.openxmlformats.org/officeDocument/2006/relationships/hyperlink" Target="https://www.prlib.ru/item/817010" TargetMode="External"/><Relationship Id="rId27" Type="http://schemas.openxmlformats.org/officeDocument/2006/relationships/hyperlink" Target="https://www.ganga.ru/book/istoriya-buddizma-v-indii" TargetMode="External"/><Relationship Id="rId28" Type="http://schemas.openxmlformats.org/officeDocument/2006/relationships/hyperlink" Target="https://austriaca.at/7786-9inhalt" TargetMode="External"/><Relationship Id="rId29" Type="http://schemas.openxmlformats.org/officeDocument/2006/relationships/hyperlink" Target="https://github.com/Esukhia/derge-tengyur" TargetMode="External"/><Relationship Id="rId30" Type="http://schemas.openxmlformats.org/officeDocument/2006/relationships/hyperlink" Target="https://github.com/sarit/SARIT-corpus/blob/master/caryamelapakapradipa.xml" TargetMode="External"/><Relationship Id="rId31" Type="http://schemas.openxmlformats.org/officeDocument/2006/relationships/hyperlink" Target="https://www.dsbcproject.org/canon-text/book/278" TargetMode="External"/><Relationship Id="rId32" Type="http://schemas.openxmlformats.org/officeDocument/2006/relationships/hyperlink" Target="https://www.dsbcproject.org/canon-text/book/805" TargetMode="External"/><Relationship Id="rId33" Type="http://schemas.openxmlformats.org/officeDocument/2006/relationships/hyperlink" Target="https://www.dsbcproject.org/canon-text/book/282" TargetMode="External"/><Relationship Id="rId34" Type="http://schemas.openxmlformats.org/officeDocument/2006/relationships/hyperlink" Target="https://www.dsbcproject.org/canon-text/book/82" TargetMode="External"/><Relationship Id="rId35" Type="http://schemas.openxmlformats.org/officeDocument/2006/relationships/hyperlink" Target="https://pmc.ncbi.nlm.nih.gov/articles/PMC12325542/" TargetMode="External"/><Relationship Id="rId36" Type="http://schemas.openxmlformats.org/officeDocument/2006/relationships/hyperlink" Target="https://www.dsbcproject.org/canon-text/book/797" TargetMode="External"/><Relationship Id="rId37" Type="http://schemas.openxmlformats.org/officeDocument/2006/relationships/hyperlink" Target="https://www.dsbcproject.org/canon-text/book/828" TargetMode="External"/><Relationship Id="rId38" Type="http://schemas.openxmlformats.org/officeDocument/2006/relationships/hyperlink" Target="https://archive.org/details/in.ernet.dli.2015.311023" TargetMode="External"/><Relationship Id="rId39" Type="http://schemas.openxmlformats.org/officeDocument/2006/relationships/hyperlink" Target="https://www.motilalbanarsidass.com/products/the-tattvasangraha-of-shantaraksita-2-vols-with-the-commentary-of-kamalashila-ganganath-jha" TargetMode="External"/><Relationship Id="rId40" Type="http://schemas.openxmlformats.org/officeDocument/2006/relationships/hyperlink" Target="https://www.wisdomlib.org/buddhism/book/tattvasangraha-english" TargetMode="External"/><Relationship Id="rId41" Type="http://schemas.openxmlformats.org/officeDocument/2006/relationships/hyperlink" Target="https://github.com/sarit/SARIT-corpus/blob/master/tattvasangrahapanjika.xml" TargetMode="External"/><Relationship Id="rId42" Type="http://schemas.openxmlformats.org/officeDocument/2006/relationships/hyperlink" Target="https://gretil.sub.uni-goettingen.de/gretil/corpustei/transformations/html/sa_kamalazIla-bhAvanAkrama.htm" TargetMode="External"/><Relationship Id="rId43" Type="http://schemas.openxmlformats.org/officeDocument/2006/relationships/hyperlink" Target="https://www.penguinrandomhouse.com/books/642825/stages-of-meditation-by-hh-the-fourteenth-dalai-lama/" TargetMode="External"/><Relationship Id="rId44" Type="http://schemas.openxmlformats.org/officeDocument/2006/relationships/hyperlink" Target="https://www.penguinrandomhouse.com/books/603944/la-meditacion-paso-a-paso--stages-of-meditation-by-dalai-lama/" TargetMode="External"/><Relationship Id="rId45" Type="http://schemas.openxmlformats.org/officeDocument/2006/relationships/hyperlink" Target="https://gretil.sub.uni-goettingen.de/gretil/corpustei/transformations/html/sa_kamalazIla-madhyamakAloka.htm" TargetMode="External"/><Relationship Id="rId46" Type="http://schemas.openxmlformats.org/officeDocument/2006/relationships/hyperlink" Target="https://raw.githubusercontent.com/sarit/SARIT-corpus/master/jnanasrimitra-nibandhavali.xml" TargetMode="External"/><Relationship Id="rId47" Type="http://schemas.openxmlformats.org/officeDocument/2006/relationships/hyperlink" Target="https://raw.githubusercontent.com/sarit/SARIT-corpus/master/ratnakirti-nibandhavali.xml" TargetMode="External"/><Relationship Id="rId48" Type="http://schemas.openxmlformats.org/officeDocument/2006/relationships/hyperlink" Target="https://cup.columbia.edu/book/buddhist-philosophy-of-language-in-india/9780231150958/" TargetMode="External"/><Relationship Id="rId49" Type="http://schemas.openxmlformats.org/officeDocument/2006/relationships/hyperlink" Target="https://github.com/sarit/SARIT-corpus/blob/master/tarkarahasya.xml" TargetMode="External"/><Relationship Id="rId50" Type="http://schemas.openxmlformats.org/officeDocument/2006/relationships/hyperlink" Target="https://betaportal.textgrid.d.sub.uni-goettingen.de/browse/49mmn.0" TargetMode="External"/><Relationship Id="rId51" Type="http://schemas.openxmlformats.org/officeDocument/2006/relationships/hyperlink" Target="https://cup.columbia.edu/book/against-a-hindu-god/9780231142229/" TargetMode="External"/><Relationship Id="rId52" Type="http://schemas.openxmlformats.org/officeDocument/2006/relationships/hyperlink" Target="https://gretil.sub.uni-goettingen.de/gretil/corpustei/transformations/html/sa_ratnAkarazAnti-sAratama.htm" TargetMode="External"/><Relationship Id="rId53" Type="http://schemas.openxmlformats.org/officeDocument/2006/relationships/hyperlink" Target="https://www.dsbcproject.org/canon-text/book/276" TargetMode="External"/><Relationship Id="rId54" Type="http://schemas.openxmlformats.org/officeDocument/2006/relationships/hyperlink" Target="https://84000.co/translation/toh12" TargetMode="External"/><Relationship Id="rId55" Type="http://schemas.openxmlformats.org/officeDocument/2006/relationships/hyperlink" Target="https://www.metmuseum.org/art/collection/search/74890" TargetMode="External"/><Relationship Id="rId56" Type="http://schemas.openxmlformats.org/officeDocument/2006/relationships/hyperlink" Target="https://www.dsbcproject.org/canon-text/book/347" TargetMode="External"/><Relationship Id="rId57" Type="http://schemas.openxmlformats.org/officeDocument/2006/relationships/hyperlink" Target="https://search.worldcat.org/title/Hevajratantram-:-with-Muktavali-Panjika-of-mahapaitacarya-Ratnakarasanti/oclc/67133372" TargetMode="External"/><Relationship Id="rId58" Type="http://schemas.openxmlformats.org/officeDocument/2006/relationships/hyperlink" Target="https://www.motilalbanarsidass.com/products/the-concealed-essence-of-the-hevajra-tantra" TargetMode="External"/><Relationship Id="rId59" Type="http://schemas.openxmlformats.org/officeDocument/2006/relationships/hyperlink" Target="https://da.dl.itc.u-tokyo.ac.jp/portal/en/assets/d5d9b4fa-a0ae-0b50-5659-d23cf33b63be" TargetMode="External"/><Relationship Id="rId60" Type="http://schemas.openxmlformats.org/officeDocument/2006/relationships/hyperlink" Target="https://gretil.sub.uni-goettingen.de/gretil/corpustei/transformations/html/sa_abhayAkaragupta-niSpaNNayogAvali.htm" TargetMode="External"/><Relationship Id="rId61" Type="http://schemas.openxmlformats.org/officeDocument/2006/relationships/hyperlink" Target="https://cudl.lib.cam.ac.uk/view/MS-ADD-01279/1" TargetMode="External"/><Relationship Id="rId62" Type="http://schemas.openxmlformats.org/officeDocument/2006/relationships/hyperlink" Target="https://www.dsbcproject.org/canon-text/book/83" TargetMode="External"/><Relationship Id="rId63" Type="http://schemas.openxmlformats.org/officeDocument/2006/relationships/hyperlink" Target="https://www.shin-ibs.edu/research/archived-publications-and-research-projects/the-buddhist-forum/the-buddhist-forum-volume-vi/" TargetMode="External"/><Relationship Id="rId64" Type="http://schemas.openxmlformats.org/officeDocument/2006/relationships/hyperlink" Target="https://www.academia.edu/5417224/_A_Critical_Edition_and_Translation_of_a_Text_Fragment_from_Abhay%C4%81karaguptas_%C4%80mn%C4%81yama%C3%B1jar%C4%AB_G%C3%B6ttingen_Cod_ms_sanscr_259b_Tantric_Studies_1_2008_pp_22_44_collaboration_with_Dr_Toru_Tomabechi_" TargetMode="External"/><Relationship Id="rId65" Type="http://schemas.openxmlformats.org/officeDocument/2006/relationships/hyperlink" Target="https://gretil.sub.uni-goettingen.de/gretil/corpustei/transformations/html/sa_atiza-bodhipathapradIpa.htm" TargetMode="External"/><Relationship Id="rId66" Type="http://schemas.openxmlformats.org/officeDocument/2006/relationships/hyperlink" Target="https://www.lotsawahouse.org/indian-masters/atisha/lamp-path-enlightenment" TargetMode="External"/><Relationship Id="rId67" Type="http://schemas.openxmlformats.org/officeDocument/2006/relationships/hyperlink" Target="https://www.lamayeshe.com/article/lamp-path-enlightenment" TargetMode="External"/><Relationship Id="rId68" Type="http://schemas.openxmlformats.org/officeDocument/2006/relationships/hyperlink" Target="https://studybuddhism.com/ru/tibetskiy-buddizm/klassicheskie-teksty/teksty-sutry/svetoch-na-puti-k-prosvetleniyu" TargetMode="External"/><Relationship Id="rId69" Type="http://schemas.openxmlformats.org/officeDocument/2006/relationships/hyperlink" Target="https://dharmaebooks.com/owncloud/index.php/s/8DZaQ3qlHSLe6DX/download" TargetMode="External"/><Relationship Id="rId70" Type="http://schemas.openxmlformats.org/officeDocument/2006/relationships/hyperlink" Target="https://github.com/Esukhia/derge-tengyur#license" TargetMode="External"/><Relationship Id="rId71" Type="http://schemas.openxmlformats.org/officeDocument/2006/relationships/hyperlink" Target="https://www.bdrc.io/copyright-policy/" TargetMode="External"/><Relationship Id="rId72" Type="http://schemas.openxmlformats.org/officeDocument/2006/relationships/hyperlink" Target="https://github.com/84000/data-tei" TargetMode="External"/><Relationship Id="rId73" Type="http://schemas.openxmlformats.org/officeDocument/2006/relationships/hyperlink" Target="https://dharmalekha.info/texts/INSBengalCharters00104" TargetMode="External"/><Relationship Id="rId74" Type="http://schemas.openxmlformats.org/officeDocument/2006/relationships/hyperlink" Target="https://raw.githubusercontent.com/sarit/SARIT-corpus/master/caryamelapakapradipa.xml" TargetMode="External"/><Relationship Id="rId75" Type="http://schemas.openxmlformats.org/officeDocument/2006/relationships/hyperlink" Target="https://raw.githubusercontent.com/sarit/SARIT-corpus/master/tarkarahasya.xml" TargetMode="External"/><Relationship Id="rId76" Type="http://schemas.openxmlformats.org/officeDocument/2006/relationships/hyperlink" Target="https://github.com/sarit/SARIT-corpus/blob/master/jnanasrimitra-nibandhavali.xml" TargetMode="External"/><Relationship Id="rId77" Type="http://schemas.openxmlformats.org/officeDocument/2006/relationships/hyperlink" Target="https://gretil.sub.uni-goettingen.de/gretil/corpustei/transformations/html/sa_dIpaMkara-satyadvayAvatAranAma.htm" TargetMode="External"/><Relationship Id="rId78" Type="http://schemas.openxmlformats.org/officeDocument/2006/relationships/hyperlink" Target="https://gretil.sub.uni-goettingen.de/gretil/corpustei/transformations/html/sa_ratnakIrti-nibandhAvalI.htm" TargetMode="External"/><Relationship Id="rId79" Type="http://schemas.openxmlformats.org/officeDocument/2006/relationships/hyperlink" Target="https://www.dsbcproject.org/pages/usage-policy" TargetMode="External"/><Relationship Id="rId80" Type="http://schemas.openxmlformats.org/officeDocument/2006/relationships/hyperlink" Target="https://austriaca.at/0xc1aa5572%200x0032ad31.pdf" TargetMode="External"/><Relationship Id="rId81" Type="http://schemas.openxmlformats.org/officeDocument/2006/relationships/hyperlink" Target="https://cudl.lib.cam.ac.uk//iiif/MS-ADD-01279?manifest=https://cudl.lib.cam.ac.uk//iiif/MS-ADD-01279" TargetMode="External"/><Relationship Id="rId82" Type="http://schemas.openxmlformats.org/officeDocument/2006/relationships/hyperlink" Target="https://84000.co/translation/toh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T2-36</dc:title>
  <dc:subject>Позднеиндийская буддийская схоластика: корпус, доступ, права</dc:subject>
  <dc:creator>ToS</dc:creator>
  <cp:keywords>T2-36; corpus; rights; Nālandā; Vikramaśīla</cp:keywords>
  <dc:description>generated by python-docx</dc:description>
  <cp:lastModifiedBy/>
  <cp:revision>1</cp:revision>
  <dcterms:created xsi:type="dcterms:W3CDTF">2013-12-23T23:15:00Z</dcterms:created>
  <dcterms:modified xsi:type="dcterms:W3CDTF">2013-12-23T23:15:00Z</dcterms:modified>
  <cp:category/>
</cp:coreProperties>
</file>