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ИССЛЕДОВАТЕЛЬСКИЙ ПАКЕТ  •  04.09.2026</w:t>
      </w:r>
    </w:p>
    <w:p>
      <w:pPr>
        <w:pStyle w:val="Title"/>
      </w:pPr>
      <w:r>
        <w:t>ToS Corpus &amp; Rights Registry</w:t>
      </w:r>
    </w:p>
    <w:p>
      <w:pPr>
        <w:pStyle w:val="Subtitle"/>
      </w:pPr>
      <w:r>
        <w:t>T2-44 — Китайский буддизм</w:t>
        <w:br/>
        <w:t>зрелых доктринальных систем</w:t>
      </w:r>
    </w:p>
    <w:p>
      <w:r>
        <w:rPr>
          <w:b/>
        </w:rPr>
        <w:t>139 способов доступа  /  около 80 произведений и текстовых семейств  /  28 записей gaps</w:t>
      </w:r>
    </w:p>
    <w:p>
      <w:r>
        <w:t>Китайские оригиналы и комментарии; санскритские параллели; английские и русские переводы; исторические свидетели; лицензии и пределы использования. Подробный предметный реестр находится в сопровождающем XLSX.</w:t>
      </w:r>
    </w:p>
    <w:p>
      <w:pPr>
        <w:pStyle w:val="Heading1"/>
      </w:pPr>
      <w:r>
        <w:t>1. Паспорт</w:t>
      </w:r>
    </w:p>
    <w:tbl>
      <w:tblPr>
        <w:tblW w:type="auto" w:w="0"/>
        <w:jc w:val="center"/>
        <w:tblLayout w:type="fixed"/>
        <w:tblLook w:firstColumn="1" w:firstRow="1" w:lastColumn="0" w:lastRow="0" w:noHBand="0" w:noVBand="1" w:val="04A0"/>
      </w:tblPr>
      <w:tblGrid>
        <w:gridCol w:w="4876"/>
        <w:gridCol w:w="4876"/>
      </w:tblGrid>
      <w:tr>
        <w:trPr>
          <w:cantSplit/>
        </w:trPr>
        <w:tc>
          <w:tcPr>
            <w:tcW w:type="dxa" w:w="1984"/>
            <w:vAlign w:val="top"/>
            <w:shd w:fill="F0F5F6"/>
          </w:tcPr>
          <w:p>
            <w:pPr>
              <w:spacing w:after="80" w:before="60"/>
            </w:pPr>
            <w:r>
              <w:rPr>
                <w:b/>
                <w:sz w:val="18"/>
              </w:rPr>
              <w:t>Строка и статус</w:t>
            </w:r>
          </w:p>
        </w:tc>
        <w:tc>
          <w:tcPr>
            <w:tcW w:type="dxa" w:w="7767"/>
            <w:vAlign w:val="top"/>
            <w:shd w:fill="F0F5F6"/>
          </w:tcPr>
          <w:p>
            <w:pPr>
              <w:spacing w:after="80" w:before="60"/>
            </w:pPr>
            <w:r>
              <w:rPr>
                <w:sz w:val="18"/>
              </w:rPr>
              <w:t>T2-44; таблица II; исходный статус A, уверенность 5/5. Не изменены.</w:t>
            </w:r>
          </w:p>
        </w:tc>
      </w:tr>
      <w:tr>
        <w:trPr>
          <w:cantSplit/>
        </w:trPr>
        <w:tc>
          <w:tcPr>
            <w:tcW w:type="dxa" w:w="1984"/>
            <w:vAlign w:val="top"/>
            <w:shd w:fill="FFFFFF"/>
          </w:tcPr>
          <w:p>
            <w:pPr>
              <w:spacing w:after="80" w:before="60"/>
            </w:pPr>
            <w:r>
              <w:rPr>
                <w:b/>
                <w:sz w:val="18"/>
              </w:rPr>
              <w:t>Исторические границы</w:t>
            </w:r>
          </w:p>
        </w:tc>
        <w:tc>
          <w:tcPr>
            <w:tcW w:type="dxa" w:w="7767"/>
            <w:vAlign w:val="top"/>
            <w:shd w:fill="FFFFFF"/>
          </w:tcPr>
          <w:p>
            <w:pPr>
              <w:spacing w:after="80" w:before="60"/>
            </w:pPr>
            <w:r>
              <w:rPr>
                <w:sz w:val="18"/>
              </w:rPr>
              <w:t>Формирование IV–IX вв.; фиксация/передача V–XII вв.; канонизация/комментарий VII–XIII вв.</w:t>
            </w:r>
          </w:p>
        </w:tc>
      </w:tr>
      <w:tr>
        <w:trPr>
          <w:cantSplit/>
        </w:trPr>
        <w:tc>
          <w:tcPr>
            <w:tcW w:type="dxa" w:w="1984"/>
            <w:vAlign w:val="top"/>
            <w:shd w:fill="F0F5F6"/>
          </w:tcPr>
          <w:p>
            <w:pPr>
              <w:spacing w:after="80" w:before="60"/>
            </w:pPr>
            <w:r>
              <w:rPr>
                <w:b/>
                <w:sz w:val="18"/>
              </w:rPr>
              <w:t>Исходный документ</w:t>
            </w:r>
          </w:p>
        </w:tc>
        <w:tc>
          <w:tcPr>
            <w:tcW w:type="dxa" w:w="7767"/>
            <w:vAlign w:val="top"/>
            <w:shd w:fill="F0F5F6"/>
          </w:tcPr>
          <w:p>
            <w:pPr>
              <w:spacing w:after="80" w:before="60"/>
            </w:pPr>
            <w:r>
              <w:rPr>
                <w:sz w:val="18"/>
              </w:rPr>
              <w:t>ToS Deep Research_ T2-44 — Китайский буддизм зрелых доктринальных систем(1).docx; паспорт, §§ 6, 16–17 и библиография. Мастер-строка сверена с «Таблица II для ToS.docx».</w:t>
            </w:r>
          </w:p>
        </w:tc>
      </w:tr>
      <w:tr>
        <w:trPr>
          <w:cantSplit/>
        </w:trPr>
        <w:tc>
          <w:tcPr>
            <w:tcW w:type="dxa" w:w="1984"/>
            <w:vAlign w:val="top"/>
            <w:shd w:fill="FFFFFF"/>
          </w:tcPr>
          <w:p>
            <w:pPr>
              <w:spacing w:after="80" w:before="60"/>
            </w:pPr>
            <w:r>
              <w:rPr>
                <w:b/>
                <w:sz w:val="18"/>
              </w:rPr>
              <w:t>Дата проверки</w:t>
            </w:r>
          </w:p>
        </w:tc>
        <w:tc>
          <w:tcPr>
            <w:tcW w:type="dxa" w:w="7767"/>
            <w:vAlign w:val="top"/>
            <w:shd w:fill="FFFFFF"/>
          </w:tcPr>
          <w:p>
            <w:pPr>
              <w:spacing w:after="80" w:before="60"/>
            </w:pPr>
            <w:r>
              <w:rPr>
                <w:sz w:val="18"/>
              </w:rPr>
              <w:t>4 сентября 2026 года; checked_at = 2026-09-04. Доступ описывает этот сеанс, а не гарантированную будущую доступность.</w:t>
            </w:r>
          </w:p>
        </w:tc>
      </w:tr>
      <w:tr>
        <w:trPr>
          <w:cantSplit/>
        </w:trPr>
        <w:tc>
          <w:tcPr>
            <w:tcW w:type="dxa" w:w="1984"/>
            <w:vAlign w:val="top"/>
            <w:shd w:fill="F0F5F6"/>
          </w:tcPr>
          <w:p>
            <w:pPr>
              <w:spacing w:after="80" w:before="60"/>
            </w:pPr>
            <w:r>
              <w:rPr>
                <w:b/>
                <w:sz w:val="18"/>
              </w:rPr>
              <w:t>Ядро</w:t>
            </w:r>
          </w:p>
        </w:tc>
        <w:tc>
          <w:tcPr>
            <w:tcW w:type="dxa" w:w="7767"/>
            <w:vAlign w:val="top"/>
            <w:shd w:fill="F0F5F6"/>
          </w:tcPr>
          <w:p>
            <w:pPr>
              <w:spacing w:after="80" w:before="60"/>
            </w:pPr>
            <w:r>
              <w:rPr>
                <w:sz w:val="18"/>
              </w:rPr>
              <w:t>Tiantai; Huayan; Faxiang/Weishi; китайский Pure Land-комментарийный комплекс; panjiao; каталоги и материальная передача канона.</w:t>
            </w:r>
          </w:p>
        </w:tc>
      </w:tr>
      <w:tr>
        <w:trPr>
          <w:cantSplit/>
        </w:trPr>
        <w:tc>
          <w:tcPr>
            <w:tcW w:type="dxa" w:w="1984"/>
            <w:vAlign w:val="top"/>
            <w:shd w:fill="FFFFFF"/>
          </w:tcPr>
          <w:p>
            <w:pPr>
              <w:spacing w:after="80" w:before="60"/>
            </w:pPr>
            <w:r>
              <w:rPr>
                <w:b/>
                <w:sz w:val="18"/>
              </w:rPr>
              <w:t>Поисковые языки</w:t>
            </w:r>
          </w:p>
        </w:tc>
        <w:tc>
          <w:tcPr>
            <w:tcW w:type="dxa" w:w="7767"/>
            <w:vAlign w:val="top"/>
            <w:shd w:fill="FFFFFF"/>
          </w:tcPr>
          <w:p>
            <w:pPr>
              <w:spacing w:after="80" w:before="60"/>
            </w:pPr>
            <w:r>
              <w:rPr>
                <w:sz w:val="18"/>
              </w:rPr>
              <w:t>Русский, английский, традиционный/упрощённый китайский; японские названия и каталожные формы; санскритские названия в IAST. Французские издания выявлялись также по специализированной библиографии.</w:t>
            </w:r>
          </w:p>
        </w:tc>
      </w:tr>
      <w:tr>
        <w:trPr>
          <w:cantSplit/>
        </w:trPr>
        <w:tc>
          <w:tcPr>
            <w:tcW w:type="dxa" w:w="1984"/>
            <w:vAlign w:val="top"/>
            <w:shd w:fill="F0F5F6"/>
          </w:tcPr>
          <w:p>
            <w:pPr>
              <w:spacing w:after="80" w:before="60"/>
            </w:pPr>
            <w:r>
              <w:rPr>
                <w:b/>
                <w:sz w:val="18"/>
              </w:rPr>
              <w:t>Объекты</w:t>
            </w:r>
          </w:p>
        </w:tc>
        <w:tc>
          <w:tcPr>
            <w:tcW w:type="dxa" w:w="7767"/>
            <w:vAlign w:val="top"/>
            <w:shd w:fill="F0F5F6"/>
          </w:tcPr>
          <w:p>
            <w:pPr>
              <w:spacing w:after="80" w:before="60"/>
            </w:pPr>
            <w:r>
              <w:rPr>
                <w:sz w:val="18"/>
              </w:rPr>
              <w:t>Произведения, корпусные рецензии, переводы/издания, TEI/XML, конкретные рукописи и ксилография, эпиграфические публикации, каталоги и сервисы.</w:t>
            </w:r>
          </w:p>
        </w:tc>
      </w:tr>
    </w:tbl>
    <w:p>
      <w:r>
        <w:t>Исходный DR использован как карта, а не замкнутый список: из него взяты основные текстовые линии и различение произведения, перевода, редакции и свидетеля. Даты и статус мастер-строки сохранены; поздние произведения и современные цифровые редакции добавлены как связанные слои, а не как изменение исторического ядра.</w:t>
      </w:r>
    </w:p>
    <w:p>
      <w:r>
        <w:t>Источники доступа и доказательства разделены. Для текста и идентификации приоритетны заголовки CBETA XML, издательские страницы, университетские и музейные карточки; для прав — предметное уведомление, лицензия проекта и применимые условия правообладателя. Академическая библиография помогает найти перевод, но не превращает его в свободный файл. Wikipedia не служит итоговым источником; кандидаты, оставленные непроверенными, явно отделены на листе gaps. Блоги, поисковые сниппеты и неавторизованные современные PDF не использованы как доказательство прав.</w:t>
      </w:r>
    </w:p>
    <w:p>
      <w:r>
        <w:t xml:space="preserve">Ссылки вида </w:t>
      </w:r>
      <w:hyperlink r:id="rId11">
        <w:r>
          <w:rPr>
            <w:color w:val="226D85"/>
            <w:u w:val="single"/>
          </w:rPr>
          <w:t>[R001]</w:t>
        </w:r>
      </w:hyperlink>
      <w:r>
        <w:t xml:space="preserve"> открывают предметный источник и соответствуют record_id T2-44-R001 в XLSX. Ссылки П1–П9 ведут к ключевым правовым и навигационным страницам. В XLSX сохраняются также прямые загрузки, подробные ограничения и дата проверки.</w:t>
      </w:r>
    </w:p>
    <w:p>
      <w:pPr>
        <w:pStyle w:val="Heading1"/>
      </w:pPr>
      <w:r>
        <w:t>2. Охват корпуса</w:t>
      </w:r>
    </w:p>
    <w:p>
      <w:pPr>
        <w:pStyle w:val="Heading2"/>
      </w:pPr>
      <w:r>
        <w:t>Ядро, извлечённое из DR</w:t>
      </w:r>
    </w:p>
    <w:p>
      <w:r>
        <w:t>Tiantai охвачен через Lotus T262, Fahua xuanyi T1716, Fahua wenju T1718 и Mohe zhiguan T1911; Huayan — через рецензии Avataṃsaka T278/T279/T293, Tanxuan ji T1733 и Wujiao zhang T1866; Faxiang — через Yogācārabhūmi T1579, Cheng weishi lun T1585 и Kuiji Shuji T1830. Pure Land представлен T360/T365/T366, Tanluan T1819, Daochuo T1958 и Shandao T1753. Каноническая линия включает Chu sanzang ji ji T2145, Kaiyuan shijiao lu T2154 и Hongming ji T2102. Предметные маршруты этих текстов сохранены в R001–R021, даже когда крупный файл не удалось прочитать полностью.</w:t>
      </w:r>
    </w:p>
    <w:p>
      <w:r>
        <w:t xml:space="preserve">Из материальных якорей DR найден конкретный маршрут к ксилографии Diamond Sūtra 868 года и к научному изданию каменной Lotus из Wofoyuan. Дуньхуанские Lotus-рукописи и Kaibao не объявлены покрытыми: их предметные ограничения зафиксированы в G02–G04. Музейные Lotus-свитки из Кореи и Японии дополняют историю передачи, но не заменяют Dunhuang. </w:t>
      </w:r>
      <w:hyperlink r:id="rId12">
        <w:r>
          <w:rPr>
            <w:color w:val="226D85"/>
            <w:u w:val="single"/>
          </w:rPr>
          <w:t>[R080]</w:t>
        </w:r>
      </w:hyperlink>
      <w:r>
        <w:t xml:space="preserve"> </w:t>
      </w:r>
      <w:hyperlink r:id="rId13">
        <w:r>
          <w:rPr>
            <w:color w:val="226D85"/>
            <w:u w:val="single"/>
          </w:rPr>
          <w:t>[R125]</w:t>
        </w:r>
      </w:hyperlink>
      <w:r/>
    </w:p>
    <w:p>
      <w:pPr>
        <w:pStyle w:val="Heading2"/>
      </w:pPr>
      <w:r>
        <w:t>Добавления внутри прямых текстовых семей</w:t>
      </w:r>
    </w:p>
    <w:p>
      <w:r>
        <w:t xml:space="preserve">В Tiantai добавлены комментарии Zhanran T1717/T1719/T1912, его Jingang pi T1932, практические руководства T1915/T1916/T1917, Guoqing bailu T1934, сочинения Zhili T1928/T1751 и Sijiaoyi T1931. Это не тематически похожие книги: они комментируют основные произведения, продолжают школьную классификацию либо сохраняют документы линии Zhiyi. </w:t>
      </w:r>
      <w:hyperlink r:id="rId14">
        <w:r>
          <w:rPr>
            <w:color w:val="226D85"/>
            <w:u w:val="single"/>
          </w:rPr>
          <w:t>[R022]</w:t>
        </w:r>
      </w:hyperlink>
      <w:r>
        <w:t xml:space="preserve"> </w:t>
      </w:r>
      <w:hyperlink r:id="rId15">
        <w:r>
          <w:rPr>
            <w:color w:val="226D85"/>
            <w:u w:val="single"/>
          </w:rPr>
          <w:t>[R027]</w:t>
        </w:r>
      </w:hyperlink>
      <w:r>
        <w:t xml:space="preserve"> </w:t>
      </w:r>
      <w:hyperlink r:id="rId16">
        <w:r>
          <w:rPr>
            <w:color w:val="226D85"/>
            <w:u w:val="single"/>
          </w:rPr>
          <w:t>[R028]</w:t>
        </w:r>
      </w:hyperlink>
      <w:r>
        <w:t xml:space="preserve"> </w:t>
      </w:r>
      <w:hyperlink r:id="rId17">
        <w:r>
          <w:rPr>
            <w:color w:val="226D85"/>
            <w:u w:val="single"/>
          </w:rPr>
          <w:t>[R031]</w:t>
        </w:r>
      </w:hyperlink>
      <w:r/>
    </w:p>
    <w:p>
      <w:r>
        <w:t xml:space="preserve">В Huayan расширение идёт от Zhiyan Souxuan T1732, Kongmu zhang T1870 и связанных трактатов до Fazang Zhigui T1871, Yihai baimen T1875, двух комментированных редакций «Золотого льва» T1880/T1881, Chengguan T1735/T1883 и Zongmi T1884/T1886. Awakening of Faith T1666/T1667 и комментарий Fazang T1846 включены как прямой экзегетический узел; Uisang T1887A — как конкретная корейская передача Huayan, не общий раздел о корейском буддизме. </w:t>
      </w:r>
      <w:hyperlink r:id="rId18">
        <w:r>
          <w:rPr>
            <w:color w:val="226D85"/>
            <w:u w:val="single"/>
          </w:rPr>
          <w:t>[R043]</w:t>
        </w:r>
      </w:hyperlink>
      <w:r>
        <w:t xml:space="preserve"> </w:t>
      </w:r>
      <w:hyperlink r:id="rId19">
        <w:r>
          <w:rPr>
            <w:color w:val="226D85"/>
            <w:u w:val="single"/>
          </w:rPr>
          <w:t>[R046]</w:t>
        </w:r>
      </w:hyperlink>
      <w:r>
        <w:t xml:space="preserve"> </w:t>
      </w:r>
      <w:hyperlink r:id="rId20">
        <w:r>
          <w:rPr>
            <w:color w:val="226D85"/>
            <w:u w:val="single"/>
          </w:rPr>
          <w:t>[R047]</w:t>
        </w:r>
      </w:hyperlink>
      <w:r>
        <w:t xml:space="preserve"> </w:t>
      </w:r>
      <w:hyperlink r:id="rId21">
        <w:r>
          <w:rPr>
            <w:color w:val="226D85"/>
            <w:u w:val="single"/>
          </w:rPr>
          <w:t>[R051]</w:t>
        </w:r>
      </w:hyperlink>
      <w:r>
        <w:t xml:space="preserve"> </w:t>
      </w:r>
      <w:hyperlink r:id="rId22">
        <w:r>
          <w:rPr>
            <w:color w:val="226D85"/>
            <w:u w:val="single"/>
          </w:rPr>
          <w:t>[R054]</w:t>
        </w:r>
      </w:hyperlink>
      <w:r>
        <w:t xml:space="preserve"> </w:t>
      </w:r>
      <w:hyperlink r:id="rId23">
        <w:r>
          <w:rPr>
            <w:color w:val="226D85"/>
            <w:u w:val="single"/>
          </w:rPr>
          <w:t>[R097]</w:t>
        </w:r>
      </w:hyperlink>
      <w:r/>
    </w:p>
    <w:p>
      <w:r>
        <w:t xml:space="preserve">Для Faxiang добавлены корневые «Тридцать строф» T1586 и «Двадцать строф» T1590, две версии Mahāyānasaṃgraha T1593/T1594, Sandhinirmocana T676, Fodi jing lun T1530 и линия Kuiji—Huizhao—Zhizhou T1831–T1833. В Pure Land найдены трактат Vasubandhu T1524, дополнительные произведения Shandao T1959/T1979–T1981, Huaigan T1960 и альтернативные комментарии к T365: Jingying Huiyuan T1749 и текст T1750, традиционно приписанный Zhiyi. T1750 не смешан с одноимённым Shandao T1753. </w:t>
      </w:r>
      <w:hyperlink r:id="rId24">
        <w:r>
          <w:rPr>
            <w:color w:val="226D85"/>
            <w:u w:val="single"/>
          </w:rPr>
          <w:t>[R055]</w:t>
        </w:r>
      </w:hyperlink>
      <w:r>
        <w:t xml:space="preserve"> </w:t>
      </w:r>
      <w:hyperlink r:id="rId25">
        <w:r>
          <w:rPr>
            <w:color w:val="226D85"/>
            <w:u w:val="single"/>
          </w:rPr>
          <w:t>[R057]</w:t>
        </w:r>
      </w:hyperlink>
      <w:r>
        <w:t xml:space="preserve"> </w:t>
      </w:r>
      <w:hyperlink r:id="rId26">
        <w:r>
          <w:rPr>
            <w:color w:val="226D85"/>
            <w:u w:val="single"/>
          </w:rPr>
          <w:t>[R059]</w:t>
        </w:r>
      </w:hyperlink>
      <w:r>
        <w:t xml:space="preserve"> </w:t>
      </w:r>
      <w:hyperlink r:id="rId27">
        <w:r>
          <w:rPr>
            <w:color w:val="226D85"/>
            <w:u w:val="single"/>
          </w:rPr>
          <w:t>[R081]</w:t>
        </w:r>
      </w:hyperlink>
      <w:r>
        <w:t xml:space="preserve"> </w:t>
      </w:r>
      <w:hyperlink r:id="rId28">
        <w:r>
          <w:rPr>
            <w:color w:val="226D85"/>
            <w:u w:val="single"/>
          </w:rPr>
          <w:t>[R083]</w:t>
        </w:r>
      </w:hyperlink>
      <w:r>
        <w:t xml:space="preserve"> </w:t>
      </w:r>
      <w:hyperlink r:id="rId29">
        <w:r>
          <w:rPr>
            <w:color w:val="226D85"/>
            <w:u w:val="single"/>
          </w:rPr>
          <w:t>[R137]</w:t>
        </w:r>
      </w:hyperlink>
      <w:r>
        <w:t xml:space="preserve"> </w:t>
      </w:r>
      <w:hyperlink r:id="rId30">
        <w:r>
          <w:rPr>
            <w:color w:val="226D85"/>
            <w:u w:val="single"/>
          </w:rPr>
          <w:t>[R138]</w:t>
        </w:r>
      </w:hyperlink>
      <w:r/>
    </w:p>
    <w:p>
      <w:pPr>
        <w:pStyle w:val="Heading2"/>
      </w:pPr>
      <w:r>
        <w:t>Поиск назад во времени</w:t>
      </w:r>
    </w:p>
    <w:p>
      <w:r>
        <w:t xml:space="preserve">Ранний слой включает Lotus в версии Dharmarakṣa 286 года T263; ранние китайские версии Большой Sukhāvatī T361/T362; Zhong lun T1564 как входящую Madhyamaka-основу; санскритские Lotus, Sukhāvatī, Daśabhūmika, Gaṇḍavyūha и Triṃśikā; Śrīmālā, Vimalakīrti и Nirvāṇa как прямо используемый сутрический фон. Древние источники не датируются годом современной транскрипции или перевода. Традиционные имена переводчиков T361/T362 не подаются как закрытый результат текстологии. </w:t>
      </w:r>
      <w:hyperlink r:id="rId31">
        <w:r>
          <w:rPr>
            <w:color w:val="226D85"/>
            <w:u w:val="single"/>
          </w:rPr>
          <w:t>[R065]</w:t>
        </w:r>
      </w:hyperlink>
      <w:r>
        <w:t xml:space="preserve"> </w:t>
      </w:r>
      <w:hyperlink r:id="rId32">
        <w:r>
          <w:rPr>
            <w:color w:val="226D85"/>
            <w:u w:val="single"/>
          </w:rPr>
          <w:t>[R070]</w:t>
        </w:r>
      </w:hyperlink>
      <w:r>
        <w:t xml:space="preserve"> </w:t>
      </w:r>
      <w:hyperlink r:id="rId33">
        <w:r>
          <w:rPr>
            <w:color w:val="226D85"/>
            <w:u w:val="single"/>
          </w:rPr>
          <w:t>[R071]</w:t>
        </w:r>
      </w:hyperlink>
      <w:r>
        <w:t xml:space="preserve"> </w:t>
      </w:r>
      <w:hyperlink r:id="rId34">
        <w:r>
          <w:rPr>
            <w:color w:val="226D85"/>
            <w:u w:val="single"/>
          </w:rPr>
          <w:t>[R101]</w:t>
        </w:r>
      </w:hyperlink>
      <w:r>
        <w:t xml:space="preserve"> </w:t>
      </w:r>
      <w:hyperlink r:id="rId35">
        <w:r>
          <w:rPr>
            <w:color w:val="226D85"/>
            <w:u w:val="single"/>
          </w:rPr>
          <w:t>[R102]</w:t>
        </w:r>
      </w:hyperlink>
      <w:r>
        <w:t xml:space="preserve"> </w:t>
      </w:r>
      <w:hyperlink r:id="rId36">
        <w:r>
          <w:rPr>
            <w:color w:val="226D85"/>
            <w:u w:val="single"/>
          </w:rPr>
          <w:t>[R123]</w:t>
        </w:r>
      </w:hyperlink>
      <w:r>
        <w:t xml:space="preserve"> </w:t>
      </w:r>
      <w:hyperlink r:id="rId37">
        <w:r>
          <w:rPr>
            <w:color w:val="226D85"/>
            <w:u w:val="single"/>
          </w:rPr>
          <w:t>[R124]</w:t>
        </w:r>
      </w:hyperlink>
      <w:r/>
    </w:p>
    <w:p>
      <w:r>
        <w:t xml:space="preserve">Отдельно включён Daśabhūmika-vibhāṣā T1521 в современном переводе: он относится к семье десяти ступеней и содержит материал, важный для Pure Land-линии «лёгкого пути». Доступ к сохранившемуся произведению не означает наличие комментария ко всем десяти ступеням. Утраченный каталог Dao’an не превращён в вымышленный отдельный полный текст: его линия требует обращения к сохраняющим свидетельствам, прежде всего T2145. </w:t>
      </w:r>
      <w:hyperlink r:id="rId38">
        <w:r>
          <w:rPr>
            <w:color w:val="226D85"/>
            <w:u w:val="single"/>
          </w:rPr>
          <w:t>[R117]</w:t>
        </w:r>
      </w:hyperlink>
      <w:r>
        <w:t xml:space="preserve"> </w:t>
      </w:r>
      <w:hyperlink r:id="rId39">
        <w:r>
          <w:rPr>
            <w:color w:val="226D85"/>
            <w:u w:val="single"/>
          </w:rPr>
          <w:t>[R015]</w:t>
        </w:r>
      </w:hyperlink>
      <w:r/>
    </w:p>
    <w:p>
      <w:pPr>
        <w:pStyle w:val="Heading2"/>
      </w:pPr>
      <w:r>
        <w:t>Поиск вперёд во времени</w:t>
      </w:r>
    </w:p>
    <w:p>
      <w:r>
        <w:t xml:space="preserve">После IX века поиск сохранил Song-Tiantai Zhili, Sijiaoyi Chegwan, комментированные формы «Золотого льва», сводную Sukhāvatī-редакцию Wang Rixiu T364 и прямую позднюю экзегезу Ouyi Zhixu T1762 XVII века. Различаются исходный текст и поздняя компиляция: T364 не объявлен переводом единственного индийского оригинала. </w:t>
      </w:r>
      <w:hyperlink r:id="rId15">
        <w:r>
          <w:rPr>
            <w:color w:val="226D85"/>
            <w:u w:val="single"/>
          </w:rPr>
          <w:t>[R027]</w:t>
        </w:r>
      </w:hyperlink>
      <w:r>
        <w:t xml:space="preserve"> </w:t>
      </w:r>
      <w:hyperlink r:id="rId40">
        <w:r>
          <w:rPr>
            <w:color w:val="226D85"/>
            <w:u w:val="single"/>
          </w:rPr>
          <w:t>[R030]</w:t>
        </w:r>
      </w:hyperlink>
      <w:r>
        <w:t xml:space="preserve"> </w:t>
      </w:r>
      <w:hyperlink r:id="rId20">
        <w:r>
          <w:rPr>
            <w:color w:val="226D85"/>
            <w:u w:val="single"/>
          </w:rPr>
          <w:t>[R047]</w:t>
        </w:r>
      </w:hyperlink>
      <w:r>
        <w:t xml:space="preserve"> </w:t>
      </w:r>
      <w:hyperlink r:id="rId41">
        <w:r>
          <w:rPr>
            <w:color w:val="226D85"/>
            <w:u w:val="single"/>
          </w:rPr>
          <w:t>[R104]</w:t>
        </w:r>
      </w:hyperlink>
      <w:r>
        <w:t xml:space="preserve"> </w:t>
      </w:r>
      <w:hyperlink r:id="rId42">
        <w:r>
          <w:rPr>
            <w:color w:val="226D85"/>
            <w:u w:val="single"/>
          </w:rPr>
          <w:t>[R087]</w:t>
        </w:r>
      </w:hyperlink>
      <w:r/>
    </w:p>
    <w:p>
      <w:r>
        <w:t xml:space="preserve">Hōnen T2608 и Shinran T2646 включены благодаря прямой работе с Pure Land-сутрами и китайской экзегезой; Ryōhen T2312 — благодаря продолжению Faxiang-комментарийной линии. Их включение не разворачивает всю историю японских школ. Свитки Met XII–XIV веков — физические носители китайского текста Lotus. Издания Kern 1884, SBE 49, современные BDK, Kalavinka и переводы Торчинова относятся к передаче и доступу, а не к средневековой композиции. </w:t>
      </w:r>
      <w:hyperlink r:id="rId43">
        <w:r>
          <w:rPr>
            <w:color w:val="226D85"/>
            <w:u w:val="single"/>
          </w:rPr>
          <w:t>[R106]</w:t>
        </w:r>
      </w:hyperlink>
      <w:r>
        <w:t xml:space="preserve"> </w:t>
      </w:r>
      <w:hyperlink r:id="rId44">
        <w:r>
          <w:rPr>
            <w:color w:val="226D85"/>
            <w:u w:val="single"/>
          </w:rPr>
          <w:t>[R107]</w:t>
        </w:r>
      </w:hyperlink>
      <w:r>
        <w:t xml:space="preserve"> </w:t>
      </w:r>
      <w:hyperlink r:id="rId45">
        <w:r>
          <w:rPr>
            <w:color w:val="226D85"/>
            <w:u w:val="single"/>
          </w:rPr>
          <w:t>[R108]</w:t>
        </w:r>
      </w:hyperlink>
      <w:r>
        <w:t xml:space="preserve"> </w:t>
      </w:r>
      <w:hyperlink r:id="rId46">
        <w:r>
          <w:rPr>
            <w:color w:val="226D85"/>
            <w:u w:val="single"/>
          </w:rPr>
          <w:t>[R077]</w:t>
        </w:r>
      </w:hyperlink>
      <w:r>
        <w:t xml:space="preserve"> </w:t>
      </w:r>
      <w:hyperlink r:id="rId47">
        <w:r>
          <w:rPr>
            <w:color w:val="226D85"/>
            <w:u w:val="single"/>
          </w:rPr>
          <w:t>[R096]</w:t>
        </w:r>
      </w:hyperlink>
      <w:r>
        <w:t xml:space="preserve"> </w:t>
      </w:r>
      <w:hyperlink r:id="rId48">
        <w:r>
          <w:rPr>
            <w:color w:val="226D85"/>
            <w:u w:val="single"/>
          </w:rPr>
          <w:t>[R113]</w:t>
        </w:r>
      </w:hyperlink>
      <w:r>
        <w:t xml:space="preserve"> </w:t>
      </w:r>
      <w:hyperlink r:id="rId49">
        <w:r>
          <w:rPr>
            <w:color w:val="226D85"/>
            <w:u w:val="single"/>
          </w:rPr>
          <w:t>[R126]</w:t>
        </w:r>
      </w:hyperlink>
      <w:r/>
    </w:p>
    <w:p>
      <w:pPr>
        <w:pStyle w:val="Heading2"/>
      </w:pPr>
      <w:r>
        <w:t>Как читать количественный итог</w:t>
      </w:r>
    </w:p>
    <w:p>
      <w:r>
        <w:t>Реестр содержит 139 практически отличимых маршрутов, а не 139 произведений. В канонических полях представлены 92 разных T-номера; после объединения переводных рецензий и вложенных частей это около 80 произведений и текстовых семейств. Отдельные современные тома, переводы, репозитории и физические свидетели увеличивают число маршрутов, но не число исходных произведений. Avataṃsaka и его Gaṇḍavyūha/Daśabhūmika не суммируются как три непересекающихся полных корпуса.</w:t>
      </w:r>
    </w:p>
    <w:tbl>
      <w:tblPr>
        <w:tblW w:type="auto" w:w="0"/>
        <w:jc w:val="center"/>
        <w:tblLayout w:type="fixed"/>
        <w:tblLook w:firstColumn="1" w:firstRow="1" w:lastColumn="0" w:lastRow="0" w:noHBand="0" w:noVBand="1" w:val="04A0"/>
      </w:tblPr>
      <w:tblGrid>
        <w:gridCol w:w="3251"/>
        <w:gridCol w:w="3251"/>
        <w:gridCol w:w="3251"/>
      </w:tblGrid>
      <w:tr>
        <w:trPr>
          <w:cantSplit/>
          <w:tblHeader/>
        </w:trPr>
        <w:tc>
          <w:tcPr>
            <w:tcW w:type="dxa" w:w="4365"/>
            <w:vAlign w:val="top"/>
            <w:shd w:fill="173F4F"/>
          </w:tcPr>
          <w:p>
            <w:pPr>
              <w:spacing w:after="80" w:before="60"/>
            </w:pPr>
            <w:r>
              <w:rPr>
                <w:b/>
                <w:color w:val="FFFFFF"/>
                <w:sz w:val="18"/>
              </w:rPr>
              <w:t>Релевантность</w:t>
            </w:r>
          </w:p>
        </w:tc>
        <w:tc>
          <w:tcPr>
            <w:tcW w:type="dxa" w:w="1191"/>
            <w:vAlign w:val="top"/>
            <w:shd w:fill="173F4F"/>
          </w:tcPr>
          <w:p>
            <w:pPr>
              <w:spacing w:after="80" w:before="60"/>
            </w:pPr>
            <w:r>
              <w:rPr>
                <w:b/>
                <w:color w:val="FFFFFF"/>
                <w:sz w:val="18"/>
              </w:rPr>
              <w:t>Маршруты</w:t>
            </w:r>
          </w:p>
        </w:tc>
        <w:tc>
          <w:tcPr>
            <w:tcW w:type="dxa" w:w="4195"/>
            <w:vAlign w:val="top"/>
            <w:shd w:fill="173F4F"/>
          </w:tcPr>
          <w:p>
            <w:pPr>
              <w:spacing w:after="80" w:before="60"/>
            </w:pPr>
            <w:r>
              <w:rPr>
                <w:b/>
                <w:color w:val="FFFFFF"/>
                <w:sz w:val="18"/>
              </w:rPr>
              <w:t>Что включено</w:t>
            </w:r>
          </w:p>
        </w:tc>
      </w:tr>
      <w:tr>
        <w:trPr>
          <w:cantSplit/>
        </w:trPr>
        <w:tc>
          <w:tcPr>
            <w:tcW w:type="dxa" w:w="4365"/>
            <w:vAlign w:val="top"/>
            <w:shd w:fill="FFFFFF"/>
          </w:tcPr>
          <w:p>
            <w:pPr>
              <w:spacing w:after="80" w:before="60"/>
            </w:pPr>
            <w:r>
              <w:rPr>
                <w:sz w:val="18"/>
              </w:rPr>
              <w:t>core / same_corpus_or_tradition</w:t>
            </w:r>
          </w:p>
        </w:tc>
        <w:tc>
          <w:tcPr>
            <w:tcW w:type="dxa" w:w="1191"/>
            <w:vAlign w:val="top"/>
            <w:shd w:fill="FFFFFF"/>
          </w:tcPr>
          <w:p>
            <w:pPr>
              <w:spacing w:after="80" w:before="60"/>
            </w:pPr>
            <w:r>
              <w:rPr>
                <w:sz w:val="18"/>
              </w:rPr>
              <w:t>21 / 29</w:t>
            </w:r>
          </w:p>
        </w:tc>
        <w:tc>
          <w:tcPr>
            <w:tcW w:type="dxa" w:w="4195"/>
            <w:vAlign w:val="top"/>
            <w:shd w:fill="FFFFFF"/>
          </w:tcPr>
          <w:p>
            <w:pPr>
              <w:spacing w:after="80" w:before="60"/>
            </w:pPr>
            <w:r>
              <w:rPr>
                <w:sz w:val="18"/>
              </w:rPr>
              <w:t>Центральные тексты и прямые члены их семей.</w:t>
            </w:r>
          </w:p>
        </w:tc>
      </w:tr>
      <w:tr>
        <w:trPr>
          <w:cantSplit/>
        </w:trPr>
        <w:tc>
          <w:tcPr>
            <w:tcW w:type="dxa" w:w="4365"/>
            <w:vAlign w:val="top"/>
            <w:shd w:fill="F0F5F6"/>
          </w:tcPr>
          <w:p>
            <w:pPr>
              <w:spacing w:after="80" w:before="60"/>
            </w:pPr>
            <w:r>
              <w:rPr>
                <w:sz w:val="18"/>
              </w:rPr>
              <w:t>antecedent / continuation</w:t>
            </w:r>
          </w:p>
        </w:tc>
        <w:tc>
          <w:tcPr>
            <w:tcW w:type="dxa" w:w="1191"/>
            <w:vAlign w:val="top"/>
            <w:shd w:fill="F0F5F6"/>
          </w:tcPr>
          <w:p>
            <w:pPr>
              <w:spacing w:after="80" w:before="60"/>
            </w:pPr>
            <w:r>
              <w:rPr>
                <w:sz w:val="18"/>
              </w:rPr>
              <w:t>17 / 6</w:t>
            </w:r>
          </w:p>
        </w:tc>
        <w:tc>
          <w:tcPr>
            <w:tcW w:type="dxa" w:w="4195"/>
            <w:vAlign w:val="top"/>
            <w:shd w:fill="F0F5F6"/>
          </w:tcPr>
          <w:p>
            <w:pPr>
              <w:spacing w:after="80" w:before="60"/>
            </w:pPr>
            <w:r>
              <w:rPr>
                <w:sz w:val="18"/>
              </w:rPr>
              <w:t>Входящие источники и последующее развитие.</w:t>
            </w:r>
          </w:p>
        </w:tc>
      </w:tr>
      <w:tr>
        <w:trPr>
          <w:cantSplit/>
        </w:trPr>
        <w:tc>
          <w:tcPr>
            <w:tcW w:type="dxa" w:w="4365"/>
            <w:vAlign w:val="top"/>
            <w:shd w:fill="FFFFFF"/>
          </w:tcPr>
          <w:p>
            <w:pPr>
              <w:spacing w:after="80" w:before="60"/>
            </w:pPr>
            <w:r>
              <w:rPr>
                <w:sz w:val="18"/>
              </w:rPr>
              <w:t>commentary_or_reception / transmission_or_preservation</w:t>
            </w:r>
          </w:p>
        </w:tc>
        <w:tc>
          <w:tcPr>
            <w:tcW w:type="dxa" w:w="1191"/>
            <w:vAlign w:val="top"/>
            <w:shd w:fill="FFFFFF"/>
          </w:tcPr>
          <w:p>
            <w:pPr>
              <w:spacing w:after="80" w:before="60"/>
            </w:pPr>
            <w:r>
              <w:rPr>
                <w:sz w:val="18"/>
              </w:rPr>
              <w:t>12 / 44</w:t>
            </w:r>
          </w:p>
        </w:tc>
        <w:tc>
          <w:tcPr>
            <w:tcW w:type="dxa" w:w="4195"/>
            <w:vAlign w:val="top"/>
            <w:shd w:fill="FFFFFF"/>
          </w:tcPr>
          <w:p>
            <w:pPr>
              <w:spacing w:after="80" w:before="60"/>
            </w:pPr>
            <w:r>
              <w:rPr>
                <w:sz w:val="18"/>
              </w:rPr>
              <w:t>Комментарии, рецепция, переводы, редакции и свидетели передачи.</w:t>
            </w:r>
          </w:p>
        </w:tc>
      </w:tr>
      <w:tr>
        <w:trPr>
          <w:cantSplit/>
        </w:trPr>
        <w:tc>
          <w:tcPr>
            <w:tcW w:type="dxa" w:w="4365"/>
            <w:vAlign w:val="top"/>
            <w:shd w:fill="F0F5F6"/>
          </w:tcPr>
          <w:p>
            <w:pPr>
              <w:spacing w:after="80" w:before="60"/>
            </w:pPr>
            <w:r>
              <w:rPr>
                <w:sz w:val="18"/>
              </w:rPr>
              <w:t>supporting / boundary</w:t>
            </w:r>
          </w:p>
        </w:tc>
        <w:tc>
          <w:tcPr>
            <w:tcW w:type="dxa" w:w="1191"/>
            <w:vAlign w:val="top"/>
            <w:shd w:fill="F0F5F6"/>
          </w:tcPr>
          <w:p>
            <w:pPr>
              <w:spacing w:after="80" w:before="60"/>
            </w:pPr>
            <w:r>
              <w:rPr>
                <w:sz w:val="18"/>
              </w:rPr>
              <w:t>3 / 1</w:t>
            </w:r>
          </w:p>
        </w:tc>
        <w:tc>
          <w:tcPr>
            <w:tcW w:type="dxa" w:w="4195"/>
            <w:vAlign w:val="top"/>
            <w:shd w:fill="F0F5F6"/>
          </w:tcPr>
          <w:p>
            <w:pPr>
              <w:spacing w:after="80" w:before="60"/>
            </w:pPr>
            <w:r>
              <w:rPr>
                <w:sz w:val="18"/>
              </w:rPr>
              <w:t>Материальные и межтрадиционные опоры.</w:t>
            </w:r>
          </w:p>
        </w:tc>
      </w:tr>
      <w:tr>
        <w:trPr>
          <w:cantSplit/>
        </w:trPr>
        <w:tc>
          <w:tcPr>
            <w:tcW w:type="dxa" w:w="4365"/>
            <w:vAlign w:val="top"/>
            <w:shd w:fill="FFFFFF"/>
          </w:tcPr>
          <w:p>
            <w:pPr>
              <w:spacing w:after="80" w:before="60"/>
            </w:pPr>
            <w:r>
              <w:rPr>
                <w:sz w:val="18"/>
              </w:rPr>
              <w:t>infrastructure / secondary_navigation</w:t>
            </w:r>
          </w:p>
        </w:tc>
        <w:tc>
          <w:tcPr>
            <w:tcW w:type="dxa" w:w="1191"/>
            <w:vAlign w:val="top"/>
            <w:shd w:fill="FFFFFF"/>
          </w:tcPr>
          <w:p>
            <w:pPr>
              <w:spacing w:after="80" w:before="60"/>
            </w:pPr>
            <w:r>
              <w:rPr>
                <w:sz w:val="18"/>
              </w:rPr>
              <w:t>4 / 2</w:t>
            </w:r>
          </w:p>
        </w:tc>
        <w:tc>
          <w:tcPr>
            <w:tcW w:type="dxa" w:w="4195"/>
            <w:vAlign w:val="top"/>
            <w:shd w:fill="FFFFFF"/>
          </w:tcPr>
          <w:p>
            <w:pPr>
              <w:spacing w:after="80" w:before="60"/>
            </w:pPr>
            <w:r>
              <w:rPr>
                <w:sz w:val="18"/>
              </w:rPr>
              <w:t>Шесть сервисов и навигационных ресурсов; не отдельные древние произведения.</w:t>
            </w:r>
          </w:p>
        </w:tc>
      </w:tr>
    </w:tbl>
    <w:p>
      <w:r>
        <w:t>По типам объектов: 88 цифровых текстов/факсимиле, 41 перевод или издание, четыре физических свидетеля и шесть инфраструктурных/навигационных записей. У восьми крупных XML coverage оставлен unknown: найден официальный файл, но его комплектность не установлена в этом сеансе. Лист gaps содержит 28 конкретных пробелов, а не заявление об отсутствии соответствующих произведений.</w:t>
      </w:r>
    </w:p>
    <w:p>
      <w:pPr>
        <w:pStyle w:val="Heading1"/>
      </w:pPr>
      <w:r>
        <w:t>3. Лучшие пути доступа</w:t>
      </w:r>
    </w:p>
    <w:p>
      <w:r>
        <w:t>«Лучший» здесь означает наиболее полезный для конкретной задачи: чтение, научная сверка, машинная обработка или разрешённое повторное использование. Один маршрут редко лучший по всем этим критериям. Где PDF доступен лишь через проверенную издательскую кнопку, но сам файл не прочитан инструментом, это прямо отражено в verification_status.</w:t>
      </w:r>
    </w:p>
    <w:p>
      <w:pPr>
        <w:pStyle w:val="Heading2"/>
      </w:pPr>
      <w:r>
        <w:t>Лотосовая сутра и её ближайшее обрамление</w:t>
      </w:r>
    </w:p>
    <w:p>
      <w:r>
        <w:t xml:space="preserve">Для оригинала и машинной обработки оптимален предметный CBETA T262: китайский текст, разметка, канонические координаты и лицензионный заголовок. Для истории редакций рядом стоят T263 и T264; они не сведены в одну строку. Санскритский текст GRETIL даёт независимый языковой слой, но не заменяет китайскую версию, на которой строилась экзегеза Zhiyi. </w:t>
      </w:r>
      <w:hyperlink r:id="rId11">
        <w:r>
          <w:rPr>
            <w:color w:val="226D85"/>
            <w:u w:val="single"/>
          </w:rPr>
          <w:t>[R001]</w:t>
        </w:r>
      </w:hyperlink>
      <w:r>
        <w:t xml:space="preserve"> </w:t>
      </w:r>
      <w:hyperlink r:id="rId31">
        <w:r>
          <w:rPr>
            <w:color w:val="226D85"/>
            <w:u w:val="single"/>
          </w:rPr>
          <w:t>[R065]</w:t>
        </w:r>
      </w:hyperlink>
      <w:r>
        <w:t xml:space="preserve"> </w:t>
      </w:r>
      <w:hyperlink r:id="rId50">
        <w:r>
          <w:rPr>
            <w:color w:val="226D85"/>
            <w:u w:val="single"/>
          </w:rPr>
          <w:t>[R066]</w:t>
        </w:r>
      </w:hyperlink>
      <w:r>
        <w:t xml:space="preserve"> </w:t>
      </w:r>
      <w:hyperlink r:id="rId51">
        <w:r>
          <w:rPr>
            <w:color w:val="226D85"/>
            <w:u w:val="single"/>
          </w:rPr>
          <w:t>[R072]</w:t>
        </w:r>
      </w:hyperlink>
      <w:r/>
    </w:p>
    <w:p>
      <w:r>
        <w:t xml:space="preserve">Для современного английского чтения основной вход — BDK Kubo–Yuyama, revised second edition, 2007; официальный сайт предлагает бесплатный PDF и печатное издание. Старый перевод Kern 1884 найден в университетском скане Internet Archive, с идентифицируемым происхождением из Robarts/University of Toronto. Это полезный старый перевод, но не эквивалент современному переводу китайского T262 и не безусловно свободный файл во всех юрисдикциях. </w:t>
      </w:r>
      <w:hyperlink r:id="rId52">
        <w:r>
          <w:rPr>
            <w:color w:val="226D85"/>
            <w:u w:val="single"/>
          </w:rPr>
          <w:t>[R036]</w:t>
        </w:r>
      </w:hyperlink>
      <w:r>
        <w:t xml:space="preserve"> </w:t>
      </w:r>
      <w:hyperlink r:id="rId47">
        <w:r>
          <w:rPr>
            <w:color w:val="226D85"/>
            <w:u w:val="single"/>
          </w:rPr>
          <w:t>[R096]</w:t>
        </w:r>
      </w:hyperlink>
      <w:r/>
    </w:p>
    <w:p>
      <w:r>
        <w:t xml:space="preserve">Самая свободная факсимильная опора — три предмета Met, но каждый имеет строго ограниченный охват: корейский том 2, японская глава 25 и небольшой фрагмент главы 19. Их можно использовать как открытые цифровые свидетели, а не как полный рукописный Lotus. «Tiantai Lotus Texts» BDK содержит T276, T277, T1519 и T1931; название сборника не означает наличия в нём больших комментариев T1716/T1718. </w:t>
      </w:r>
      <w:hyperlink r:id="rId46">
        <w:r>
          <w:rPr>
            <w:color w:val="226D85"/>
            <w:u w:val="single"/>
          </w:rPr>
          <w:t>[R077]</w:t>
        </w:r>
      </w:hyperlink>
      <w:r>
        <w:t xml:space="preserve"> </w:t>
      </w:r>
      <w:hyperlink r:id="rId53">
        <w:r>
          <w:rPr>
            <w:color w:val="226D85"/>
            <w:u w:val="single"/>
          </w:rPr>
          <w:t>[R078]</w:t>
        </w:r>
      </w:hyperlink>
      <w:r>
        <w:t xml:space="preserve"> </w:t>
      </w:r>
      <w:hyperlink r:id="rId54">
        <w:r>
          <w:rPr>
            <w:color w:val="226D85"/>
            <w:u w:val="single"/>
          </w:rPr>
          <w:t>[R079]</w:t>
        </w:r>
      </w:hyperlink>
      <w:r>
        <w:t xml:space="preserve"> </w:t>
      </w:r>
      <w:hyperlink r:id="rId55">
        <w:r>
          <w:rPr>
            <w:color w:val="226D85"/>
            <w:u w:val="single"/>
          </w:rPr>
          <w:t>[R037]</w:t>
        </w:r>
      </w:hyperlink>
      <w:r/>
    </w:p>
    <w:p>
      <w:pPr>
        <w:pStyle w:val="Heading2"/>
      </w:pPr>
      <w:r>
        <w:t>Zhiyi, Zhanran и Song-Tiantai</w:t>
      </w:r>
    </w:p>
    <w:p>
      <w:r>
        <w:t xml:space="preserve">Для полного Mohe zhiguan найден особенно сильный набор: китайский CBETA T1911; два бесплатных тома английского BDK-перевода Paul L. Swanson; трёхтомное аннотированное издание Clear Serenity, Quiet Insight на официальной странице University of Hawai‘i Press. Два BDK-тома вместе дают перевод без полного научного аппарата трёхтомника, а не свободную копию всего аннотированного издания. </w:t>
      </w:r>
      <w:hyperlink r:id="rId56">
        <w:r>
          <w:rPr>
            <w:color w:val="226D85"/>
            <w:u w:val="single"/>
          </w:rPr>
          <w:t>[R004]</w:t>
        </w:r>
      </w:hyperlink>
      <w:r>
        <w:t xml:space="preserve"> </w:t>
      </w:r>
      <w:hyperlink r:id="rId57">
        <w:r>
          <w:rPr>
            <w:color w:val="226D85"/>
            <w:u w:val="single"/>
          </w:rPr>
          <w:t>[R033]</w:t>
        </w:r>
      </w:hyperlink>
      <w:r>
        <w:t xml:space="preserve"> </w:t>
      </w:r>
      <w:hyperlink r:id="rId58">
        <w:r>
          <w:rPr>
            <w:color w:val="226D85"/>
            <w:u w:val="single"/>
          </w:rPr>
          <w:t>[R034]</w:t>
        </w:r>
      </w:hyperlink>
      <w:r>
        <w:t xml:space="preserve"> </w:t>
      </w:r>
      <w:hyperlink r:id="rId59">
        <w:r>
          <w:rPr>
            <w:color w:val="226D85"/>
            <w:u w:val="single"/>
          </w:rPr>
          <w:t>[R095]</w:t>
        </w:r>
      </w:hyperlink>
      <w:r>
        <w:t xml:space="preserve"> </w:t>
      </w:r>
      <w:hyperlink r:id="rId60">
        <w:r>
          <w:rPr>
            <w:color w:val="226D85"/>
            <w:u w:val="single"/>
          </w:rPr>
          <w:t>[П9]</w:t>
        </w:r>
      </w:hyperlink>
      <w:r/>
    </w:p>
    <w:p>
      <w:r>
        <w:t xml:space="preserve">Donner–Stevenson, The Great Calming and Contemplation, 1993 — отдельный ценный научный маршрут, но переводит первую главу, не всё произведение. Для малых практических руководств Kalavinka предоставляет открывающиеся двуязычные PDF: Essentials of Buddhist Meditation соответствует T1915, The Six Dharma Gates — T1917. Это законный бесплатный доступ к защищённым переводам; условия перепубликации не выводятся из двуязычности. </w:t>
      </w:r>
      <w:hyperlink r:id="rId61">
        <w:r>
          <w:rPr>
            <w:color w:val="226D85"/>
            <w:u w:val="single"/>
          </w:rPr>
          <w:t>[R118]</w:t>
        </w:r>
      </w:hyperlink>
      <w:r>
        <w:t xml:space="preserve"> </w:t>
      </w:r>
      <w:hyperlink r:id="rId62">
        <w:r>
          <w:rPr>
            <w:color w:val="226D85"/>
            <w:u w:val="single"/>
          </w:rPr>
          <w:t>[R114]</w:t>
        </w:r>
      </w:hyperlink>
      <w:r>
        <w:t xml:space="preserve"> </w:t>
      </w:r>
      <w:hyperlink r:id="rId63">
        <w:r>
          <w:rPr>
            <w:color w:val="226D85"/>
            <w:u w:val="single"/>
          </w:rPr>
          <w:t>[R115]</w:t>
        </w:r>
      </w:hyperlink>
      <w:r/>
    </w:p>
    <w:p>
      <w:r>
        <w:t xml:space="preserve">Большие Fahua xuanyi и Fahua wenju доступны по-китайски; полноценные проверенные западные переводы не установлены. Для Zhanran и Zhili в реестре главным остаётся китайский оригинал. Guoqing bailu имеет как китайский текст, так и современный английский BDK-перевод; его документы важны для институционального контекста Zhiyi, а не только как поздняя биография. </w:t>
      </w:r>
      <w:hyperlink r:id="rId64">
        <w:r>
          <w:rPr>
            <w:color w:val="226D85"/>
            <w:u w:val="single"/>
          </w:rPr>
          <w:t>[R002]</w:t>
        </w:r>
      </w:hyperlink>
      <w:r>
        <w:t xml:space="preserve"> </w:t>
      </w:r>
      <w:hyperlink r:id="rId65">
        <w:r>
          <w:rPr>
            <w:color w:val="226D85"/>
            <w:u w:val="single"/>
          </w:rPr>
          <w:t>[R003]</w:t>
        </w:r>
      </w:hyperlink>
      <w:r>
        <w:t xml:space="preserve"> </w:t>
      </w:r>
      <w:hyperlink r:id="rId14">
        <w:r>
          <w:rPr>
            <w:color w:val="226D85"/>
            <w:u w:val="single"/>
          </w:rPr>
          <w:t>[R022]</w:t>
        </w:r>
      </w:hyperlink>
      <w:r>
        <w:t xml:space="preserve"> </w:t>
      </w:r>
      <w:hyperlink r:id="rId15">
        <w:r>
          <w:rPr>
            <w:color w:val="226D85"/>
            <w:u w:val="single"/>
          </w:rPr>
          <w:t>[R027]</w:t>
        </w:r>
      </w:hyperlink>
      <w:r>
        <w:t xml:space="preserve"> </w:t>
      </w:r>
      <w:hyperlink r:id="rId17">
        <w:r>
          <w:rPr>
            <w:color w:val="226D85"/>
            <w:u w:val="single"/>
          </w:rPr>
          <w:t>[R031]</w:t>
        </w:r>
      </w:hyperlink>
      <w:r>
        <w:t xml:space="preserve"> </w:t>
      </w:r>
      <w:hyperlink r:id="rId66">
        <w:r>
          <w:rPr>
            <w:color w:val="226D85"/>
            <w:u w:val="single"/>
          </w:rPr>
          <w:t>[R109]</w:t>
        </w:r>
      </w:hyperlink>
      <w:r/>
    </w:p>
    <w:p>
      <w:pPr>
        <w:pStyle w:val="Heading2"/>
      </w:pPr>
      <w:r>
        <w:t>Avataṃsaka, Fazang и Huayan-комментарии</w:t>
      </w:r>
    </w:p>
    <w:p>
      <w:r>
        <w:t xml:space="preserve">Для полного современного английского чтения основного большого корпуса лучший бесплатный маршрут в этом поиске — три PDF Bhikshu Dharmamitra / Kalavinka: том 1 охватывает главы 1–25, том 2 — 26–38, том 3 — Gaṇḍavyūha с заключительным материалом версии T293. Для научного сопоставления сохраняется платное издание Thomas Cleary у Shambhala. Три тома — одна переводная работа в разных файлах, не три отдельных Avataṃsaka-произведения. </w:t>
      </w:r>
      <w:hyperlink r:id="rId67">
        <w:r>
          <w:rPr>
            <w:color w:val="226D85"/>
            <w:u w:val="single"/>
          </w:rPr>
          <w:t>[R089]</w:t>
        </w:r>
      </w:hyperlink>
      <w:r>
        <w:t xml:space="preserve"> </w:t>
      </w:r>
      <w:hyperlink r:id="rId68">
        <w:r>
          <w:rPr>
            <w:color w:val="226D85"/>
            <w:u w:val="single"/>
          </w:rPr>
          <w:t>[R090]</w:t>
        </w:r>
      </w:hyperlink>
      <w:r>
        <w:t xml:space="preserve"> </w:t>
      </w:r>
      <w:hyperlink r:id="rId69">
        <w:r>
          <w:rPr>
            <w:color w:val="226D85"/>
            <w:u w:val="single"/>
          </w:rPr>
          <w:t>[R091]</w:t>
        </w:r>
      </w:hyperlink>
      <w:r>
        <w:t xml:space="preserve"> </w:t>
      </w:r>
      <w:hyperlink r:id="rId70">
        <w:r>
          <w:rPr>
            <w:color w:val="226D85"/>
            <w:u w:val="single"/>
          </w:rPr>
          <w:t>[R121]</w:t>
        </w:r>
      </w:hyperlink>
      <w:r/>
    </w:p>
    <w:p>
      <w:r>
        <w:t xml:space="preserve">Оригинальные китайские рецензии T278, T279 и T293 должны оставаться раздельными. У первых двух крупные XML не прочитаны целиком; файл и официальный путь сохранены без утверждения проверенной комплектности. Для самостоятельных санскритских компонентов лучший машиночитаемый и более свободный путь — GRETIL Daśabhūmika и Gaṇḍavyūha. Трёхъязычное издание Sutra of the Ten Grounds Kalavinka помогает сопоставлению, но английский перевод и оформление не наследуют автоматически лицензию санскритского e-text. </w:t>
      </w:r>
      <w:hyperlink r:id="rId71">
        <w:r>
          <w:rPr>
            <w:color w:val="226D85"/>
            <w:u w:val="single"/>
          </w:rPr>
          <w:t>[R016]</w:t>
        </w:r>
      </w:hyperlink>
      <w:r>
        <w:t xml:space="preserve"> </w:t>
      </w:r>
      <w:hyperlink r:id="rId72">
        <w:r>
          <w:rPr>
            <w:color w:val="226D85"/>
            <w:u w:val="single"/>
          </w:rPr>
          <w:t>[R017]</w:t>
        </w:r>
      </w:hyperlink>
      <w:r>
        <w:t xml:space="preserve"> </w:t>
      </w:r>
      <w:hyperlink r:id="rId73">
        <w:r>
          <w:rPr>
            <w:color w:val="226D85"/>
            <w:u w:val="single"/>
          </w:rPr>
          <w:t>[R005]</w:t>
        </w:r>
      </w:hyperlink>
      <w:r>
        <w:t xml:space="preserve"> </w:t>
      </w:r>
      <w:hyperlink r:id="rId33">
        <w:r>
          <w:rPr>
            <w:color w:val="226D85"/>
            <w:u w:val="single"/>
          </w:rPr>
          <w:t>[R071]</w:t>
        </w:r>
      </w:hyperlink>
      <w:r>
        <w:t xml:space="preserve"> </w:t>
      </w:r>
      <w:hyperlink r:id="rId74">
        <w:r>
          <w:rPr>
            <w:color w:val="226D85"/>
            <w:u w:val="single"/>
          </w:rPr>
          <w:t>[R076]</w:t>
        </w:r>
      </w:hyperlink>
      <w:r>
        <w:t xml:space="preserve"> </w:t>
      </w:r>
      <w:hyperlink r:id="rId75">
        <w:r>
          <w:rPr>
            <w:color w:val="226D85"/>
            <w:u w:val="single"/>
          </w:rPr>
          <w:t>[R116]</w:t>
        </w:r>
      </w:hyperlink>
      <w:r/>
    </w:p>
    <w:p>
      <w:r>
        <w:t xml:space="preserve">Wujiao zhang Fazang T1866 имеет полный английский перевод в бесплатном тройном сборнике BDK. «Diamond Needle» в этом сборнике — не «Алмазный скальпель» Zhanran T1932. Для «Золотого льва» найдены две разные комментированные китайские версии; для Zongmi Yuanren lun — китайский текст, современный аннотированный перевод Peter N. Gregory, BDK-перевод в Three Short Treatises и русский перевод Торчинова. </w:t>
      </w:r>
      <w:hyperlink r:id="rId76">
        <w:r>
          <w:rPr>
            <w:color w:val="226D85"/>
            <w:u w:val="single"/>
          </w:rPr>
          <w:t>[R035]</w:t>
        </w:r>
      </w:hyperlink>
      <w:r>
        <w:t xml:space="preserve"> </w:t>
      </w:r>
      <w:hyperlink r:id="rId77">
        <w:r>
          <w:rPr>
            <w:color w:val="226D85"/>
            <w:u w:val="single"/>
          </w:rPr>
          <w:t>[R029]</w:t>
        </w:r>
      </w:hyperlink>
      <w:r>
        <w:t xml:space="preserve"> </w:t>
      </w:r>
      <w:hyperlink r:id="rId19">
        <w:r>
          <w:rPr>
            <w:color w:val="226D85"/>
            <w:u w:val="single"/>
          </w:rPr>
          <w:t>[R046]</w:t>
        </w:r>
      </w:hyperlink>
      <w:r>
        <w:t xml:space="preserve"> </w:t>
      </w:r>
      <w:hyperlink r:id="rId20">
        <w:r>
          <w:rPr>
            <w:color w:val="226D85"/>
            <w:u w:val="single"/>
          </w:rPr>
          <w:t>[R047]</w:t>
        </w:r>
      </w:hyperlink>
      <w:r>
        <w:t xml:space="preserve"> </w:t>
      </w:r>
      <w:hyperlink r:id="rId78">
        <w:r>
          <w:rPr>
            <w:color w:val="226D85"/>
            <w:u w:val="single"/>
          </w:rPr>
          <w:t>[R050]</w:t>
        </w:r>
      </w:hyperlink>
      <w:r>
        <w:t xml:space="preserve"> </w:t>
      </w:r>
      <w:hyperlink r:id="rId79">
        <w:r>
          <w:rPr>
            <w:color w:val="226D85"/>
            <w:u w:val="single"/>
          </w:rPr>
          <w:t>[R120]</w:t>
        </w:r>
      </w:hyperlink>
      <w:r>
        <w:t xml:space="preserve"> </w:t>
      </w:r>
      <w:hyperlink r:id="rId80">
        <w:r>
          <w:rPr>
            <w:color w:val="226D85"/>
            <w:u w:val="single"/>
          </w:rPr>
          <w:t>[R122]</w:t>
        </w:r>
      </w:hyperlink>
      <w:r>
        <w:t xml:space="preserve"> </w:t>
      </w:r>
      <w:hyperlink r:id="rId81">
        <w:r>
          <w:rPr>
            <w:color w:val="226D85"/>
            <w:u w:val="single"/>
          </w:rPr>
          <w:t>[R128]</w:t>
        </w:r>
      </w:hyperlink>
      <w:r/>
    </w:p>
    <w:p>
      <w:pPr>
        <w:pStyle w:val="Heading2"/>
      </w:pPr>
      <w:r>
        <w:t>Faxiang / Weishi</w:t>
      </w:r>
    </w:p>
    <w:p>
      <w:r>
        <w:t xml:space="preserve">Самый удобный бесплатный английский вход в центральный трактат — BDK Three Texts on Consciousness Only, Francis H. Cook: T1585, T1586 и T1590. Это даёт Cheng weishi lun и две связанные корневые работы, но не полный комментарий Kuiji T1830. Для оригинала и последовательности комментариев — соответствующие XML CBETA, включая T1831, T1832 и T1833. </w:t>
      </w:r>
      <w:hyperlink r:id="rId82">
        <w:r>
          <w:rPr>
            <w:color w:val="226D85"/>
            <w:u w:val="single"/>
          </w:rPr>
          <w:t>[R038]</w:t>
        </w:r>
      </w:hyperlink>
      <w:r>
        <w:t xml:space="preserve"> </w:t>
      </w:r>
      <w:hyperlink r:id="rId83">
        <w:r>
          <w:rPr>
            <w:color w:val="226D85"/>
            <w:u w:val="single"/>
          </w:rPr>
          <w:t>[R007]</w:t>
        </w:r>
      </w:hyperlink>
      <w:r>
        <w:t xml:space="preserve"> </w:t>
      </w:r>
      <w:hyperlink r:id="rId84">
        <w:r>
          <w:rPr>
            <w:color w:val="226D85"/>
            <w:u w:val="single"/>
          </w:rPr>
          <w:t>[R008]</w:t>
        </w:r>
      </w:hyperlink>
      <w:r>
        <w:t xml:space="preserve"> </w:t>
      </w:r>
      <w:hyperlink r:id="rId26">
        <w:r>
          <w:rPr>
            <w:color w:val="226D85"/>
            <w:u w:val="single"/>
          </w:rPr>
          <w:t>[R059]</w:t>
        </w:r>
      </w:hyperlink>
      <w:r>
        <w:t xml:space="preserve"> </w:t>
      </w:r>
      <w:hyperlink r:id="rId85">
        <w:r>
          <w:rPr>
            <w:color w:val="226D85"/>
            <w:u w:val="single"/>
          </w:rPr>
          <w:t>[R060]</w:t>
        </w:r>
      </w:hyperlink>
      <w:r>
        <w:t xml:space="preserve"> </w:t>
      </w:r>
      <w:hyperlink r:id="rId86">
        <w:r>
          <w:rPr>
            <w:color w:val="226D85"/>
            <w:u w:val="single"/>
          </w:rPr>
          <w:t>[R061]</w:t>
        </w:r>
      </w:hyperlink>
      <w:r/>
    </w:p>
    <w:p>
      <w:r>
        <w:t xml:space="preserve">Входящий источник Sandhinirmocana доступен в переводе John P. Keenan у BDK; его же Summary of the Great Vehicle представляет линию Paramārtha T1593, которую следует сопоставлять с Xuanzang T1594. Эти два BDK PDF предложены официальными карточками, но их байты не были прочитаны инструментом. Сохранены и страницы печатного приобретения. </w:t>
      </w:r>
      <w:hyperlink r:id="rId87">
        <w:r>
          <w:rPr>
            <w:color w:val="226D85"/>
            <w:u w:val="single"/>
          </w:rPr>
          <w:t>[R136]</w:t>
        </w:r>
      </w:hyperlink>
      <w:r>
        <w:t xml:space="preserve"> </w:t>
      </w:r>
      <w:hyperlink r:id="rId88">
        <w:r>
          <w:rPr>
            <w:color w:val="226D85"/>
            <w:u w:val="single"/>
          </w:rPr>
          <w:t>[R135]</w:t>
        </w:r>
      </w:hyperlink>
      <w:r>
        <w:t xml:space="preserve"> </w:t>
      </w:r>
      <w:hyperlink r:id="rId25">
        <w:r>
          <w:rPr>
            <w:color w:val="226D85"/>
            <w:u w:val="single"/>
          </w:rPr>
          <w:t>[R057]</w:t>
        </w:r>
      </w:hyperlink>
      <w:r>
        <w:t xml:space="preserve"> </w:t>
      </w:r>
      <w:hyperlink r:id="rId89">
        <w:r>
          <w:rPr>
            <w:color w:val="226D85"/>
            <w:u w:val="single"/>
          </w:rPr>
          <w:t>[R058]</w:t>
        </w:r>
      </w:hyperlink>
      <w:r/>
    </w:p>
    <w:p>
      <w:r>
        <w:t xml:space="preserve">Для санскритской основы Triṃśikā найден GRETIL с предметной лицензией. Для поздней рецепции полезен Ryōhen: Observing the Mind, Awakening from a Dream, BDK / Charles Muller — конкретный XIII-вековый Hossō-текст, использующий китайскую схоластическую линию. Полный перевод всей Yogācārabhūmi в этом поиске не установлен; отдельный перевод главы не должен замещать китайский корпус из ста цзюаней. </w:t>
      </w:r>
      <w:hyperlink r:id="rId90">
        <w:r>
          <w:rPr>
            <w:color w:val="226D85"/>
            <w:u w:val="single"/>
          </w:rPr>
          <w:t>[R075]</w:t>
        </w:r>
      </w:hyperlink>
      <w:r>
        <w:t xml:space="preserve"> </w:t>
      </w:r>
      <w:hyperlink r:id="rId45">
        <w:r>
          <w:rPr>
            <w:color w:val="226D85"/>
            <w:u w:val="single"/>
          </w:rPr>
          <w:t>[R108]</w:t>
        </w:r>
      </w:hyperlink>
      <w:r>
        <w:t xml:space="preserve"> </w:t>
      </w:r>
      <w:hyperlink r:id="rId91">
        <w:r>
          <w:rPr>
            <w:color w:val="226D85"/>
            <w:u w:val="single"/>
          </w:rPr>
          <w:t>[R019]</w:t>
        </w:r>
      </w:hyperlink>
      <w:r/>
    </w:p>
    <w:p>
      <w:pPr>
        <w:pStyle w:val="Heading2"/>
      </w:pPr>
      <w:r>
        <w:t>Pure Land: сутры, китайские комментарии и прямое продолжение</w:t>
      </w:r>
    </w:p>
    <w:p>
      <w:r>
        <w:t xml:space="preserve">Три основные сутры удобно читать в BDK Three Pure Land Sutras, Inagaki–Stewart. Для ранней истории имеются китайские T360–T363 и малая версия Xuanzang T367; для языка оригинала — GRETIL большой и малой Sukhāvatī. Старые английские переводы Müller и Takakusu найдены в SBE 49 (1894), в университетском скане: релевантна часть II, а не автоматически всё содержимое тома. </w:t>
      </w:r>
      <w:hyperlink r:id="rId92">
        <w:r>
          <w:rPr>
            <w:color w:val="226D85"/>
            <w:u w:val="single"/>
          </w:rPr>
          <w:t>[R039]</w:t>
        </w:r>
      </w:hyperlink>
      <w:r>
        <w:t xml:space="preserve"> </w:t>
      </w:r>
      <w:hyperlink r:id="rId93">
        <w:r>
          <w:rPr>
            <w:color w:val="226D85"/>
            <w:u w:val="single"/>
          </w:rPr>
          <w:t>[R009]</w:t>
        </w:r>
      </w:hyperlink>
      <w:r>
        <w:t xml:space="preserve"> </w:t>
      </w:r>
      <w:hyperlink r:id="rId34">
        <w:r>
          <w:rPr>
            <w:color w:val="226D85"/>
            <w:u w:val="single"/>
          </w:rPr>
          <w:t>[R101]</w:t>
        </w:r>
      </w:hyperlink>
      <w:r>
        <w:t xml:space="preserve"> </w:t>
      </w:r>
      <w:hyperlink r:id="rId35">
        <w:r>
          <w:rPr>
            <w:color w:val="226D85"/>
            <w:u w:val="single"/>
          </w:rPr>
          <w:t>[R102]</w:t>
        </w:r>
      </w:hyperlink>
      <w:r>
        <w:t xml:space="preserve"> </w:t>
      </w:r>
      <w:hyperlink r:id="rId94">
        <w:r>
          <w:rPr>
            <w:color w:val="226D85"/>
            <w:u w:val="single"/>
          </w:rPr>
          <w:t>[R103]</w:t>
        </w:r>
      </w:hyperlink>
      <w:r>
        <w:t xml:space="preserve"> </w:t>
      </w:r>
      <w:hyperlink r:id="rId95">
        <w:r>
          <w:rPr>
            <w:color w:val="226D85"/>
            <w:u w:val="single"/>
          </w:rPr>
          <w:t>[R088]</w:t>
        </w:r>
      </w:hyperlink>
      <w:r>
        <w:t xml:space="preserve"> </w:t>
      </w:r>
      <w:hyperlink r:id="rId96">
        <w:r>
          <w:rPr>
            <w:color w:val="226D85"/>
            <w:u w:val="single"/>
          </w:rPr>
          <w:t>[R073]</w:t>
        </w:r>
      </w:hyperlink>
      <w:r>
        <w:t xml:space="preserve"> </w:t>
      </w:r>
      <w:hyperlink r:id="rId97">
        <w:r>
          <w:rPr>
            <w:color w:val="226D85"/>
            <w:u w:val="single"/>
          </w:rPr>
          <w:t>[R074]</w:t>
        </w:r>
      </w:hyperlink>
      <w:r>
        <w:t xml:space="preserve"> </w:t>
      </w:r>
      <w:hyperlink r:id="rId48">
        <w:r>
          <w:rPr>
            <w:color w:val="226D85"/>
            <w:u w:val="single"/>
          </w:rPr>
          <w:t>[R113]</w:t>
        </w:r>
      </w:hyperlink>
      <w:r/>
    </w:p>
    <w:p>
      <w:r>
        <w:t xml:space="preserve">Для китайской аргументации центральны Tanluan, Daochuo и Shandao. Помимо оригиналов, открыты официальные современные английские PDF: Commentary on the Treatise on Rebirth; Collection on the Land of Peace and Joy; Commentary on the Contemplation Sutra, in Four Fascicles. Последний файл — редакция, размещённая в 2026 году. Пометы издателя о бесплатном распространении и запрете продажи не истолкованы как стандартная открытая лицензия на производные материалы ToS. </w:t>
      </w:r>
      <w:hyperlink r:id="rId98">
        <w:r>
          <w:rPr>
            <w:color w:val="226D85"/>
            <w:u w:val="single"/>
          </w:rPr>
          <w:t>[R012]</w:t>
        </w:r>
      </w:hyperlink>
      <w:r>
        <w:t xml:space="preserve"> </w:t>
      </w:r>
      <w:hyperlink r:id="rId99">
        <w:r>
          <w:rPr>
            <w:color w:val="226D85"/>
            <w:u w:val="single"/>
          </w:rPr>
          <w:t>[R013]</w:t>
        </w:r>
      </w:hyperlink>
      <w:r>
        <w:t xml:space="preserve"> </w:t>
      </w:r>
      <w:hyperlink r:id="rId100">
        <w:r>
          <w:rPr>
            <w:color w:val="226D85"/>
            <w:u w:val="single"/>
          </w:rPr>
          <w:t>[R014]</w:t>
        </w:r>
      </w:hyperlink>
      <w:r>
        <w:t xml:space="preserve"> </w:t>
      </w:r>
      <w:hyperlink r:id="rId101">
        <w:r>
          <w:rPr>
            <w:color w:val="226D85"/>
            <w:u w:val="single"/>
          </w:rPr>
          <w:t>[R093]</w:t>
        </w:r>
      </w:hyperlink>
      <w:r>
        <w:t xml:space="preserve"> </w:t>
      </w:r>
      <w:hyperlink r:id="rId102">
        <w:r>
          <w:rPr>
            <w:color w:val="226D85"/>
            <w:u w:val="single"/>
          </w:rPr>
          <w:t>[R094]</w:t>
        </w:r>
      </w:hyperlink>
      <w:r>
        <w:t xml:space="preserve"> </w:t>
      </w:r>
      <w:hyperlink r:id="rId103">
        <w:r>
          <w:rPr>
            <w:color w:val="226D85"/>
            <w:u w:val="single"/>
          </w:rPr>
          <w:t>[R092]</w:t>
        </w:r>
      </w:hyperlink>
      <w:r/>
    </w:p>
    <w:p>
      <w:r>
        <w:t xml:space="preserve">Для текстологического сопоставления существенны платный The Land of Bliss Luis O. Gómez, китайский комментарий Jingying Huiyuan и ограниченный Google Books preview его английского перевода Kenneth K. Tanaka. Для поздней прямой рецепции имеются BDK Hōnen и Shinran; Ouyi Zhixu представлен китайским T1762. Все они сохранены именно как связанные произведения, а не исключены из-за поздних дат. </w:t>
      </w:r>
      <w:hyperlink r:id="rId104">
        <w:r>
          <w:rPr>
            <w:color w:val="226D85"/>
            <w:u w:val="single"/>
          </w:rPr>
          <w:t>[R119]</w:t>
        </w:r>
      </w:hyperlink>
      <w:r>
        <w:t xml:space="preserve"> </w:t>
      </w:r>
      <w:hyperlink r:id="rId29">
        <w:r>
          <w:rPr>
            <w:color w:val="226D85"/>
            <w:u w:val="single"/>
          </w:rPr>
          <w:t>[R137]</w:t>
        </w:r>
      </w:hyperlink>
      <w:r>
        <w:t xml:space="preserve"> </w:t>
      </w:r>
      <w:hyperlink r:id="rId105">
        <w:r>
          <w:rPr>
            <w:color w:val="226D85"/>
            <w:u w:val="single"/>
          </w:rPr>
          <w:t>[R139]</w:t>
        </w:r>
      </w:hyperlink>
      <w:r>
        <w:t xml:space="preserve"> </w:t>
      </w:r>
      <w:hyperlink r:id="rId44">
        <w:r>
          <w:rPr>
            <w:color w:val="226D85"/>
            <w:u w:val="single"/>
          </w:rPr>
          <w:t>[R107]</w:t>
        </w:r>
      </w:hyperlink>
      <w:r>
        <w:t xml:space="preserve"> </w:t>
      </w:r>
      <w:hyperlink r:id="rId43">
        <w:r>
          <w:rPr>
            <w:color w:val="226D85"/>
            <w:u w:val="single"/>
          </w:rPr>
          <w:t>[R106]</w:t>
        </w:r>
      </w:hyperlink>
      <w:r>
        <w:t xml:space="preserve"> </w:t>
      </w:r>
      <w:hyperlink r:id="rId42">
        <w:r>
          <w:rPr>
            <w:color w:val="226D85"/>
            <w:u w:val="single"/>
          </w:rPr>
          <w:t>[R087]</w:t>
        </w:r>
      </w:hyperlink>
      <w:r/>
    </w:p>
    <w:p>
      <w:pPr>
        <w:pStyle w:val="Heading2"/>
      </w:pPr>
      <w:r>
        <w:t>Каталоги, материальная передача и русские переводы</w:t>
      </w:r>
    </w:p>
    <w:p>
      <w:r>
        <w:t xml:space="preserve">В китайском библиографическом ряду найдены Sengyou T2145, Fajing T2146, Yancong T2147, Daoxuan T2149 и Zhisheng T2154. Каталоги с похожими названиями не слиты: T2146 относится к Fajing, T2147 — к Yancong. Hongming ji имеет современный английский перевод в двух томах BDK, отдельно от китайского XML. </w:t>
      </w:r>
      <w:hyperlink r:id="rId39">
        <w:r>
          <w:rPr>
            <w:color w:val="226D85"/>
            <w:u w:val="single"/>
          </w:rPr>
          <w:t>[R015]</w:t>
        </w:r>
      </w:hyperlink>
      <w:r>
        <w:t xml:space="preserve"> </w:t>
      </w:r>
      <w:hyperlink r:id="rId106">
        <w:r>
          <w:rPr>
            <w:color w:val="226D85"/>
            <w:u w:val="single"/>
          </w:rPr>
          <w:t>[R098]</w:t>
        </w:r>
      </w:hyperlink>
      <w:r>
        <w:t xml:space="preserve"> </w:t>
      </w:r>
      <w:hyperlink r:id="rId107">
        <w:r>
          <w:rPr>
            <w:color w:val="226D85"/>
            <w:u w:val="single"/>
          </w:rPr>
          <w:t>[R099]</w:t>
        </w:r>
      </w:hyperlink>
      <w:r>
        <w:t xml:space="preserve"> </w:t>
      </w:r>
      <w:hyperlink r:id="rId108">
        <w:r>
          <w:rPr>
            <w:color w:val="226D85"/>
            <w:u w:val="single"/>
          </w:rPr>
          <w:t>[R100]</w:t>
        </w:r>
      </w:hyperlink>
      <w:r>
        <w:t xml:space="preserve"> </w:t>
      </w:r>
      <w:hyperlink r:id="rId109">
        <w:r>
          <w:rPr>
            <w:color w:val="226D85"/>
            <w:u w:val="single"/>
          </w:rPr>
          <w:t>[R020]</w:t>
        </w:r>
      </w:hyperlink>
      <w:r>
        <w:t xml:space="preserve"> </w:t>
      </w:r>
      <w:hyperlink r:id="rId110">
        <w:r>
          <w:rPr>
            <w:color w:val="226D85"/>
            <w:u w:val="single"/>
          </w:rPr>
          <w:t>[R111]</w:t>
        </w:r>
      </w:hyperlink>
      <w:r>
        <w:t xml:space="preserve"> </w:t>
      </w:r>
      <w:hyperlink r:id="rId111">
        <w:r>
          <w:rPr>
            <w:color w:val="226D85"/>
            <w:u w:val="single"/>
          </w:rPr>
          <w:t>[R112]</w:t>
        </w:r>
      </w:hyperlink>
      <w:r/>
    </w:p>
    <w:p>
      <w:r>
        <w:t xml:space="preserve">Toyo Bunko — лучший дальнейший указатель от канонического номера к основным и сверочным экземплярам; CBC@ — к исследованиям спорной атрибуции. Обе базы полезны, но не заменяют предметный текст или окончательное филологическое доказательство. Для ксилографии 868 года проверены карточка IDP и опубликованный IIIF manifest; для Wofoyuan — конкретная издательская карточка научного тома с фотографиями, эстампажами и разночтениями. </w:t>
      </w:r>
      <w:hyperlink r:id="rId112">
        <w:r>
          <w:rPr>
            <w:color w:val="226D85"/>
            <w:u w:val="single"/>
          </w:rPr>
          <w:t>[R131]</w:t>
        </w:r>
      </w:hyperlink>
      <w:r>
        <w:t xml:space="preserve"> </w:t>
      </w:r>
      <w:hyperlink r:id="rId113">
        <w:r>
          <w:rPr>
            <w:color w:val="226D85"/>
            <w:u w:val="single"/>
          </w:rPr>
          <w:t>[R132]</w:t>
        </w:r>
      </w:hyperlink>
      <w:r>
        <w:t xml:space="preserve"> </w:t>
      </w:r>
      <w:hyperlink r:id="rId12">
        <w:r>
          <w:rPr>
            <w:color w:val="226D85"/>
            <w:u w:val="single"/>
          </w:rPr>
          <w:t>[R080]</w:t>
        </w:r>
      </w:hyperlink>
      <w:r>
        <w:t xml:space="preserve"> </w:t>
      </w:r>
      <w:hyperlink r:id="rId13">
        <w:r>
          <w:rPr>
            <w:color w:val="226D85"/>
            <w:u w:val="single"/>
          </w:rPr>
          <w:t>[R125]</w:t>
        </w:r>
      </w:hyperlink>
      <w:r/>
    </w:p>
    <w:p>
      <w:r>
        <w:t xml:space="preserve">Русскоязычный результат не ограничивается библиографией: ИВР РАН размещает открывающиеся PDF обеих частей перевода «Трактата о пробуждении веры в Махаяну» Торчинова и «О началах человека» Zongmi. Это предпочтительный институциональный путь вместо неавторизованных зеркал. Для перевода Lotus Игнатовича 1998 года найдена открытая карточка легального продавца, но экземпляр отсутствует, а институциональные карточки не открылись; кандидат и точные маршруты сохранены в G19, не выданы за доступный полный PDF. </w:t>
      </w:r>
      <w:hyperlink r:id="rId49">
        <w:r>
          <w:rPr>
            <w:color w:val="226D85"/>
            <w:u w:val="single"/>
          </w:rPr>
          <w:t>[R126]</w:t>
        </w:r>
      </w:hyperlink>
      <w:r>
        <w:t xml:space="preserve"> </w:t>
      </w:r>
      <w:hyperlink r:id="rId114">
        <w:r>
          <w:rPr>
            <w:color w:val="226D85"/>
            <w:u w:val="single"/>
          </w:rPr>
          <w:t>[R127]</w:t>
        </w:r>
      </w:hyperlink>
      <w:r>
        <w:t xml:space="preserve"> </w:t>
      </w:r>
      <w:hyperlink r:id="rId81">
        <w:r>
          <w:rPr>
            <w:color w:val="226D85"/>
            <w:u w:val="single"/>
          </w:rPr>
          <w:t>[R128]</w:t>
        </w:r>
      </w:hyperlink>
      <w:r/>
    </w:p>
    <w:p>
      <w:pPr>
        <w:pStyle w:val="Heading1"/>
      </w:pPr>
      <w:r>
        <w:t>4. Карта прав и практического использования</w:t>
      </w:r>
    </w:p>
    <w:p>
      <w:r>
        <w:t>Теги в XLSX действуют только в пределах rights_scope и coverage. FREE_DOWNLOAD означает наличие законного пути получения конкретного файла, а не разрешение на его публичную публикацию. LOCAL_RESEARCH_COPY не разрешает общую серверную библиотеку для посетителей. FULLTEXT_INDEX_OK и EMBEDDINGS_OK не объединены с OCR_OK и не означают разрешения публиковать обученные модели или реконструируемые копии защищённых текстов.</w:t>
      </w:r>
    </w:p>
    <w:tbl>
      <w:tblPr>
        <w:tblW w:type="auto" w:w="0"/>
        <w:jc w:val="center"/>
        <w:tblLayout w:type="fixed"/>
        <w:tblLook w:firstColumn="1" w:firstRow="1" w:lastColumn="0" w:lastRow="0" w:noHBand="0" w:noVBand="1" w:val="04A0"/>
      </w:tblPr>
      <w:tblGrid>
        <w:gridCol w:w="3251"/>
        <w:gridCol w:w="3251"/>
        <w:gridCol w:w="3251"/>
      </w:tblGrid>
      <w:tr>
        <w:trPr>
          <w:cantSplit/>
          <w:tblHeader/>
        </w:trPr>
        <w:tc>
          <w:tcPr>
            <w:tcW w:type="dxa" w:w="2268"/>
            <w:vAlign w:val="top"/>
            <w:shd w:fill="173F4F"/>
          </w:tcPr>
          <w:p>
            <w:pPr>
              <w:spacing w:after="80" w:before="60"/>
            </w:pPr>
            <w:r>
              <w:rPr>
                <w:b/>
                <w:color w:val="FFFFFF"/>
                <w:sz w:val="18"/>
              </w:rPr>
              <w:t>Слой</w:t>
            </w:r>
          </w:p>
        </w:tc>
        <w:tc>
          <w:tcPr>
            <w:tcW w:type="dxa" w:w="3742"/>
            <w:vAlign w:val="top"/>
            <w:shd w:fill="173F4F"/>
          </w:tcPr>
          <w:p>
            <w:pPr>
              <w:spacing w:after="80" w:before="60"/>
            </w:pPr>
            <w:r>
              <w:rPr>
                <w:b/>
                <w:color w:val="FFFFFF"/>
                <w:sz w:val="18"/>
              </w:rPr>
              <w:t>Практический режим ToS</w:t>
            </w:r>
          </w:p>
        </w:tc>
        <w:tc>
          <w:tcPr>
            <w:tcW w:type="dxa" w:w="3742"/>
            <w:vAlign w:val="top"/>
            <w:shd w:fill="173F4F"/>
          </w:tcPr>
          <w:p>
            <w:pPr>
              <w:spacing w:after="80" w:before="60"/>
            </w:pPr>
            <w:r>
              <w:rPr>
                <w:b/>
                <w:color w:val="FFFFFF"/>
                <w:sz w:val="18"/>
              </w:rPr>
              <w:t>Главное ограничение</w:t>
            </w:r>
          </w:p>
        </w:tc>
      </w:tr>
      <w:tr>
        <w:trPr>
          <w:cantSplit/>
        </w:trPr>
        <w:tc>
          <w:tcPr>
            <w:tcW w:type="dxa" w:w="2268"/>
            <w:vAlign w:val="top"/>
            <w:shd w:fill="FFFFFF"/>
          </w:tcPr>
          <w:p>
            <w:pPr>
              <w:spacing w:after="80" w:before="60"/>
            </w:pPr>
            <w:r>
              <w:rPr>
                <w:sz w:val="18"/>
              </w:rPr>
              <w:t>Met OA, три Lotus-свидетеля</w:t>
            </w:r>
          </w:p>
        </w:tc>
        <w:tc>
          <w:tcPr>
            <w:tcW w:type="dxa" w:w="3742"/>
            <w:vAlign w:val="top"/>
            <w:shd w:fill="FFFFFF"/>
          </w:tcPr>
          <w:p>
            <w:pPr>
              <w:spacing w:after="80" w:before="60"/>
            </w:pPr>
            <w:r>
              <w:rPr>
                <w:sz w:val="18"/>
              </w:rPr>
              <w:t>CC0-изображения/базовые данные: зеркало, OCR, индекс, ограниченный собственный перевод.</w:t>
            </w:r>
          </w:p>
        </w:tc>
        <w:tc>
          <w:tcPr>
            <w:tcW w:type="dxa" w:w="3742"/>
            <w:vAlign w:val="top"/>
            <w:shd w:fill="FFFFFF"/>
          </w:tcPr>
          <w:p>
            <w:pPr>
              <w:spacing w:after="80" w:before="60"/>
            </w:pPr>
            <w:r>
              <w:rPr>
                <w:sz w:val="18"/>
              </w:rPr>
              <w:t>Только видимый текст данного тома, главы или фрагмента; не весь сайт и не полный Lotus.</w:t>
            </w:r>
          </w:p>
        </w:tc>
      </w:tr>
      <w:tr>
        <w:trPr>
          <w:cantSplit/>
        </w:trPr>
        <w:tc>
          <w:tcPr>
            <w:tcW w:type="dxa" w:w="2268"/>
            <w:vAlign w:val="top"/>
            <w:shd w:fill="F0F5F6"/>
          </w:tcPr>
          <w:p>
            <w:pPr>
              <w:spacing w:after="80" w:before="60"/>
            </w:pPr>
            <w:r>
              <w:rPr>
                <w:sz w:val="18"/>
              </w:rPr>
              <w:t>CBETA, проверенные T-XML</w:t>
            </w:r>
          </w:p>
        </w:tc>
        <w:tc>
          <w:tcPr>
            <w:tcW w:type="dxa" w:w="3742"/>
            <w:vAlign w:val="top"/>
            <w:shd w:fill="F0F5F6"/>
          </w:tcPr>
          <w:p>
            <w:pPr>
              <w:spacing w:after="80" w:before="60"/>
            </w:pPr>
            <w:r>
              <w:rPr>
                <w:sz w:val="18"/>
              </w:rPr>
              <w:t>Некоммерческое цифровое зеркало и индекс с атрибуцией/SA/версией.</w:t>
            </w:r>
          </w:p>
        </w:tc>
        <w:tc>
          <w:tcPr>
            <w:tcW w:type="dxa" w:w="3742"/>
            <w:vAlign w:val="top"/>
            <w:shd w:fill="F0F5F6"/>
          </w:tcPr>
          <w:p>
            <w:pPr>
              <w:spacing w:after="80" w:before="60"/>
            </w:pPr>
            <w:r>
              <w:rPr>
                <w:sz w:val="18"/>
              </w:rPr>
              <w:t>Категория A; заголовок и условия сохраняются. Перевод, смысловые изменения и печать — отдельная проверка.</w:t>
            </w:r>
          </w:p>
        </w:tc>
      </w:tr>
      <w:tr>
        <w:trPr>
          <w:cantSplit/>
        </w:trPr>
        <w:tc>
          <w:tcPr>
            <w:tcW w:type="dxa" w:w="2268"/>
            <w:vAlign w:val="top"/>
            <w:shd w:fill="FFFFFF"/>
          </w:tcPr>
          <w:p>
            <w:pPr>
              <w:spacing w:after="80" w:before="60"/>
            </w:pPr>
            <w:r>
              <w:rPr>
                <w:sz w:val="18"/>
              </w:rPr>
              <w:t>GRETIL, шесть e-text</w:t>
            </w:r>
          </w:p>
        </w:tc>
        <w:tc>
          <w:tcPr>
            <w:tcW w:type="dxa" w:w="3742"/>
            <w:vAlign w:val="top"/>
            <w:shd w:fill="FFFFFF"/>
          </w:tcPr>
          <w:p>
            <w:pPr>
              <w:spacing w:after="80" w:before="60"/>
            </w:pPr>
            <w:r>
              <w:rPr>
                <w:sz w:val="18"/>
              </w:rPr>
              <w:t>CC BY-NC-SA 4.0: NC-копия, индекс, производный перевод указанного оригинального текста.</w:t>
            </w:r>
          </w:p>
        </w:tc>
        <w:tc>
          <w:tcPr>
            <w:tcW w:type="dxa" w:w="3742"/>
            <w:vAlign w:val="top"/>
            <w:shd w:fill="FFFFFF"/>
          </w:tcPr>
          <w:p>
            <w:pPr>
              <w:spacing w:after="80" w:before="60"/>
            </w:pPr>
            <w:r>
              <w:rPr>
                <w:sz w:val="18"/>
              </w:rPr>
              <w:t>Не весь печатный аппарат, не факсимиле других владельцев; NC, SA, атрибуция.</w:t>
            </w:r>
          </w:p>
        </w:tc>
      </w:tr>
      <w:tr>
        <w:trPr>
          <w:cantSplit/>
        </w:trPr>
        <w:tc>
          <w:tcPr>
            <w:tcW w:type="dxa" w:w="2268"/>
            <w:vAlign w:val="top"/>
            <w:shd w:fill="F0F5F6"/>
          </w:tcPr>
          <w:p>
            <w:pPr>
              <w:spacing w:after="80" w:before="60"/>
            </w:pPr>
            <w:r>
              <w:rPr>
                <w:sz w:val="18"/>
              </w:rPr>
              <w:t>BDK; Kalavinka; Pure Land Publishing</w:t>
            </w:r>
          </w:p>
        </w:tc>
        <w:tc>
          <w:tcPr>
            <w:tcW w:type="dxa" w:w="3742"/>
            <w:vAlign w:val="top"/>
            <w:shd w:fill="F0F5F6"/>
          </w:tcPr>
          <w:p>
            <w:pPr>
              <w:spacing w:after="80" w:before="60"/>
            </w:pPr>
            <w:r>
              <w:rPr>
                <w:sz w:val="18"/>
              </w:rPr>
              <w:t>Внешняя ссылка, предлагаемый PDF, ограниченная исследовательская копия там, где это разрешено.</w:t>
            </w:r>
          </w:p>
        </w:tc>
        <w:tc>
          <w:tcPr>
            <w:tcW w:type="dxa" w:w="3742"/>
            <w:vAlign w:val="top"/>
            <w:shd w:fill="F0F5F6"/>
          </w:tcPr>
          <w:p>
            <w:pPr>
              <w:spacing w:after="80" w:before="60"/>
            </w:pPr>
            <w:r>
              <w:rPr>
                <w:sz w:val="18"/>
              </w:rPr>
              <w:t>Не выводить право общего зеркала, OCR/индексации и производных из бесплатности.</w:t>
            </w:r>
          </w:p>
        </w:tc>
      </w:tr>
      <w:tr>
        <w:trPr>
          <w:cantSplit/>
        </w:trPr>
        <w:tc>
          <w:tcPr>
            <w:tcW w:type="dxa" w:w="2268"/>
            <w:vAlign w:val="top"/>
            <w:shd w:fill="FFFFFF"/>
          </w:tcPr>
          <w:p>
            <w:pPr>
              <w:spacing w:after="80" w:before="60"/>
            </w:pPr>
            <w:r>
              <w:rPr>
                <w:sz w:val="18"/>
              </w:rPr>
              <w:t>SAT и современные платные издания</w:t>
            </w:r>
          </w:p>
        </w:tc>
        <w:tc>
          <w:tcPr>
            <w:tcW w:type="dxa" w:w="3742"/>
            <w:vAlign w:val="top"/>
            <w:shd w:fill="FFFFFF"/>
          </w:tcPr>
          <w:p>
            <w:pPr>
              <w:spacing w:after="80" w:before="60"/>
            </w:pPr>
            <w:r>
              <w:rPr>
                <w:sz w:val="18"/>
              </w:rPr>
              <w:t>Внешнее чтение, preview или покупка.</w:t>
            </w:r>
          </w:p>
        </w:tc>
        <w:tc>
          <w:tcPr>
            <w:tcW w:type="dxa" w:w="3742"/>
            <w:vAlign w:val="top"/>
            <w:shd w:fill="FFFFFF"/>
          </w:tcPr>
          <w:p>
            <w:pPr>
              <w:spacing w:after="80" w:before="60"/>
            </w:pPr>
            <w:r>
              <w:rPr>
                <w:sz w:val="18"/>
              </w:rPr>
              <w:t>SAT запрещает перераспространение базы без соответствующего разрешения; лицензии CBETA не переносятся.</w:t>
            </w:r>
          </w:p>
        </w:tc>
      </w:tr>
      <w:tr>
        <w:trPr>
          <w:cantSplit/>
        </w:trPr>
        <w:tc>
          <w:tcPr>
            <w:tcW w:type="dxa" w:w="2268"/>
            <w:vAlign w:val="top"/>
            <w:shd w:fill="F0F5F6"/>
          </w:tcPr>
          <w:p>
            <w:pPr>
              <w:spacing w:after="80" w:before="60"/>
            </w:pPr>
            <w:r>
              <w:rPr>
                <w:sz w:val="18"/>
              </w:rPr>
              <w:t>IDP, каменные сутры, внешние каталоги</w:t>
            </w:r>
          </w:p>
        </w:tc>
        <w:tc>
          <w:tcPr>
            <w:tcW w:type="dxa" w:w="3742"/>
            <w:vAlign w:val="top"/>
            <w:shd w:fill="F0F5F6"/>
          </w:tcPr>
          <w:p>
            <w:pPr>
              <w:spacing w:after="80" w:before="60"/>
            </w:pPr>
            <w:r>
              <w:rPr>
                <w:sz w:val="18"/>
              </w:rPr>
              <w:t>Предметное чтение/навигация; ручная проверка цифровых компонентов.</w:t>
            </w:r>
          </w:p>
        </w:tc>
        <w:tc>
          <w:tcPr>
            <w:tcW w:type="dxa" w:w="3742"/>
            <w:vAlign w:val="top"/>
            <w:shd w:fill="F0F5F6"/>
          </w:tcPr>
          <w:p>
            <w:pPr>
              <w:spacing w:after="80" w:before="60"/>
            </w:pPr>
            <w:r>
              <w:rPr>
                <w:sz w:val="18"/>
              </w:rPr>
              <w:t>Текст, метаданные, фотографии, эстампажи и внешние IIIF могут иметь разные права.</w:t>
            </w:r>
          </w:p>
        </w:tc>
      </w:tr>
    </w:tbl>
    <w:p>
      <w:r>
        <w:t xml:space="preserve">Потенциально наиболее свободный слой — OA-фотографии трёх предметов Met: музейная политика CC0 распространяется на помеченные открытые изображения и базовые сведения. В реестре MIRROR_OK/OCR_OK ограничены этими предметами. Для R077 карточка и её статус подтверждены, но файл первого изображения не получен: правовая определённость и техническая комплектность — разные показатели. </w:t>
      </w:r>
      <w:hyperlink r:id="rId46">
        <w:r>
          <w:rPr>
            <w:color w:val="226D85"/>
            <w:u w:val="single"/>
          </w:rPr>
          <w:t>[R077]</w:t>
        </w:r>
      </w:hyperlink>
      <w:r>
        <w:t xml:space="preserve"> </w:t>
      </w:r>
      <w:hyperlink r:id="rId53">
        <w:r>
          <w:rPr>
            <w:color w:val="226D85"/>
            <w:u w:val="single"/>
          </w:rPr>
          <w:t>[R078]</w:t>
        </w:r>
      </w:hyperlink>
      <w:r>
        <w:t xml:space="preserve"> </w:t>
      </w:r>
      <w:hyperlink r:id="rId54">
        <w:r>
          <w:rPr>
            <w:color w:val="226D85"/>
            <w:u w:val="single"/>
          </w:rPr>
          <w:t>[R079]</w:t>
        </w:r>
      </w:hyperlink>
      <w:r>
        <w:t xml:space="preserve"> </w:t>
      </w:r>
      <w:hyperlink r:id="rId115">
        <w:r>
          <w:rPr>
            <w:color w:val="226D85"/>
            <w:u w:val="single"/>
          </w:rPr>
          <w:t>[П5]</w:t>
        </w:r>
      </w:hyperlink>
      <w:r/>
    </w:p>
    <w:p>
      <w:r>
        <w:t xml:space="preserve">Для некоммерческой цифровой библиотеки существенно шире слой CBETA и GRETIL. В CBETA подтверждено включение Taishō в категорию A; современные собрания категории B, в частности Yanpei, не получают ту же лицензию. GRETIL публикует лицензию непосредственно в заголовке каждого включённого e-text. Атрибуция, ShareAlike и сохранение происхождения не отменяются тем, что ToS не продаёт книги. </w:t>
      </w:r>
      <w:hyperlink r:id="rId116">
        <w:r>
          <w:rPr>
            <w:color w:val="226D85"/>
            <w:u w:val="single"/>
          </w:rPr>
          <w:t>[П1]</w:t>
        </w:r>
      </w:hyperlink>
      <w:r>
        <w:t xml:space="preserve"> </w:t>
      </w:r>
      <w:hyperlink r:id="rId117">
        <w:r>
          <w:rPr>
            <w:color w:val="226D85"/>
            <w:u w:val="single"/>
          </w:rPr>
          <w:t>[П2]</w:t>
        </w:r>
      </w:hyperlink>
      <w:r>
        <w:t xml:space="preserve"> </w:t>
      </w:r>
      <w:hyperlink r:id="rId33">
        <w:r>
          <w:rPr>
            <w:color w:val="226D85"/>
            <w:u w:val="single"/>
          </w:rPr>
          <w:t>[R071]</w:t>
        </w:r>
      </w:hyperlink>
      <w:r>
        <w:t xml:space="preserve"> </w:t>
      </w:r>
      <w:hyperlink r:id="rId118">
        <w:r>
          <w:rPr>
            <w:color w:val="226D85"/>
            <w:u w:val="single"/>
          </w:rPr>
          <w:t>[R129]</w:t>
        </w:r>
      </w:hyperlink>
      <w:r/>
    </w:p>
    <w:p>
      <w:r>
        <w:t xml:space="preserve">Безусловного блока UNCHANGED_ONLY для самостоятельного зеркалирования защищённых современных переводов здесь не установлено. Встречающиеся требования не менять содержание не равны лицензии CC BY-ND, а дополнительный запрет модификаций в некоторых BDK PDF не даёт автоматически разрешения публиковать их неизменёнными. Публичный mirror такого файла оставлен на ручную проверку, хотя чтение и предложенная загрузка сохранены. </w:t>
      </w:r>
      <w:hyperlink r:id="rId76">
        <w:r>
          <w:rPr>
            <w:color w:val="226D85"/>
            <w:u w:val="single"/>
          </w:rPr>
          <w:t>[R035]</w:t>
        </w:r>
      </w:hyperlink>
      <w:r>
        <w:t xml:space="preserve"> </w:t>
      </w:r>
      <w:hyperlink r:id="rId66">
        <w:r>
          <w:rPr>
            <w:color w:val="226D85"/>
            <w:u w:val="single"/>
          </w:rPr>
          <w:t>[R109]</w:t>
        </w:r>
      </w:hyperlink>
      <w:r>
        <w:t xml:space="preserve"> </w:t>
      </w:r>
      <w:hyperlink r:id="rId119">
        <w:r>
          <w:rPr>
            <w:color w:val="226D85"/>
            <w:u w:val="single"/>
          </w:rPr>
          <w:t>[П4]</w:t>
        </w:r>
      </w:hyperlink>
      <w:r/>
    </w:p>
    <w:p>
      <w:r>
        <w:t xml:space="preserve">Чистая основа собственного перевода явно обозначена в девяти маршрутах: шесть санскритских e-text GRETIL и три исторических китайских свидетеля Met. Для GRETIL применяются NC/SA и границы конкретного текста; для Met — только читаемые фрагменты данного свидетеля. Защищённые английские и русские переводы не становятся чистой основой только потому, что исходный трактат древний. По CBETA оригиналы найдены, но безусловный OWN_TRANSLATION_POSSIBLE не поставлен из-за необходимости отдельно разрешить применимость сопутствующих условий к новому переводу. </w:t>
      </w:r>
      <w:hyperlink r:id="rId33">
        <w:r>
          <w:rPr>
            <w:color w:val="226D85"/>
            <w:u w:val="single"/>
          </w:rPr>
          <w:t>[R071]</w:t>
        </w:r>
      </w:hyperlink>
      <w:r>
        <w:t xml:space="preserve"> </w:t>
      </w:r>
      <w:hyperlink r:id="rId51">
        <w:r>
          <w:rPr>
            <w:color w:val="226D85"/>
            <w:u w:val="single"/>
          </w:rPr>
          <w:t>[R072]</w:t>
        </w:r>
      </w:hyperlink>
      <w:r>
        <w:t xml:space="preserve"> </w:t>
      </w:r>
      <w:hyperlink r:id="rId96">
        <w:r>
          <w:rPr>
            <w:color w:val="226D85"/>
            <w:u w:val="single"/>
          </w:rPr>
          <w:t>[R073]</w:t>
        </w:r>
      </w:hyperlink>
      <w:r>
        <w:t xml:space="preserve"> </w:t>
      </w:r>
      <w:hyperlink r:id="rId97">
        <w:r>
          <w:rPr>
            <w:color w:val="226D85"/>
            <w:u w:val="single"/>
          </w:rPr>
          <w:t>[R074]</w:t>
        </w:r>
      </w:hyperlink>
      <w:r>
        <w:t xml:space="preserve"> </w:t>
      </w:r>
      <w:hyperlink r:id="rId90">
        <w:r>
          <w:rPr>
            <w:color w:val="226D85"/>
            <w:u w:val="single"/>
          </w:rPr>
          <w:t>[R075]</w:t>
        </w:r>
      </w:hyperlink>
      <w:r>
        <w:t xml:space="preserve"> </w:t>
      </w:r>
      <w:hyperlink r:id="rId74">
        <w:r>
          <w:rPr>
            <w:color w:val="226D85"/>
            <w:u w:val="single"/>
          </w:rPr>
          <w:t>[R076]</w:t>
        </w:r>
      </w:hyperlink>
      <w:r>
        <w:t xml:space="preserve"> </w:t>
      </w:r>
      <w:hyperlink r:id="rId116">
        <w:r>
          <w:rPr>
            <w:color w:val="226D85"/>
            <w:u w:val="single"/>
          </w:rPr>
          <w:t>[П1]</w:t>
        </w:r>
      </w:hyperlink>
      <w:r/>
    </w:p>
    <w:p>
      <w:pPr>
        <w:pStyle w:val="Heading1"/>
      </w:pPr>
      <w:r>
        <w:t>5. Характерные правовые и текстологические тонкости</w:t>
      </w:r>
    </w:p>
    <w:p>
      <w:pPr>
        <w:pStyle w:val="Heading2"/>
      </w:pPr>
      <w:r>
        <w:t>Оригинал, редакция, перевод, цифровой объект</w:t>
      </w:r>
    </w:p>
    <w:p>
      <w:r>
        <w:t>Древний китайский или санскритский текст и современная научная работа над ним — разные слои. В частности, текст Taishō в CBETA, аппарат аннотированного Swanson, английский Kalavinka и русский Торчинов не имеют общего статуса. Электронная транскрипция может быть лицензирована, а печатный аппарат, фото и перевод — нет. Поэтому URL чтения часто отличается от URL правового доказательства.</w:t>
      </w:r>
    </w:p>
    <w:p>
      <w:r>
        <w:t xml:space="preserve">Для старых сканов Internet Archive проверены происхождение и предметные метаданные, а не только наличие кнопки Download. Статус not in copyright / public-domain в контексте американской платформы не превращён в универсальное разрешение для всех юрисдикций. Public Domain как указание на статус произведения и CC0 как инструмент открытия цифровых изображений Met также не смешаны. </w:t>
      </w:r>
      <w:hyperlink r:id="rId47">
        <w:r>
          <w:rPr>
            <w:color w:val="226D85"/>
            <w:u w:val="single"/>
          </w:rPr>
          <w:t>[R096]</w:t>
        </w:r>
      </w:hyperlink>
      <w:r>
        <w:t xml:space="preserve"> </w:t>
      </w:r>
      <w:hyperlink r:id="rId48">
        <w:r>
          <w:rPr>
            <w:color w:val="226D85"/>
            <w:u w:val="single"/>
          </w:rPr>
          <w:t>[R113]</w:t>
        </w:r>
      </w:hyperlink>
      <w:r>
        <w:t xml:space="preserve"> </w:t>
      </w:r>
      <w:hyperlink r:id="rId115">
        <w:r>
          <w:rPr>
            <w:color w:val="226D85"/>
            <w:u w:val="single"/>
          </w:rPr>
          <w:t>[П5]</w:t>
        </w:r>
      </w:hyperlink>
      <w:r/>
    </w:p>
    <w:p>
      <w:pPr>
        <w:pStyle w:val="Heading2"/>
      </w:pPr>
      <w:r>
        <w:t>Смешанные лицензии — не повод терять законный доступ</w:t>
      </w:r>
    </w:p>
    <w:p>
      <w:r>
        <w:t xml:space="preserve">BDK предупреждает о двух уведомлениях в dBET PDF; в отдельных найденных файлах к ним добавлена CC BY-SA 4.0 при сохранении ограничительных формулировок. Это содержательная правовая неопределённость, а не повод удалить отличный перевод из реестра. В R035/R109 сохранены бесплатные файлы, но исключено автоматическое разрешение на публичное зеркало. У Kalavinka и Pure Land Publishing свободный доступ тоже не заменяет разрешения перераспространять перевод или делать из него публичную поисковую базу. </w:t>
      </w:r>
      <w:hyperlink r:id="rId119">
        <w:r>
          <w:rPr>
            <w:color w:val="226D85"/>
            <w:u w:val="single"/>
          </w:rPr>
          <w:t>[П4]</w:t>
        </w:r>
      </w:hyperlink>
      <w:r>
        <w:t xml:space="preserve"> </w:t>
      </w:r>
      <w:hyperlink r:id="rId76">
        <w:r>
          <w:rPr>
            <w:color w:val="226D85"/>
            <w:u w:val="single"/>
          </w:rPr>
          <w:t>[R035]</w:t>
        </w:r>
      </w:hyperlink>
      <w:r>
        <w:t xml:space="preserve"> </w:t>
      </w:r>
      <w:hyperlink r:id="rId66">
        <w:r>
          <w:rPr>
            <w:color w:val="226D85"/>
            <w:u w:val="single"/>
          </w:rPr>
          <w:t>[R109]</w:t>
        </w:r>
      </w:hyperlink>
      <w:r>
        <w:t xml:space="preserve"> </w:t>
      </w:r>
      <w:hyperlink r:id="rId67">
        <w:r>
          <w:rPr>
            <w:color w:val="226D85"/>
            <w:u w:val="single"/>
          </w:rPr>
          <w:t>[R089]</w:t>
        </w:r>
      </w:hyperlink>
      <w:r>
        <w:t xml:space="preserve"> </w:t>
      </w:r>
      <w:hyperlink r:id="rId103">
        <w:r>
          <w:rPr>
            <w:color w:val="226D85"/>
            <w:u w:val="single"/>
          </w:rPr>
          <w:t>[R092]</w:t>
        </w:r>
      </w:hyperlink>
      <w:r/>
    </w:p>
    <w:p>
      <w:r>
        <w:t xml:space="preserve">SAT допускает научное/некоммерческое использование, но запрещает перераспространение базы, если не оговорено иное. Это конкретный пример того, почему два сайта с тем же древним текстом требуют разных tos_use. У IDP общее условие для текстового содержания не снимает предметные ограничения фотографий: у ксилографии 868 года сведения о copyright прямо находятся в обновлении. IIIF обеспечивает технический маршрут, а не самостоятельную лицензию. </w:t>
      </w:r>
      <w:hyperlink r:id="rId120">
        <w:r>
          <w:rPr>
            <w:color w:val="226D85"/>
            <w:u w:val="single"/>
          </w:rPr>
          <w:t>[П3]</w:t>
        </w:r>
      </w:hyperlink>
      <w:r>
        <w:t xml:space="preserve"> </w:t>
      </w:r>
      <w:hyperlink r:id="rId121">
        <w:r>
          <w:rPr>
            <w:color w:val="226D85"/>
            <w:u w:val="single"/>
          </w:rPr>
          <w:t>[П6]</w:t>
        </w:r>
      </w:hyperlink>
      <w:r>
        <w:t xml:space="preserve"> </w:t>
      </w:r>
      <w:hyperlink r:id="rId12">
        <w:r>
          <w:rPr>
            <w:color w:val="226D85"/>
            <w:u w:val="single"/>
          </w:rPr>
          <w:t>[R080]</w:t>
        </w:r>
      </w:hyperlink>
      <w:r/>
    </w:p>
    <w:p>
      <w:pPr>
        <w:pStyle w:val="Heading2"/>
      </w:pPr>
      <w:r>
        <w:t>Границы текста и точность библиографического описания</w:t>
      </w:r>
    </w:p>
    <w:p>
      <w:r>
        <w:t xml:space="preserve">Рецензия, перевод и том не равны целому корпусу. T293 — сорокацзюаневая китайская форма, не взаимозаменяемое обозначение всего T279; большой перевод Mohe требует двух BDK-томов; Nirvāṇa BDK I не покрывает весь T374; SBE 49 содержит и нерелевантный материал; пять строк Lotus — не полная глава. Такие ограничения отражены в coverage и notes, а не спрятаны только в отчёте. </w:t>
      </w:r>
      <w:hyperlink r:id="rId73">
        <w:r>
          <w:rPr>
            <w:color w:val="226D85"/>
            <w:u w:val="single"/>
          </w:rPr>
          <w:t>[R005]</w:t>
        </w:r>
      </w:hyperlink>
      <w:r>
        <w:t xml:space="preserve"> </w:t>
      </w:r>
      <w:hyperlink r:id="rId58">
        <w:r>
          <w:rPr>
            <w:color w:val="226D85"/>
            <w:u w:val="single"/>
          </w:rPr>
          <w:t>[R034]</w:t>
        </w:r>
      </w:hyperlink>
      <w:r>
        <w:t xml:space="preserve"> </w:t>
      </w:r>
      <w:hyperlink r:id="rId37">
        <w:r>
          <w:rPr>
            <w:color w:val="226D85"/>
            <w:u w:val="single"/>
          </w:rPr>
          <w:t>[R124]</w:t>
        </w:r>
      </w:hyperlink>
      <w:r>
        <w:t xml:space="preserve"> </w:t>
      </w:r>
      <w:hyperlink r:id="rId48">
        <w:r>
          <w:rPr>
            <w:color w:val="226D85"/>
            <w:u w:val="single"/>
          </w:rPr>
          <w:t>[R113]</w:t>
        </w:r>
      </w:hyperlink>
      <w:r>
        <w:t xml:space="preserve"> </w:t>
      </w:r>
      <w:hyperlink r:id="rId54">
        <w:r>
          <w:rPr>
            <w:color w:val="226D85"/>
            <w:u w:val="single"/>
          </w:rPr>
          <w:t>[R079]</w:t>
        </w:r>
      </w:hyperlink>
      <w:r/>
    </w:p>
    <w:p>
      <w:r>
        <w:t xml:space="preserve">Несогласованные метаданные сохраняются осторожно. Для Clear Serenity издатель указывает выпуск в 2017 году, а авторский сайт и исходный DR используют 2018: это не объявлено безусловной ошибкой DR. Для BDK Guoqing bailu дата файла 2022 отличается от карточки 2023; для первого BDK Mohe встречаются 2024/2025. У T2146/T2147 разведены разные составители, а byline T1750 оставлен традиционной атрибуцией. Технический номер Taishō — идентификатор современной канонической единицы, не сигнатура средневековой рукописи. </w:t>
      </w:r>
      <w:hyperlink r:id="rId59">
        <w:r>
          <w:rPr>
            <w:color w:val="226D85"/>
            <w:u w:val="single"/>
          </w:rPr>
          <w:t>[R095]</w:t>
        </w:r>
      </w:hyperlink>
      <w:r>
        <w:t xml:space="preserve"> </w:t>
      </w:r>
      <w:hyperlink r:id="rId60">
        <w:r>
          <w:rPr>
            <w:color w:val="226D85"/>
            <w:u w:val="single"/>
          </w:rPr>
          <w:t>[П9]</w:t>
        </w:r>
      </w:hyperlink>
      <w:r>
        <w:t xml:space="preserve"> </w:t>
      </w:r>
      <w:hyperlink r:id="rId66">
        <w:r>
          <w:rPr>
            <w:color w:val="226D85"/>
            <w:u w:val="single"/>
          </w:rPr>
          <w:t>[R109]</w:t>
        </w:r>
      </w:hyperlink>
      <w:r>
        <w:t xml:space="preserve"> </w:t>
      </w:r>
      <w:hyperlink r:id="rId57">
        <w:r>
          <w:rPr>
            <w:color w:val="226D85"/>
            <w:u w:val="single"/>
          </w:rPr>
          <w:t>[R033]</w:t>
        </w:r>
      </w:hyperlink>
      <w:r>
        <w:t xml:space="preserve"> </w:t>
      </w:r>
      <w:hyperlink r:id="rId106">
        <w:r>
          <w:rPr>
            <w:color w:val="226D85"/>
            <w:u w:val="single"/>
          </w:rPr>
          <w:t>[R098]</w:t>
        </w:r>
      </w:hyperlink>
      <w:r>
        <w:t xml:space="preserve"> </w:t>
      </w:r>
      <w:hyperlink r:id="rId107">
        <w:r>
          <w:rPr>
            <w:color w:val="226D85"/>
            <w:u w:val="single"/>
          </w:rPr>
          <w:t>[R099]</w:t>
        </w:r>
      </w:hyperlink>
      <w:r>
        <w:t xml:space="preserve"> </w:t>
      </w:r>
      <w:hyperlink r:id="rId30">
        <w:r>
          <w:rPr>
            <w:color w:val="226D85"/>
            <w:u w:val="single"/>
          </w:rPr>
          <w:t>[R138]</w:t>
        </w:r>
      </w:hyperlink>
      <w:r/>
    </w:p>
    <w:p>
      <w:r>
        <w:t xml:space="preserve">Права — не то же самое, что доказательность атрибуции. CBC@ прямо предназначена для поиска аргументов и литературы, а не для замены самих исследований. В частности, древность предполагаемого автора не освобождает современную реконструкцию, а удобный официальный byline не закрывает дискуссию о происхождении текста. Результат реестра — операционная карта доступа с доказательствами и ограничениями, не универсальное юридическое заключение. </w:t>
      </w:r>
      <w:hyperlink r:id="rId113">
        <w:r>
          <w:rPr>
            <w:color w:val="226D85"/>
            <w:u w:val="single"/>
          </w:rPr>
          <w:t>[R132]</w:t>
        </w:r>
      </w:hyperlink>
      <w:r/>
    </w:p>
    <w:p>
      <w:pPr>
        <w:pStyle w:val="Heading1"/>
      </w:pPr>
      <w:r>
        <w:t>6. Пробелы и дальнейший поиск</w:t>
      </w:r>
    </w:p>
    <w:p>
      <w:r>
        <w:t>Ядро доведено до предметных маршрутов, но поисковое насыщение всей области не достигнуто: прямые семейства слишком обширны, и сохранялись новые библиографические кандидаты. Это не «представительная выборка» вместо ядра: крупные основные произведения перечислены индивидуально, а то, что осталось непроверенным, названо в gaps. Неудавшаяся загрузка не означает отсутствия произведения или отсутствия законного доступа вообще.</w:t>
      </w:r>
    </w:p>
    <w:p>
      <w:r>
        <w:t>Основные ограничения доступа: восемь крупных XML не прочитаны целиком; четыре предметные Lotus-страницы IDP вернули 403; BDRC для Kaibao показал оболочку; часть BDK download-endpoint не обработана инструментом; .trig-файл библиографии не получен. Для платных Swanson, Donner–Stevenson, Gómez, Gregory, Cleary и каменного корпуса сохранены реальные издательские входы. Ни один конкретный работающий маршрут библиотечной выдачи, CDL, бесплатной регистрации или институциональной подписки не был достаточно подтверждён, поэтому такие режимы не добавлены для видимости полноты.</w:t>
      </w:r>
    </w:p>
    <w:p>
      <w:r>
        <w:t>Не найдены проверенные полные современные западные переводы Fahua xuanyi, Fahua wenju, Tanxuan ji, Kuiji Shuji и всей Yogācārabhūmi. Это результат данного поиска, а не утверждение, что переводов не существует. У отдельных произведений есть переводы частей или изложение; границы требуют сопоставления с оригиналом. Для Kaibao и части Dunhuang остаётся прежде всего пробел предметного факсимиле и метаданных, не пробел самого исторического существования.</w:t>
      </w:r>
    </w:p>
    <w:p>
      <w:pPr>
        <w:pStyle w:val="Heading2"/>
      </w:pPr>
      <w:r>
        <w:t>Восемь приоритетных направлений</w:t>
      </w:r>
    </w:p>
    <w:p>
      <w:r>
        <w:t>1. Завершить предметную проверку больших оригиналов. G01 охватывает T278/T279/T1733/T1579/T2154/T2102/T1912/T1735: открыть те же официальные файлы, сверить заголовок, объём, окончание и исключения. Это снимает больше ограничений, чем добавление ещё одного общего портала.</w:t>
      </w:r>
    </w:p>
    <w:p>
      <w:r>
        <w:t>2. Довести рукописно-печатный слой. G02–G05, G23–G24: Lotus-свитки IDP, сохранившиеся листы Kaibao, Wofoyuan, предметные записи Toyo Bunko и загрузка Met 36451. Проверять дату свидетеля, его реальный текстовый диапазон и владельца изображений раздельно.</w:t>
      </w:r>
    </w:p>
    <w:p>
      <w:r>
        <w:t>3. Закрыть дефицит переводов больших комментариев. G06–G10: Xuanyi, Wenju, Tanxuan ji, Shuji и разделы Yogācārabhūmi. Полезны японские формы названий и национальные библиографии; полная английская сутра не заменяет китайский комментарий, а подробный пересказ — перевод.</w:t>
      </w:r>
    </w:p>
    <w:p>
      <w:r>
        <w:t>4. Продолжить прямые Huayan/Tiantai-комментарийные семьи. G11, G13–G16: Chengguan T1736, Li Tongxuan T1739, Fazang T1790 и перевод Carré, Wonhyo, Wŏnch’ŭk, предшествующая линия Huisi. Корейское или тибетское место передачи не делает эти объекты нерелевантными; нужны конкретные идентификаторы, текстовые связи и предметный доступ.</w:t>
      </w:r>
    </w:p>
    <w:p>
      <w:r>
        <w:t>5. Доработать рецензии и рецепцию Pure Land. G17, G27–G28: переводы четырёх практических работ Shandao, английский Ouyi, версия Большой Sukhāvatī в T310(5). Последний объект оставлен unverified_candidate: в этом сеансе не проверены границы раздела и заголовок, поэтому он не включён как подтверждённый полный T310.</w:t>
      </w:r>
    </w:p>
    <w:p>
      <w:r>
        <w:t>6. Расширить многоязычный доступ без теневых библиотек. G18–G19: La Siddhi La Vallée Poussin, Wei Tat, Peter Lunde Johnson и русская Lotus Игнатовича. Для старых французских томов дополнительно проверить юрисдикцию; для русского издания — институциональную карточку и реально доступный экземпляр. Законная карточка отсутствующего товара не означает возможность купить его сейчас.</w:t>
      </w:r>
    </w:p>
    <w:p>
      <w:r>
        <w:t>7. Разрешить наиболее полезные правовые неопределённости. G20–G25: современный Yanpei в категории B CBETA, собственный перевод и печать на базе CBETA, смешанные BDK-уведомления, права IDP, происхождение GRETIL. До прояснения сохранять существующее чтение, а не расширять автоматически mirror/index/embeddings.</w:t>
      </w:r>
    </w:p>
    <w:p>
      <w:r>
        <w:t>8. Продолжить каталогическую и библиотечную линию. G12/G26: Zhenyuan catalogue, Fayuan zhulin и защищённые издания по ISBN. Для многотомных переводов отмечать переведённые цзюани; для библиотек — только реально подтверждённые условия выдачи, а не гипотетическую подписку.</w:t>
      </w:r>
    </w:p>
    <w:p>
      <w:r>
        <w:t>Кандидаты из слабых или недостаточных оснований не закреплены в основном реестре: предполагаемые Huisi-тексты, ещё не идентифицированный здесь комментарий Wŏnch’ŭk, конкретный раздел T310(5) и русское издание, чья академическая карточка не открылась. Для других отложенных объектов, например Carré или альтернативных переводов T1585, существование подтверждено специализированной библиографией, но доступ ещё не исследован полностью. Ни одна итоговая ссылка не ведёт на Wikipedia.</w:t>
      </w:r>
    </w:p>
    <w:p>
      <w:pPr>
        <w:pStyle w:val="Heading1"/>
      </w:pPr>
      <w:r>
        <w:t>7. Итоговая оценка</w:t>
      </w:r>
    </w:p>
    <w:p>
      <w:r>
        <w:t>Покрытие исторического ядра высокое: все основные текстовые линии исходного DR получили предметные пути или явную запись пробела. Наиболее сильна доступность китайского корпуса и современной англоязычной переводной инфраструктуры. Предшествующие сутры, комментарии Song и XVII века, корейско-японские продолжения и поздние физические свидетели включены по конкретной текстовой связи, без расширения узла до общей истории восточноазиатского буддизма.</w:t>
      </w:r>
    </w:p>
    <w:p>
      <w:r>
        <w:t>Оригиналы доступны значительно лучше, чем полные переводы больших комментариев. Самый свободный по условиям слой — три OA-свидетеля Met; самый широкий практически полезный некоммерческий слой — предметные CBETA XML и открыто лицензированные санскритские e-text GRETIL. BDK, Kalavinka, Pure Land Publishing и ИВР РАН дают важные законные переводы для чтения, но не единое разрешение на их размещение в ToS. Основные ограничения сосредоточены в правах современных версий, полноте крупных файлов и предметной проверке рукописей.</w:t>
      </w:r>
    </w:p>
    <w:p>
      <w:r>
        <w:t>Пакет пригоден для передачи Codex как исследовательский реестр: 139 маршрутов в 32 заданных полях, 28 записей gaps, уникальные record_id и раздельные слои прав. Он не является автоматическим списком файлов для зеркалирования. Первое внедрение должно отбирать только записи с подходящими rights_scope и coverage; RIGHTS_REVIEW_REQUIRED сохраняет блокировку действий за пределами явно доказанного компонента.</w:t>
      </w:r>
    </w:p>
    <w:p>
      <w:pPr>
        <w:pStyle w:val="Heading2"/>
      </w:pPr>
      <w:r>
        <w:t>Ключевые страницы прав и проверки</w:t>
      </w:r>
    </w:p>
    <w:p>
      <w:pPr>
        <w:pStyle w:val="Caption"/>
      </w:pPr>
      <w:r>
        <w:t>Предметные ссылки встроены в цитаты R### и полностью сохранены в XLSX. Ниже — общие источники, которые определяют правовые различия и навигацию, а не заменяют предметные записи.</w:t>
      </w:r>
    </w:p>
    <w:p>
      <w:pPr>
        <w:spacing w:after="80"/>
      </w:pPr>
      <w:r>
        <w:rPr>
          <w:b/>
          <w:sz w:val="18"/>
        </w:rPr>
        <w:t xml:space="preserve">П1. CBETA: актуальные права — </w:t>
      </w:r>
      <w:hyperlink r:id="rId116">
        <w:r>
          <w:rPr>
            <w:color w:val="226D85"/>
            <w:u w:val="single"/>
          </w:rPr>
          <w:t>https://cbeta.org/copyright</w:t>
        </w:r>
      </w:hyperlink>
    </w:p>
    <w:p>
      <w:pPr>
        <w:spacing w:after="80"/>
      </w:pPr>
      <w:r>
        <w:rPr>
          <w:b/>
          <w:sz w:val="18"/>
        </w:rPr>
        <w:t xml:space="preserve">П2. CBETA: FAQ — </w:t>
      </w:r>
      <w:hyperlink r:id="rId117">
        <w:r>
          <w:rPr>
            <w:color w:val="226D85"/>
            <w:u w:val="single"/>
          </w:rPr>
          <w:t>https://cbeta.org/faq</w:t>
        </w:r>
      </w:hyperlink>
    </w:p>
    <w:p>
      <w:pPr>
        <w:spacing w:after="80"/>
      </w:pPr>
      <w:r>
        <w:rPr>
          <w:b/>
          <w:sz w:val="18"/>
        </w:rPr>
        <w:t xml:space="preserve">П3. SAT: Terms of Use — </w:t>
      </w:r>
      <w:hyperlink r:id="rId120">
        <w:r>
          <w:rPr>
            <w:color w:val="226D85"/>
            <w:u w:val="single"/>
          </w:rPr>
          <w:t>https://21dzk.l.u-tokyo.ac.jp/SAT/termsofuse_en.html</w:t>
        </w:r>
      </w:hyperlink>
    </w:p>
    <w:p>
      <w:pPr>
        <w:spacing w:after="80"/>
      </w:pPr>
      <w:r>
        <w:rPr>
          <w:b/>
          <w:sz w:val="18"/>
        </w:rPr>
        <w:t xml:space="preserve">П4. BDK: правила бесплатных PDF — </w:t>
      </w:r>
      <w:hyperlink r:id="rId119">
        <w:r>
          <w:rPr>
            <w:color w:val="226D85"/>
            <w:u w:val="single"/>
          </w:rPr>
          <w:t>https://www.bdkamerica.org/free-pdf/</w:t>
        </w:r>
      </w:hyperlink>
    </w:p>
    <w:p>
      <w:pPr>
        <w:spacing w:after="80"/>
      </w:pPr>
      <w:r>
        <w:rPr>
          <w:b/>
          <w:sz w:val="18"/>
        </w:rPr>
        <w:t xml:space="preserve">П5. Met: Open Access / CC0 — </w:t>
      </w:r>
      <w:hyperlink r:id="rId115">
        <w:r>
          <w:rPr>
            <w:color w:val="226D85"/>
            <w:u w:val="single"/>
          </w:rPr>
          <w:t>https://www.metmuseum.org/hubs/open-access</w:t>
        </w:r>
      </w:hyperlink>
    </w:p>
    <w:p>
      <w:pPr>
        <w:spacing w:after="80"/>
      </w:pPr>
      <w:r>
        <w:rPr>
          <w:b/>
          <w:sz w:val="18"/>
        </w:rPr>
        <w:t xml:space="preserve">П6. IDP: copyright — </w:t>
      </w:r>
      <w:hyperlink r:id="rId121">
        <w:r>
          <w:rPr>
            <w:color w:val="226D85"/>
            <w:u w:val="single"/>
          </w:rPr>
          <w:t>https://idp.bl.uk/copyright/</w:t>
        </w:r>
      </w:hyperlink>
    </w:p>
    <w:p>
      <w:pPr>
        <w:spacing w:after="80"/>
      </w:pPr>
      <w:r>
        <w:rPr>
          <w:b/>
          <w:sz w:val="18"/>
        </w:rPr>
        <w:t xml:space="preserve">П7. Toyo Bunko: состав и ограничения базы — </w:t>
      </w:r>
      <w:hyperlink r:id="rId122">
        <w:r>
          <w:rPr>
            <w:color w:val="226D85"/>
            <w:u w:val="single"/>
          </w:rPr>
          <w:t>https://taishozo-teihonkohon.toyobunko-lab.jp/en/about</w:t>
        </w:r>
      </w:hyperlink>
    </w:p>
    <w:p>
      <w:pPr>
        <w:spacing w:after="80"/>
      </w:pPr>
      <w:r>
        <w:rPr>
          <w:b/>
          <w:sz w:val="18"/>
        </w:rPr>
        <w:t xml:space="preserve">П8. Библиография переводов Bingenheimer — </w:t>
      </w:r>
      <w:hyperlink r:id="rId123">
        <w:r>
          <w:rPr>
            <w:color w:val="226D85"/>
            <w:u w:val="single"/>
          </w:rPr>
          <w:t>https://mbingenheimer.net/tools/bibls/transbibl.html</w:t>
        </w:r>
      </w:hyperlink>
    </w:p>
    <w:p>
      <w:pPr>
        <w:spacing w:after="80"/>
      </w:pPr>
      <w:r>
        <w:rPr>
          <w:b/>
          <w:sz w:val="18"/>
        </w:rPr>
        <w:t xml:space="preserve">П9. Swanson: авторская библиография и описание двух версий Mohe zhiguan — </w:t>
      </w:r>
      <w:hyperlink r:id="rId60">
        <w:r>
          <w:rPr>
            <w:color w:val="226D85"/>
            <w:u w:val="single"/>
          </w:rPr>
          <w:t>https://www.kukechu.org/services</w:t>
        </w:r>
      </w:hyperlink>
    </w:p>
    <w:sectPr w:rsidR="00FC693F" w:rsidRPr="0006063C" w:rsidSect="00034616">
      <w:headerReference w:type="default" r:id="rId9"/>
      <w:footerReference w:type="default" r:id="rId10"/>
      <w:pgSz w:w="11906" w:h="16838"/>
      <w:pgMar w:top="1020" w:right="1077" w:bottom="992"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7481"/>
        <w:sz w:val="16"/>
      </w:rPr>
      <w:t xml:space="preserve">Corpus &amp; Rights Registry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27481"/>
        <w:sz w:val="16"/>
      </w:rPr>
      <w:t>TREE OF SOPHIA  /  T2-44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Liberation Sans" w:hAnsi="Liberation San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Noto Sans CJK SC"/>
      <w:b/>
      <w:bCs/>
      <w:color w:val="173F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eastAsia="Noto Sans CJK SC"/>
      <w:b/>
      <w:bCs/>
      <w:color w:val="173F4F"/>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Liberation Sans" w:hAnsi="Liberation Sans" w:eastAsia="Noto Sans CJK SC"/>
      <w:b/>
      <w:bCs/>
      <w:color w:val="4A42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Noto Sans CJK SC"/>
      <w:color w:val="173F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Liberation Sans" w:hAnsi="Liberation Sans" w:eastAsia="Noto Sans CJK SC"/>
      <w:i/>
      <w:iCs/>
      <w:color w:val="4151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1" w:lineRule="auto"/>
    </w:pPr>
    <w:rPr>
      <w:rFonts w:ascii="Liberation Sans" w:hAnsi="Liberation Sans"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20"/>
    </w:pPr>
    <w:rPr>
      <w:rFonts w:ascii="Liberation Sans" w:hAnsi="Liberation Sans" w:eastAsia="Noto Sans CJK SC"/>
      <w:b/>
      <w:bCs/>
      <w:color w:val="5966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aw.githubusercontent.com/cbeta-org/xml-p5/master/T/T09/T09n0262.xml" TargetMode="External"/><Relationship Id="rId12" Type="http://schemas.openxmlformats.org/officeDocument/2006/relationships/hyperlink" Target="https://idp.bl.uk/collection/51FDAEAFB4A24E2E9981692A98130BC8/" TargetMode="External"/><Relationship Id="rId13" Type="http://schemas.openxmlformats.org/officeDocument/2006/relationships/hyperlink" Target="https://www.harrassowitz-verlag.de/title_1132.ahtml" TargetMode="External"/><Relationship Id="rId14" Type="http://schemas.openxmlformats.org/officeDocument/2006/relationships/hyperlink" Target="https://raw.githubusercontent.com/cbeta-org/xml-p5/master/T/T33/T33n1717.xml" TargetMode="External"/><Relationship Id="rId15" Type="http://schemas.openxmlformats.org/officeDocument/2006/relationships/hyperlink" Target="https://raw.githubusercontent.com/cbeta-org/xml-p5/master/T/T46/T46n1928.xml" TargetMode="External"/><Relationship Id="rId16" Type="http://schemas.openxmlformats.org/officeDocument/2006/relationships/hyperlink" Target="https://raw.githubusercontent.com/cbeta-org/xml-p5/master/T/T46/T46n1931.xml" TargetMode="External"/><Relationship Id="rId17" Type="http://schemas.openxmlformats.org/officeDocument/2006/relationships/hyperlink" Target="https://raw.githubusercontent.com/cbeta-org/xml-p5/master/T/T46/T46n1934.xml" TargetMode="External"/><Relationship Id="rId18" Type="http://schemas.openxmlformats.org/officeDocument/2006/relationships/hyperlink" Target="https://raw.githubusercontent.com/cbeta-org/xml-p5/master/T/T45/T45n1870.xml" TargetMode="External"/><Relationship Id="rId19" Type="http://schemas.openxmlformats.org/officeDocument/2006/relationships/hyperlink" Target="https://raw.githubusercontent.com/cbeta-org/xml-p5/master/T/T45/T45n1880.xml" TargetMode="External"/><Relationship Id="rId20" Type="http://schemas.openxmlformats.org/officeDocument/2006/relationships/hyperlink" Target="https://raw.githubusercontent.com/cbeta-org/xml-p5/master/T/T45/T45n1881.xml" TargetMode="External"/><Relationship Id="rId21" Type="http://schemas.openxmlformats.org/officeDocument/2006/relationships/hyperlink" Target="https://raw.githubusercontent.com/cbeta-org/xml-p5/master/T/T44/T44n1846.xml" TargetMode="External"/><Relationship Id="rId22" Type="http://schemas.openxmlformats.org/officeDocument/2006/relationships/hyperlink" Target="https://raw.githubusercontent.com/cbeta-org/xml-p5/master/T/T45/T45n1887A.xml" TargetMode="External"/><Relationship Id="rId23" Type="http://schemas.openxmlformats.org/officeDocument/2006/relationships/hyperlink" Target="https://raw.githubusercontent.com/cbeta-org/xml-p5/master/T/T35/T35n1732.xml" TargetMode="External"/><Relationship Id="rId24" Type="http://schemas.openxmlformats.org/officeDocument/2006/relationships/hyperlink" Target="https://raw.githubusercontent.com/cbeta-org/xml-p5/master/T/T31/T31n1586.xml" TargetMode="External"/><Relationship Id="rId25" Type="http://schemas.openxmlformats.org/officeDocument/2006/relationships/hyperlink" Target="https://raw.githubusercontent.com/cbeta-org/xml-p5/master/T/T31/T31n1593.xml" TargetMode="External"/><Relationship Id="rId26" Type="http://schemas.openxmlformats.org/officeDocument/2006/relationships/hyperlink" Target="https://raw.githubusercontent.com/cbeta-org/xml-p5/master/T/T43/T43n1831.xml" TargetMode="External"/><Relationship Id="rId27" Type="http://schemas.openxmlformats.org/officeDocument/2006/relationships/hyperlink" Target="https://raw.githubusercontent.com/cbeta-org/xml-p5/master/T/T26/T26n1524.xml" TargetMode="External"/><Relationship Id="rId28" Type="http://schemas.openxmlformats.org/officeDocument/2006/relationships/hyperlink" Target="https://raw.githubusercontent.com/cbeta-org/xml-p5/master/T/T47/T47n1960.xml" TargetMode="External"/><Relationship Id="rId29" Type="http://schemas.openxmlformats.org/officeDocument/2006/relationships/hyperlink" Target="https://raw.githubusercontent.com/cbeta-org/xml-p5/master/T/T37/T37n1749.xml" TargetMode="External"/><Relationship Id="rId30" Type="http://schemas.openxmlformats.org/officeDocument/2006/relationships/hyperlink" Target="https://raw.githubusercontent.com/cbeta-org/xml-p5/master/T/T37/T37n1750.xml" TargetMode="External"/><Relationship Id="rId31" Type="http://schemas.openxmlformats.org/officeDocument/2006/relationships/hyperlink" Target="https://raw.githubusercontent.com/cbeta-org/xml-p5/master/T/T09/T09n0263.xml" TargetMode="External"/><Relationship Id="rId32" Type="http://schemas.openxmlformats.org/officeDocument/2006/relationships/hyperlink" Target="https://raw.githubusercontent.com/cbeta-org/xml-p5/master/T/T30/T30n1564.xml" TargetMode="External"/><Relationship Id="rId33" Type="http://schemas.openxmlformats.org/officeDocument/2006/relationships/hyperlink" Target="https://gretil.sub.uni-goettingen.de/gretil/corpustei/transformations/html/sa_dazabhUmikasUtra.htm" TargetMode="External"/><Relationship Id="rId34" Type="http://schemas.openxmlformats.org/officeDocument/2006/relationships/hyperlink" Target="https://raw.githubusercontent.com/cbeta-org/xml-p5/master/T/T12/T12n0361.xml" TargetMode="External"/><Relationship Id="rId35" Type="http://schemas.openxmlformats.org/officeDocument/2006/relationships/hyperlink" Target="https://raw.githubusercontent.com/cbeta-org/xml-p5/master/T/T12/T12n0362.xml" TargetMode="External"/><Relationship Id="rId36" Type="http://schemas.openxmlformats.org/officeDocument/2006/relationships/hyperlink" Target="https://www.bdkamerica.org/product/the-sutra-of-queen-srimala-of-the-lions-roar-and-the-vimalakirti-sutra/" TargetMode="External"/><Relationship Id="rId37" Type="http://schemas.openxmlformats.org/officeDocument/2006/relationships/hyperlink" Target="https://www.bdkamerica.org/product/the-nirvana-sutra-vol-i/" TargetMode="External"/><Relationship Id="rId38" Type="http://schemas.openxmlformats.org/officeDocument/2006/relationships/hyperlink" Target="https://www.kalavinka.org/ebooks_NEW/Nagarjuna%20Treatise_English_ebk_08-19-23.pdf" TargetMode="External"/><Relationship Id="rId39" Type="http://schemas.openxmlformats.org/officeDocument/2006/relationships/hyperlink" Target="https://raw.githubusercontent.com/cbeta-org/xml-p5/master/T/T55/T55n2145.xml" TargetMode="External"/><Relationship Id="rId40" Type="http://schemas.openxmlformats.org/officeDocument/2006/relationships/hyperlink" Target="https://raw.githubusercontent.com/cbeta-org/xml-p5/master/T/T37/T37n1751.xml" TargetMode="External"/><Relationship Id="rId41" Type="http://schemas.openxmlformats.org/officeDocument/2006/relationships/hyperlink" Target="https://raw.githubusercontent.com/cbeta-org/xml-p5/master/T/T12/T12n0364.xml" TargetMode="External"/><Relationship Id="rId42" Type="http://schemas.openxmlformats.org/officeDocument/2006/relationships/hyperlink" Target="https://raw.githubusercontent.com/cbeta-org/xml-p5/master/T/T37/T37n1762.xml" TargetMode="External"/><Relationship Id="rId43" Type="http://schemas.openxmlformats.org/officeDocument/2006/relationships/hyperlink" Target="https://www.bdkamerica.org/product/kyogyoshinsho-on-teaching-practice-faith-and-enlightenment/" TargetMode="External"/><Relationship Id="rId44" Type="http://schemas.openxmlformats.org/officeDocument/2006/relationships/hyperlink" Target="https://www.bdkamerica.org/product/senchaku-hongan-nembutsu-shu-a-collection-of-passages-on-the-nembutsu/" TargetMode="External"/><Relationship Id="rId45" Type="http://schemas.openxmlformats.org/officeDocument/2006/relationships/hyperlink" Target="https://www.bdkamerica.org/product/yongjias-song-of-actualizing-the-way-observing-the-mind-awakening-from-a-dream/" TargetMode="External"/><Relationship Id="rId46" Type="http://schemas.openxmlformats.org/officeDocument/2006/relationships/hyperlink" Target="https://www.metmuseum.org/art/collection/search/36451" TargetMode="External"/><Relationship Id="rId47" Type="http://schemas.openxmlformats.org/officeDocument/2006/relationships/hyperlink" Target="https://archive.org/details/saddharmapundar00cambuoft" TargetMode="External"/><Relationship Id="rId48" Type="http://schemas.openxmlformats.org/officeDocument/2006/relationships/hyperlink" Target="https://archive.org/details/buddhistmahy01asvauoft" TargetMode="External"/><Relationship Id="rId49" Type="http://schemas.openxmlformats.org/officeDocument/2006/relationships/hyperlink" Target="https://www.orientalstudies.ru/rus/index.php?Itemid=75&amp;option=com_publications&amp;pub=7507" TargetMode="External"/><Relationship Id="rId50" Type="http://schemas.openxmlformats.org/officeDocument/2006/relationships/hyperlink" Target="https://raw.githubusercontent.com/cbeta-org/xml-p5/master/T/T09/T09n0264.xml" TargetMode="External"/><Relationship Id="rId51" Type="http://schemas.openxmlformats.org/officeDocument/2006/relationships/hyperlink" Target="https://gretil.sub.uni-goettingen.de/gretil/corpustei/transformations/html/sa_saddharmapuNDarIkasUtra.htm" TargetMode="External"/><Relationship Id="rId52" Type="http://schemas.openxmlformats.org/officeDocument/2006/relationships/hyperlink" Target="https://www.bdkamerica.org/product/the-lotus-sutra-revised-second-edition/" TargetMode="External"/><Relationship Id="rId53" Type="http://schemas.openxmlformats.org/officeDocument/2006/relationships/hyperlink" Target="https://www.metmuseum.org/art/collection/search/44849" TargetMode="External"/><Relationship Id="rId54" Type="http://schemas.openxmlformats.org/officeDocument/2006/relationships/hyperlink" Target="https://www.metmuseum.org/art/collection/search/44614" TargetMode="External"/><Relationship Id="rId55" Type="http://schemas.openxmlformats.org/officeDocument/2006/relationships/hyperlink" Target="https://www.bdkamerica.org/product/tiantai-lotus-texts/" TargetMode="External"/><Relationship Id="rId56" Type="http://schemas.openxmlformats.org/officeDocument/2006/relationships/hyperlink" Target="https://raw.githubusercontent.com/cbeta-org/xml-p5/master/T/T46/T46n1911.xml" TargetMode="External"/><Relationship Id="rId57" Type="http://schemas.openxmlformats.org/officeDocument/2006/relationships/hyperlink" Target="https://www.bdkamerica.org/product/great-cessation-and-contemplation-volume-i/" TargetMode="External"/><Relationship Id="rId58" Type="http://schemas.openxmlformats.org/officeDocument/2006/relationships/hyperlink" Target="https://www.bdkamerica.org/product/great-cessation-and-contemplation-volume-ii/" TargetMode="External"/><Relationship Id="rId59" Type="http://schemas.openxmlformats.org/officeDocument/2006/relationships/hyperlink" Target="https://uhpress.hawaii.edu/title/clear-serenity-quiet-insight-tien-tai-chih-is-mo-ho-chih-kuan-3-volume-set/" TargetMode="External"/><Relationship Id="rId60" Type="http://schemas.openxmlformats.org/officeDocument/2006/relationships/hyperlink" Target="https://www.kukechu.org/services" TargetMode="External"/><Relationship Id="rId61" Type="http://schemas.openxmlformats.org/officeDocument/2006/relationships/hyperlink" Target="https://uhpress.hawaii.edu/title/the-great-calming-and-contemplation-a-study-and-annotated-translation-of-the-first-chapter-of-chih-is-mo-ho-chih-kuan/" TargetMode="External"/><Relationship Id="rId62" Type="http://schemas.openxmlformats.org/officeDocument/2006/relationships/hyperlink" Target="https://www.kalavinka.org/ebooks_NEW/Essentials%20of%20Meditation_Bilingual_ebk_08-19-23.pdf" TargetMode="External"/><Relationship Id="rId63" Type="http://schemas.openxmlformats.org/officeDocument/2006/relationships/hyperlink" Target="https://www.kalavinka.org/ebooks_NEW/Six%20Gates_Bilingual_ebk_08-19-23.pdf" TargetMode="External"/><Relationship Id="rId64" Type="http://schemas.openxmlformats.org/officeDocument/2006/relationships/hyperlink" Target="https://raw.githubusercontent.com/cbeta-org/xml-p5/master/T/T33/T33n1716.xml" TargetMode="External"/><Relationship Id="rId65" Type="http://schemas.openxmlformats.org/officeDocument/2006/relationships/hyperlink" Target="https://raw.githubusercontent.com/cbeta-org/xml-p5/master/T/T34/T34n1718.xml" TargetMode="External"/><Relationship Id="rId66" Type="http://schemas.openxmlformats.org/officeDocument/2006/relationships/hyperlink" Target="https://www.bdkamerica.org/product/the-hundred-records-of-the-temple-of-national-purity/" TargetMode="External"/><Relationship Id="rId67" Type="http://schemas.openxmlformats.org/officeDocument/2006/relationships/hyperlink" Target="https://www.kalavinka.org/kp_book_pages/HY-EO_V1_book_page.htm" TargetMode="External"/><Relationship Id="rId68" Type="http://schemas.openxmlformats.org/officeDocument/2006/relationships/hyperlink" Target="https://www.kalavinka.org/kp_book_pages/HY-EO_V2_book_page.htm" TargetMode="External"/><Relationship Id="rId69" Type="http://schemas.openxmlformats.org/officeDocument/2006/relationships/hyperlink" Target="https://www.kalavinka.org/kp_book_pages/HY-EO_V3_book_page.htm" TargetMode="External"/><Relationship Id="rId70" Type="http://schemas.openxmlformats.org/officeDocument/2006/relationships/hyperlink" Target="https://www.shambhala.com/the-flower-ornament-scripture-618.html" TargetMode="External"/><Relationship Id="rId71" Type="http://schemas.openxmlformats.org/officeDocument/2006/relationships/hyperlink" Target="https://github.com/cbeta-org/xml-p5/blob/master/T/T09/T09n0278.xml" TargetMode="External"/><Relationship Id="rId72" Type="http://schemas.openxmlformats.org/officeDocument/2006/relationships/hyperlink" Target="https://github.com/cbeta-org/xml-p5/blob/master/T/T10/T10n0279.xml" TargetMode="External"/><Relationship Id="rId73" Type="http://schemas.openxmlformats.org/officeDocument/2006/relationships/hyperlink" Target="https://raw.githubusercontent.com/cbeta-org/xml-p5/master/T/T10/T10n0293.xml" TargetMode="External"/><Relationship Id="rId74" Type="http://schemas.openxmlformats.org/officeDocument/2006/relationships/hyperlink" Target="https://gretil.sub.uni-goettingen.de/gretil/corpustei/transformations/html/sa_gaNDavyUhasUtra.htm" TargetMode="External"/><Relationship Id="rId75" Type="http://schemas.openxmlformats.org/officeDocument/2006/relationships/hyperlink" Target="https://www.kalavinka.org/ebooks_NEW/Ten%20Grounds%20Sutra_Trilingual_ebk_08-19-23.pdf" TargetMode="External"/><Relationship Id="rId76" Type="http://schemas.openxmlformats.org/officeDocument/2006/relationships/hyperlink" Target="https://www.bdkamerica.org/product/the-diamond-needle-treatise-on-the-doctrinal-distinctions-of-the-huayan-one-vehicle-the-key-to-the-secret-of-the-heart-sutra/" TargetMode="External"/><Relationship Id="rId77" Type="http://schemas.openxmlformats.org/officeDocument/2006/relationships/hyperlink" Target="https://raw.githubusercontent.com/cbeta-org/xml-p5/master/T/T46/T46n1932.xml" TargetMode="External"/><Relationship Id="rId78" Type="http://schemas.openxmlformats.org/officeDocument/2006/relationships/hyperlink" Target="https://raw.githubusercontent.com/cbeta-org/xml-p5/master/T/T45/T45n1886.xml" TargetMode="External"/><Relationship Id="rId79" Type="http://schemas.openxmlformats.org/officeDocument/2006/relationships/hyperlink" Target="https://uhpress.hawaii.edu/title/inquiry-into-the-origin-of-humanity-an-annotated-translation-of-tsung-mis-yuan-jen-lun/" TargetMode="External"/><Relationship Id="rId80" Type="http://schemas.openxmlformats.org/officeDocument/2006/relationships/hyperlink" Target="https://www.bdkamerica.org/product/three-short-treatises-by-vasubandhu-sengzhao-and-zongmi/" TargetMode="External"/><Relationship Id="rId81" Type="http://schemas.openxmlformats.org/officeDocument/2006/relationships/hyperlink" Target="https://www.orientalstudies.ru/rus/index.php?Itemid=75&amp;option=com_publications&amp;pub=7509" TargetMode="External"/><Relationship Id="rId82" Type="http://schemas.openxmlformats.org/officeDocument/2006/relationships/hyperlink" Target="https://www.bdkamerica.org/product/three-texts-on-consciousness-only/" TargetMode="External"/><Relationship Id="rId83" Type="http://schemas.openxmlformats.org/officeDocument/2006/relationships/hyperlink" Target="https://raw.githubusercontent.com/cbeta-org/xml-p5/master/T/T31/T31n1585.xml" TargetMode="External"/><Relationship Id="rId84" Type="http://schemas.openxmlformats.org/officeDocument/2006/relationships/hyperlink" Target="https://raw.githubusercontent.com/cbeta-org/xml-p5/master/T/T43/T43n1830.xml" TargetMode="External"/><Relationship Id="rId85" Type="http://schemas.openxmlformats.org/officeDocument/2006/relationships/hyperlink" Target="https://raw.githubusercontent.com/cbeta-org/xml-p5/master/T/T43/T43n1832.xml" TargetMode="External"/><Relationship Id="rId86" Type="http://schemas.openxmlformats.org/officeDocument/2006/relationships/hyperlink" Target="https://raw.githubusercontent.com/cbeta-org/xml-p5/master/T/T43/T43n1833.xml" TargetMode="External"/><Relationship Id="rId87" Type="http://schemas.openxmlformats.org/officeDocument/2006/relationships/hyperlink" Target="https://www.bdkamerica.org/product/the-scripture-on-the-explication-of-underlying-meaning/" TargetMode="External"/><Relationship Id="rId88" Type="http://schemas.openxmlformats.org/officeDocument/2006/relationships/hyperlink" Target="https://www.bdkamerica.org/product/the-summary-of-the-great-vehicle-revised-second-edition/" TargetMode="External"/><Relationship Id="rId89" Type="http://schemas.openxmlformats.org/officeDocument/2006/relationships/hyperlink" Target="https://raw.githubusercontent.com/cbeta-org/xml-p5/master/T/T31/T31n1594.xml" TargetMode="External"/><Relationship Id="rId90" Type="http://schemas.openxmlformats.org/officeDocument/2006/relationships/hyperlink" Target="https://gretil.sub.uni-goettingen.de/gretil/corpustei/transformations/html/sa_vasubandhu-triMzikAvijJaptikArikA.htm" TargetMode="External"/><Relationship Id="rId91" Type="http://schemas.openxmlformats.org/officeDocument/2006/relationships/hyperlink" Target="https://github.com/cbeta-org/xml-p5/blob/master/T/T30/T30n1579.xml" TargetMode="External"/><Relationship Id="rId92" Type="http://schemas.openxmlformats.org/officeDocument/2006/relationships/hyperlink" Target="https://www.bdkamerica.org/product/the-three-pure-land-sutras/" TargetMode="External"/><Relationship Id="rId93" Type="http://schemas.openxmlformats.org/officeDocument/2006/relationships/hyperlink" Target="https://raw.githubusercontent.com/cbeta-org/xml-p5/master/T/T12/T12n0360.xml" TargetMode="External"/><Relationship Id="rId94" Type="http://schemas.openxmlformats.org/officeDocument/2006/relationships/hyperlink" Target="https://raw.githubusercontent.com/cbeta-org/xml-p5/master/T/T12/T12n0363.xml" TargetMode="External"/><Relationship Id="rId95" Type="http://schemas.openxmlformats.org/officeDocument/2006/relationships/hyperlink" Target="https://raw.githubusercontent.com/cbeta-org/xml-p5/master/T/T12/T12n0367.xml" TargetMode="External"/><Relationship Id="rId96" Type="http://schemas.openxmlformats.org/officeDocument/2006/relationships/hyperlink" Target="https://gretil.sub.uni-goettingen.de/gretil/corpustei/transformations/html/sa_sukhAvatIvyUhavistaramAtRkA.htm" TargetMode="External"/><Relationship Id="rId97" Type="http://schemas.openxmlformats.org/officeDocument/2006/relationships/hyperlink" Target="https://gretil.sub.uni-goettingen.de/gretil/corpustei/transformations/html/sa_sukhAvatIvyUhasaMkSiptamAtRkA.htm" TargetMode="External"/><Relationship Id="rId98" Type="http://schemas.openxmlformats.org/officeDocument/2006/relationships/hyperlink" Target="https://raw.githubusercontent.com/cbeta-org/xml-p5/master/T/T40/T40n1819.xml" TargetMode="External"/><Relationship Id="rId99" Type="http://schemas.openxmlformats.org/officeDocument/2006/relationships/hyperlink" Target="https://raw.githubusercontent.com/cbeta-org/xml-p5/master/T/T47/T47n1958.xml" TargetMode="External"/><Relationship Id="rId100" Type="http://schemas.openxmlformats.org/officeDocument/2006/relationships/hyperlink" Target="https://raw.githubusercontent.com/cbeta-org/xml-p5/master/T/T37/T37n1753.xml" TargetMode="External"/><Relationship Id="rId101" Type="http://schemas.openxmlformats.org/officeDocument/2006/relationships/hyperlink" Target="https://www.purelandbuddhism.org/publications/1/802" TargetMode="External"/><Relationship Id="rId102" Type="http://schemas.openxmlformats.org/officeDocument/2006/relationships/hyperlink" Target="https://www.purelandbuddhism.org/publications/1/977" TargetMode="External"/><Relationship Id="rId103" Type="http://schemas.openxmlformats.org/officeDocument/2006/relationships/hyperlink" Target="https://www.purelandbuddhism.org/publications/1/1162" TargetMode="External"/><Relationship Id="rId104" Type="http://schemas.openxmlformats.org/officeDocument/2006/relationships/hyperlink" Target="https://uhpress.hawaii.edu/title/the-land-of-bliss-the-paradise-of-the-buddha-of-measureless-light-sanskrit-and-chinese-versions-of-the-sukhavativyuha-sutras/" TargetMode="External"/><Relationship Id="rId105" Type="http://schemas.openxmlformats.org/officeDocument/2006/relationships/hyperlink" Target="https://books.google.com/books/about/The_Dawn_of_Chinese_Pure_Land_Buddhist_D.html?id=SUwvOQNfj2IC" TargetMode="External"/><Relationship Id="rId106" Type="http://schemas.openxmlformats.org/officeDocument/2006/relationships/hyperlink" Target="https://raw.githubusercontent.com/cbeta-org/xml-p5/master/T/T55/T55n2146.xml" TargetMode="External"/><Relationship Id="rId107" Type="http://schemas.openxmlformats.org/officeDocument/2006/relationships/hyperlink" Target="https://raw.githubusercontent.com/cbeta-org/xml-p5/master/T/T55/T55n2147.xml" TargetMode="External"/><Relationship Id="rId108" Type="http://schemas.openxmlformats.org/officeDocument/2006/relationships/hyperlink" Target="https://raw.githubusercontent.com/cbeta-org/xml-p5/master/T/T55/T55n2149.xml" TargetMode="External"/><Relationship Id="rId109" Type="http://schemas.openxmlformats.org/officeDocument/2006/relationships/hyperlink" Target="https://github.com/cbeta-org/xml-p5/blob/master/T/T55/T55n2154.xml" TargetMode="External"/><Relationship Id="rId110" Type="http://schemas.openxmlformats.org/officeDocument/2006/relationships/hyperlink" Target="https://www.bdkamerica.org/product/the-collection-for-the-propagation-and-clarification-of-buddhism-vol-i/" TargetMode="External"/><Relationship Id="rId111" Type="http://schemas.openxmlformats.org/officeDocument/2006/relationships/hyperlink" Target="https://www.bdkamerica.org/product/the-collection-for-the-propagation-and-clarification-of-buddhism-vol-ii/" TargetMode="External"/><Relationship Id="rId112" Type="http://schemas.openxmlformats.org/officeDocument/2006/relationships/hyperlink" Target="https://taishozo-teihonkohon.toyobunko-lab.jp/en" TargetMode="External"/><Relationship Id="rId113" Type="http://schemas.openxmlformats.org/officeDocument/2006/relationships/hyperlink" Target="https://dazangthings.nz/cbc/" TargetMode="External"/><Relationship Id="rId114" Type="http://schemas.openxmlformats.org/officeDocument/2006/relationships/hyperlink" Target="https://www.orientalstudies.ru/rus/index.php?Itemid=75&amp;option=com_publications&amp;pub=7519" TargetMode="External"/><Relationship Id="rId115" Type="http://schemas.openxmlformats.org/officeDocument/2006/relationships/hyperlink" Target="https://www.metmuseum.org/hubs/open-access" TargetMode="External"/><Relationship Id="rId116" Type="http://schemas.openxmlformats.org/officeDocument/2006/relationships/hyperlink" Target="https://cbeta.org/copyright" TargetMode="External"/><Relationship Id="rId117" Type="http://schemas.openxmlformats.org/officeDocument/2006/relationships/hyperlink" Target="https://cbeta.org/faq" TargetMode="External"/><Relationship Id="rId118" Type="http://schemas.openxmlformats.org/officeDocument/2006/relationships/hyperlink" Target="https://github.com/cbeta-org/xml-p5" TargetMode="External"/><Relationship Id="rId119" Type="http://schemas.openxmlformats.org/officeDocument/2006/relationships/hyperlink" Target="https://www.bdkamerica.org/free-pdf/" TargetMode="External"/><Relationship Id="rId120" Type="http://schemas.openxmlformats.org/officeDocument/2006/relationships/hyperlink" Target="https://21dzk.l.u-tokyo.ac.jp/SAT/termsofuse_en.html" TargetMode="External"/><Relationship Id="rId121" Type="http://schemas.openxmlformats.org/officeDocument/2006/relationships/hyperlink" Target="https://idp.bl.uk/copyright/" TargetMode="External"/><Relationship Id="rId122" Type="http://schemas.openxmlformats.org/officeDocument/2006/relationships/hyperlink" Target="https://taishozo-teihonkohon.toyobunko-lab.jp/en/about" TargetMode="External"/><Relationship Id="rId123" Type="http://schemas.openxmlformats.org/officeDocument/2006/relationships/hyperlink" Target="https://mbingenheimer.net/tools/bibls/transbib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T2-44</dc:title>
  <dc:subject>Китайский буддизм зрелых доктринальных систем: корпус и права доступа</dc:subject>
  <dc:creator>Tree of Sophia</dc:creator>
  <cp:keywords>T2-44; corpus; rights; Tiantai; Huayan; Faxiang; Pure Land</cp:keywords>
  <dc:description>generated by python-docx</dc:description>
  <cp:lastModifiedBy/>
  <cp:revision>1</cp:revision>
  <dcterms:created xsi:type="dcterms:W3CDTF">2013-12-23T23:15:00Z</dcterms:created>
  <dcterms:modified xsi:type="dcterms:W3CDTF">2013-12-23T23:15:00Z</dcterms:modified>
  <cp:category/>
</cp:coreProperties>
</file>