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w:t>
        <w:br/>
        <w:t>Registry</w:t>
      </w:r>
    </w:p>
    <w:p>
      <w:pPr>
        <w:pStyle w:val="Subtitle"/>
      </w:pPr>
      <w:r>
        <w:rPr>
          <w:b w:val="0"/>
        </w:rPr>
        <w:t>T2-04 · Армянская переводная книжность</w:t>
        <w:br/>
        <w:t>и философско-богословская лексика</w:t>
      </w:r>
    </w:p>
    <w:p>
      <w:pPr>
        <w:pStyle w:val="Caption"/>
      </w:pPr>
      <w:r>
        <w:rPr>
          <w:b w:val="0"/>
        </w:rPr>
        <w:t>55 записей доступа  •  31 запись о пробелах  •  статус B сохранён</w:t>
      </w:r>
    </w:p>
    <w:p>
      <w:pPr>
        <w:pStyle w:val="Heading1"/>
      </w:pPr>
      <w:r>
        <w:t>1. Паспорт</w:t>
      </w:r>
    </w:p>
    <w:tbl>
      <w:tblPr>
        <w:tblW w:type="auto" w:w="0"/>
        <w:jc w:val="center"/>
        <w:tblLayout w:type="fixed"/>
        <w:tblLook w:firstColumn="1" w:firstRow="1" w:lastColumn="0" w:lastRow="0" w:noHBand="0" w:noVBand="1" w:val="04A0"/>
      </w:tblPr>
      <w:tblGrid>
        <w:gridCol w:w="2477"/>
        <w:gridCol w:w="7171"/>
      </w:tblGrid>
      <w:tr>
        <w:trPr>
          <w:cantSplit/>
        </w:trPr>
        <w:tc>
          <w:tcPr>
            <w:tcW w:type="dxa" w:w="2477"/>
            <w:vAlign w:val="top"/>
            <w:shd w:fill="EDF3F4"/>
          </w:tcPr>
          <w:p>
            <w:pPr>
              <w:spacing w:after="100" w:before="80"/>
            </w:pPr>
            <w:r>
              <w:rPr>
                <w:b/>
                <w:sz w:val="19"/>
              </w:rPr>
              <w:t>Исследуемая строка</w:t>
            </w:r>
          </w:p>
        </w:tc>
        <w:tc>
          <w:tcPr>
            <w:tcW w:type="dxa" w:w="7171"/>
            <w:vAlign w:val="top"/>
          </w:tcPr>
          <w:p>
            <w:pPr>
              <w:spacing w:after="100" w:before="80"/>
            </w:pPr>
            <w:r>
              <w:rPr>
                <w:b w:val="0"/>
                <w:sz w:val="19"/>
              </w:rPr>
              <w:t>T2-04. Армянская переводная книжность и философско-богословская лексика.</w:t>
            </w:r>
          </w:p>
        </w:tc>
      </w:tr>
      <w:tr>
        <w:trPr>
          <w:cantSplit/>
        </w:trPr>
        <w:tc>
          <w:tcPr>
            <w:tcW w:type="dxa" w:w="2477"/>
            <w:vAlign w:val="top"/>
            <w:shd w:fill="EDF3F4"/>
          </w:tcPr>
          <w:p>
            <w:pPr>
              <w:spacing w:after="100" w:before="80"/>
            </w:pPr>
            <w:r>
              <w:rPr>
                <w:b/>
                <w:sz w:val="19"/>
              </w:rPr>
              <w:t>Исходный статус</w:t>
            </w:r>
          </w:p>
        </w:tc>
        <w:tc>
          <w:tcPr>
            <w:tcW w:type="dxa" w:w="7171"/>
            <w:vAlign w:val="top"/>
          </w:tcPr>
          <w:p>
            <w:pPr>
              <w:spacing w:after="100" w:before="80"/>
            </w:pPr>
            <w:r>
              <w:rPr>
                <w:b w:val="0"/>
                <w:sz w:val="19"/>
              </w:rPr>
              <w:t>B. Исходная уверенность DR — 4/5; новая оценка статуса не проводилась.</w:t>
            </w:r>
          </w:p>
        </w:tc>
      </w:tr>
      <w:tr>
        <w:trPr>
          <w:cantSplit/>
        </w:trPr>
        <w:tc>
          <w:tcPr>
            <w:tcW w:type="dxa" w:w="2477"/>
            <w:vAlign w:val="top"/>
            <w:shd w:fill="EDF3F4"/>
          </w:tcPr>
          <w:p>
            <w:pPr>
              <w:spacing w:after="100" w:before="80"/>
            </w:pPr>
            <w:r>
              <w:rPr>
                <w:b/>
                <w:sz w:val="19"/>
              </w:rPr>
              <w:t>Историческое ядро</w:t>
            </w:r>
          </w:p>
        </w:tc>
        <w:tc>
          <w:tcPr>
            <w:tcW w:type="dxa" w:w="7171"/>
            <w:vAlign w:val="top"/>
          </w:tcPr>
          <w:p>
            <w:pPr>
              <w:spacing w:after="100" w:before="80"/>
            </w:pPr>
            <w:r>
              <w:rPr>
                <w:b w:val="0"/>
                <w:sz w:val="19"/>
              </w:rPr>
              <w:t>V–XII вв.: формирование V–VII, фиксация/перевод V–X, канонизация и комментарий VII–XII вв.</w:t>
            </w:r>
          </w:p>
        </w:tc>
      </w:tr>
      <w:tr>
        <w:trPr>
          <w:cantSplit/>
        </w:trPr>
        <w:tc>
          <w:tcPr>
            <w:tcW w:type="dxa" w:w="2477"/>
            <w:vAlign w:val="top"/>
            <w:shd w:fill="EDF3F4"/>
          </w:tcPr>
          <w:p>
            <w:pPr>
              <w:spacing w:after="100" w:before="80"/>
            </w:pPr>
            <w:r>
              <w:rPr>
                <w:b/>
                <w:sz w:val="19"/>
              </w:rPr>
              <w:t>Источник</w:t>
            </w:r>
          </w:p>
        </w:tc>
        <w:tc>
          <w:tcPr>
            <w:tcW w:type="dxa" w:w="7171"/>
            <w:vAlign w:val="top"/>
          </w:tcPr>
          <w:p>
            <w:pPr>
              <w:spacing w:after="100" w:before="80"/>
            </w:pPr>
            <w:r>
              <w:rPr>
                <w:b w:val="0"/>
                <w:sz w:val="19"/>
              </w:rPr>
              <w:t>ToS Deep Research_ T2-04 — Армянская переводная книжность и философско-богословская лексика(1).docx.</w:t>
            </w:r>
          </w:p>
        </w:tc>
      </w:tr>
      <w:tr>
        <w:trPr>
          <w:cantSplit/>
        </w:trPr>
        <w:tc>
          <w:tcPr>
            <w:tcW w:type="dxa" w:w="2477"/>
            <w:vAlign w:val="top"/>
            <w:shd w:fill="EDF3F4"/>
          </w:tcPr>
          <w:p>
            <w:pPr>
              <w:spacing w:after="100" w:before="80"/>
            </w:pPr>
            <w:r>
              <w:rPr>
                <w:b/>
                <w:sz w:val="19"/>
              </w:rPr>
              <w:t>Проверка</w:t>
            </w:r>
          </w:p>
        </w:tc>
        <w:tc>
          <w:tcPr>
            <w:tcW w:type="dxa" w:w="7171"/>
            <w:vAlign w:val="top"/>
          </w:tcPr>
          <w:p>
            <w:pPr>
              <w:spacing w:after="100" w:before="80"/>
            </w:pPr>
            <w:r>
              <w:rPr>
                <w:b w:val="0"/>
                <w:sz w:val="19"/>
              </w:rPr>
              <w:t>4 сентября 2026 года. Состояние страниц и доступов относится к этой дате.</w:t>
            </w:r>
          </w:p>
        </w:tc>
      </w:tr>
      <w:tr>
        <w:trPr>
          <w:cantSplit/>
        </w:trPr>
        <w:tc>
          <w:tcPr>
            <w:tcW w:type="dxa" w:w="2477"/>
            <w:vAlign w:val="top"/>
            <w:shd w:fill="EDF3F4"/>
          </w:tcPr>
          <w:p>
            <w:pPr>
              <w:spacing w:after="100" w:before="80"/>
            </w:pPr>
            <w:r>
              <w:rPr>
                <w:b/>
                <w:sz w:val="19"/>
              </w:rPr>
              <w:t>Языки поиска</w:t>
            </w:r>
          </w:p>
        </w:tc>
        <w:tc>
          <w:tcPr>
            <w:tcW w:type="dxa" w:w="7171"/>
            <w:vAlign w:val="top"/>
          </w:tcPr>
          <w:p>
            <w:pPr>
              <w:spacing w:after="100" w:before="80"/>
            </w:pPr>
            <w:r>
              <w:rPr>
                <w:b w:val="0"/>
                <w:sz w:val="19"/>
              </w:rPr>
              <w:t>Русский, английский, армянский; французские, немецкие и латинские названия/выходные данные; греческие названия и идентификаторы.</w:t>
            </w:r>
          </w:p>
        </w:tc>
      </w:tr>
    </w:tbl>
    <w:p>
      <w:r>
        <w:rPr>
          <w:b w:val="0"/>
        </w:rPr>
      </w:r>
      <w:r>
        <w:rPr>
          <w:b/>
        </w:rPr>
        <w:t>Исходная карта.</w:t>
      </w:r>
      <w:r>
        <w:rPr>
          <w:b w:val="0"/>
        </w:rPr>
        <w:t xml:space="preserve"> Из DR извлечены армянская Библия, Корюн и Езник, армянский Organon, Давидовский и анонимный комментаторские корпуса, Филон, Анания Ширакаци, Григор Магистрос, Ованнес Саркаваг, грамматика, риторика и канонические списки. Вложенные предложения о графах и подисследованиях не выполнялись. Исходный файл и мастер-строка не изменены.</w:t>
      </w:r>
    </w:p>
    <w:p>
      <w:r>
        <w:rPr>
          <w:b w:val="0"/>
        </w:rPr>
      </w:r>
      <w:r>
        <w:rPr>
          <w:b/>
        </w:rPr>
        <w:t>Типы и доказательства.</w:t>
      </w:r>
      <w:r>
        <w:rPr>
          <w:b w:val="0"/>
        </w:rPr>
        <w:t xml:space="preserve"> Искались произведения, корпусные сборники, переводы и редакции, свидетели, факсимиле, датасеты и каталоги. Для доступа использованы AUA, Матенадаран, LOC, CCEL, BKV, научные репозитории, издатели и библиотеки. Библиографию подтверждали конкретные книжные/рукописные карточки, критические публикации и издательские описания; права — отдельные уведомления, README/TEI и официальные условия. Наличие файла на сервере не принято за лицензию.</w:t>
      </w:r>
    </w:p>
    <w:p>
      <w:r>
        <w:rPr>
          <w:b w:val="0"/>
        </w:rPr>
      </w:r>
      <w:r>
        <w:rPr>
          <w:b/>
        </w:rPr>
        <w:t>Как читать пакет.</w:t>
      </w:r>
      <w:r>
        <w:rPr>
          <w:b w:val="0"/>
        </w:rPr>
        <w:t xml:space="preserve"> R001 означает строку T2-04-R001 в registry; короткая ссылка ведёт к источнику доступа. Для применения прав дополнительно читать rights_scope, coverage, rights_evidence_url и notes. G001 означает запись gaps. Неустановленные кандидаты из слабой навигации оставлены в G025; ссылки на Wikipedia в поставку не включены.</w:t>
      </w:r>
    </w:p>
    <w:p>
      <w:r>
        <w:br w:type="page"/>
      </w:r>
    </w:p>
    <w:p>
      <w:pPr>
        <w:pStyle w:val="Heading1"/>
      </w:pPr>
      <w:r>
        <w:t>2. Охват корпуса</w:t>
      </w:r>
    </w:p>
    <w:p>
      <w:pPr>
        <w:pStyle w:val="Heading2"/>
      </w:pPr>
      <w:r>
        <w:t>Что удалось установить</w:t>
      </w:r>
    </w:p>
    <w:p>
      <w:r>
        <w:rPr>
          <w:b w:val="0"/>
        </w:rPr>
        <w:t xml:space="preserve">В XLSX </w:t>
      </w:r>
      <w:r>
        <w:rPr>
          <w:b/>
        </w:rPr>
        <w:t>55 практически различимых записей доступа</w:t>
      </w:r>
      <w:r>
        <w:rPr>
          <w:b w:val="0"/>
        </w:rPr>
        <w:t xml:space="preserve">, а не 55 произведений: четыре маршрута Корюна относятся к одному Житию, несколько маршрутов Филона — к одной корпусной семье. По осторожному укрупнённому подсчёту представлены </w:t>
      </w:r>
      <w:r>
        <w:rPr>
          <w:b/>
        </w:rPr>
        <w:t>порядка тридцати первичных произведений и корпусных групп</w:t>
      </w:r>
      <w:r>
        <w:rPr>
          <w:b w:val="0"/>
        </w:rPr>
        <w:t>, включая объекты, известные здесь лишь по карточке, фрагменту или каталожному указателю. Вспомогательные статьи и цифровые инфраструктуры в это число не превращаются.</w:t>
      </w:r>
    </w:p>
    <w:p>
      <w:r>
        <w:rPr>
          <w:b w:val="0"/>
        </w:rPr>
        <w:t>По типам объектов: 34 записи переводов/изданий, шесть произведений с каталожным входом, три тома корпуса, четыре датасета/машиночитаемых ресурса, два физических свидетеля, одно факсимиле, один каталог и четыре вторично-навигационных публикации. Это классификация записей доступа, не подсчёт независимых древних текстов.</w:t>
      </w:r>
    </w:p>
    <w:p>
      <w:r>
        <w:rPr>
          <w:b w:val="0"/>
        </w:rPr>
        <w:t>По релевантности: 25 core; четыре same_corpus_or_tradition; две antecedent; четыре continuation; две commentary_or_reception; 13 transmission_or_preservation; три infrastructure; две secondary_navigation. Отдельные supporting и boundary в основном листе не понадобились: спорные пограничные кандидаты не повышены до подтверждённых объектов.</w:t>
      </w:r>
    </w:p>
    <w:p>
      <w:pPr>
        <w:pStyle w:val="Heading2"/>
      </w:pPr>
      <w:r>
        <w:t>Ядро, извлечённое из DR</w:t>
      </w:r>
    </w:p>
    <w:p>
      <w:r>
        <w:rPr>
          <w:b w:val="0"/>
        </w:rPr>
      </w:r>
      <w:r>
        <w:rPr>
          <w:b/>
        </w:rPr>
        <w:t>Перевод и понятийный язык.</w:t>
      </w:r>
      <w:r>
        <w:rPr>
          <w:b w:val="0"/>
        </w:rPr>
        <w:t xml:space="preserve"> У Корюна найдены три электронные армянские редакции и современный английский перевод; у Езника — армянская редакция Минасяна, немецкое чтение BKV и английское научное издание. Четыре названия Давидовского корпуса разделены, анонимный комментарий к Об истолковании учтён отдельно. Авторство всех этих текстов не сведено к одному достоверно установленному биографическому Давиду.</w:t>
      </w:r>
      <w:r>
        <w:t xml:space="preserve">  </w:t>
      </w:r>
      <w:hyperlink r:id="rId11">
        <w:r>
          <w:rPr>
            <w:color w:val="17677C"/>
            <w:u w:val="single"/>
            <w:sz w:val="18"/>
          </w:rPr>
          <w:t>R001</w:t>
        </w:r>
      </w:hyperlink>
      <w:r>
        <w:t xml:space="preserve"> · </w:t>
      </w:r>
      <w:hyperlink r:id="rId12">
        <w:r>
          <w:rPr>
            <w:color w:val="17677C"/>
            <w:u w:val="single"/>
            <w:sz w:val="18"/>
          </w:rPr>
          <w:t>R004</w:t>
        </w:r>
      </w:hyperlink>
      <w:r>
        <w:t xml:space="preserve"> · </w:t>
      </w:r>
      <w:hyperlink r:id="rId13">
        <w:r>
          <w:rPr>
            <w:color w:val="17677C"/>
            <w:u w:val="single"/>
            <w:sz w:val="18"/>
          </w:rPr>
          <w:t>R005</w:t>
        </w:r>
      </w:hyperlink>
      <w:r>
        <w:t xml:space="preserve"> · </w:t>
      </w:r>
      <w:hyperlink r:id="rId14">
        <w:r>
          <w:rPr>
            <w:color w:val="17677C"/>
            <w:u w:val="single"/>
            <w:sz w:val="18"/>
          </w:rPr>
          <w:t>R021</w:t>
        </w:r>
      </w:hyperlink>
    </w:p>
    <w:p>
      <w:r>
        <w:rPr>
          <w:b w:val="0"/>
        </w:rPr>
      </w:r>
      <w:r>
        <w:rPr>
          <w:b/>
        </w:rPr>
        <w:t>Научная книжность.</w:t>
      </w:r>
      <w:r>
        <w:rPr>
          <w:b w:val="0"/>
        </w:rPr>
        <w:t xml:space="preserve"> Для Анании выделены автобиография, география, стихометрический список, арифметика, обычные и занимательные задачи, трактат о зодиаке. Часть AUA-входов пока подтверждает только название и ссылку. Knnikon представлен исследованием свидетельств; это не найденная полная авторская энциклопедия. У Григора Магистроса проверено оглавление Писем, но выборочное чтение тела текста не удалось. Рассуждение о мудрости Саркавага осталось отдельным пробелом G001.</w:t>
      </w:r>
      <w:r>
        <w:t xml:space="preserve">  </w:t>
      </w:r>
      <w:hyperlink r:id="rId15">
        <w:r>
          <w:rPr>
            <w:color w:val="17677C"/>
            <w:u w:val="single"/>
            <w:sz w:val="18"/>
          </w:rPr>
          <w:t>R012</w:t>
        </w:r>
      </w:hyperlink>
      <w:r>
        <w:t xml:space="preserve"> · </w:t>
      </w:r>
      <w:hyperlink r:id="rId16">
        <w:r>
          <w:rPr>
            <w:color w:val="17677C"/>
            <w:u w:val="single"/>
            <w:sz w:val="18"/>
          </w:rPr>
          <w:t>R024</w:t>
        </w:r>
      </w:hyperlink>
      <w:r>
        <w:t xml:space="preserve"> · </w:t>
      </w:r>
      <w:hyperlink r:id="rId17">
        <w:r>
          <w:rPr>
            <w:color w:val="17677C"/>
            <w:u w:val="single"/>
            <w:sz w:val="18"/>
          </w:rPr>
          <w:t>R029</w:t>
        </w:r>
      </w:hyperlink>
      <w:r>
        <w:t xml:space="preserve"> · </w:t>
      </w:r>
      <w:hyperlink r:id="rId18">
        <w:r>
          <w:rPr>
            <w:color w:val="17677C"/>
            <w:u w:val="single"/>
            <w:sz w:val="18"/>
          </w:rPr>
          <w:t>R011</w:t>
        </w:r>
      </w:hyperlink>
    </w:p>
    <w:p>
      <w:pPr>
        <w:pStyle w:val="Heading2"/>
      </w:pPr>
      <w:r>
        <w:t>Расширение назад</w:t>
      </w:r>
    </w:p>
    <w:p>
      <w:r>
        <w:rPr>
          <w:b w:val="0"/>
        </w:rPr>
      </w:r>
      <w:r>
        <w:rPr>
          <w:b/>
        </w:rPr>
        <w:t>Аристотель.</w:t>
      </w:r>
      <w:r>
        <w:rPr>
          <w:b w:val="0"/>
        </w:rPr>
        <w:t xml:space="preserve"> Найдены два полнотекстовых греческих TEI — Категории и Об истолковании — с лицензией внутри XML. Они включены как прямые исходные тексты армянского логического корпуса, а не как общая подборка античной философии. Порфирий остаётся доступен через корпусную коллацию и Давидовский комментарий; отдельный чистый полный текст армянской Isagoge ещё требуется.</w:t>
      </w:r>
      <w:r>
        <w:t xml:space="preserve">  </w:t>
      </w:r>
      <w:hyperlink r:id="rId19">
        <w:r>
          <w:rPr>
            <w:color w:val="17677C"/>
            <w:u w:val="single"/>
            <w:sz w:val="18"/>
          </w:rPr>
          <w:t>R028</w:t>
        </w:r>
      </w:hyperlink>
      <w:r>
        <w:t xml:space="preserve"> · </w:t>
      </w:r>
      <w:hyperlink r:id="rId20">
        <w:r>
          <w:rPr>
            <w:color w:val="17677C"/>
            <w:u w:val="single"/>
            <w:sz w:val="18"/>
          </w:rPr>
          <w:t>R022</w:t>
        </w:r>
      </w:hyperlink>
      <w:r>
        <w:t xml:space="preserve"> · </w:t>
      </w:r>
      <w:hyperlink r:id="rId21">
        <w:r>
          <w:rPr>
            <w:color w:val="17677C"/>
            <w:u w:val="single"/>
            <w:sz w:val="18"/>
          </w:rPr>
          <w:t>R020</w:t>
        </w:r>
      </w:hyperlink>
    </w:p>
    <w:p>
      <w:r>
        <w:rPr>
          <w:b w:val="0"/>
        </w:rPr>
      </w:r>
      <w:r>
        <w:rPr>
          <w:b/>
        </w:rPr>
        <w:t>Риторика и ранние источники.</w:t>
      </w:r>
      <w:r>
        <w:rPr>
          <w:b w:val="0"/>
        </w:rPr>
        <w:t xml:space="preserve"> Современное издание Прогимнасм Теона объединяет греческую и армянскую традиции; армянская версия важна для установления более полного текста. Издание сохранено как законная покупка. Дионисий Фракийский и Шестоднев Василия — содержательные ранние направления, однако проверенные полные первичные входы не найдены; G015 и G023 фиксируют этот предел.</w:t>
      </w:r>
      <w:r>
        <w:t xml:space="preserve">  </w:t>
      </w:r>
      <w:hyperlink r:id="rId22">
        <w:r>
          <w:rPr>
            <w:color w:val="17677C"/>
            <w:u w:val="single"/>
            <w:sz w:val="18"/>
          </w:rPr>
          <w:t>R055</w:t>
        </w:r>
      </w:hyperlink>
      <w:r>
        <w:t xml:space="preserve"> · </w:t>
      </w:r>
      <w:hyperlink r:id="rId23">
        <w:r>
          <w:rPr>
            <w:color w:val="17677C"/>
            <w:u w:val="single"/>
            <w:sz w:val="18"/>
          </w:rPr>
          <w:t>R041</w:t>
        </w:r>
      </w:hyperlink>
    </w:p>
    <w:p>
      <w:pPr>
        <w:pStyle w:val="Heading2"/>
      </w:pPr>
      <w:r>
        <w:t>Расширение вперёд и сохранение раннего материала</w:t>
      </w:r>
    </w:p>
    <w:p>
      <w:r>
        <w:rPr>
          <w:b w:val="0"/>
        </w:rPr>
      </w:r>
      <w:r>
        <w:rPr>
          <w:b/>
        </w:rPr>
        <w:t>Канонические списки.</w:t>
      </w:r>
      <w:r>
        <w:rPr>
          <w:b w:val="0"/>
        </w:rPr>
        <w:t xml:space="preserve"> К Анание добавлены списки Мхитара Айриванеци около 1285 года, Григора Татеваци XIV века и Аракела Сюнеци XIV–начала XV века. Основание — одна документированная линия классификации библейских книг и её рукописная передача, а не принадлежность всех авторов к армянской культуре. Статьи Stone являются одновременно критическими входами и современными охраняемыми изданиями.</w:t>
      </w:r>
      <w:r>
        <w:t xml:space="preserve">  </w:t>
      </w:r>
      <w:hyperlink r:id="rId24">
        <w:r>
          <w:rPr>
            <w:color w:val="17677C"/>
            <w:u w:val="single"/>
            <w:sz w:val="18"/>
          </w:rPr>
          <w:t>R050</w:t>
        </w:r>
      </w:hyperlink>
      <w:r>
        <w:t xml:space="preserve"> · </w:t>
      </w:r>
      <w:hyperlink r:id="rId25">
        <w:r>
          <w:rPr>
            <w:color w:val="17677C"/>
            <w:u w:val="single"/>
            <w:sz w:val="18"/>
          </w:rPr>
          <w:t>R051</w:t>
        </w:r>
      </w:hyperlink>
      <w:r>
        <w:t xml:space="preserve"> · </w:t>
      </w:r>
      <w:hyperlink r:id="rId26">
        <w:r>
          <w:rPr>
            <w:color w:val="17677C"/>
            <w:u w:val="single"/>
            <w:sz w:val="18"/>
          </w:rPr>
          <w:t>R052</w:t>
        </w:r>
      </w:hyperlink>
      <w:r>
        <w:t xml:space="preserve"> · </w:t>
      </w:r>
      <w:hyperlink r:id="rId27">
        <w:r>
          <w:rPr>
            <w:color w:val="17677C"/>
            <w:u w:val="single"/>
            <w:sz w:val="18"/>
          </w:rPr>
          <w:t>R053</w:t>
        </w:r>
      </w:hyperlink>
    </w:p>
    <w:p>
      <w:r>
        <w:rPr>
          <w:b w:val="0"/>
        </w:rPr>
      </w:r>
      <w:r>
        <w:rPr>
          <w:b/>
        </w:rPr>
        <w:t>Грамматическая рецепция.</w:t>
      </w:r>
      <w:r>
        <w:rPr>
          <w:b w:val="0"/>
        </w:rPr>
        <w:t xml:space="preserve"> О грамматике Крнеци 1340-х годов включено через исследование с фрагментами и указателем W293. Связь конкретна: использование армянского Дионисия и его толкователей, дополненное латинским материалом. Полного трактата это не даёт. Календарь Саркавага представлен как развитие календарной линии Анании внутри поздней части исторического ядра.</w:t>
      </w:r>
      <w:r>
        <w:t xml:space="preserve">  </w:t>
      </w:r>
      <w:hyperlink r:id="rId23">
        <w:r>
          <w:rPr>
            <w:color w:val="17677C"/>
            <w:u w:val="single"/>
            <w:sz w:val="18"/>
          </w:rPr>
          <w:t>R041</w:t>
        </w:r>
      </w:hyperlink>
      <w:r>
        <w:t xml:space="preserve"> · </w:t>
      </w:r>
      <w:hyperlink r:id="rId28">
        <w:r>
          <w:rPr>
            <w:color w:val="17677C"/>
            <w:u w:val="single"/>
            <w:sz w:val="18"/>
          </w:rPr>
          <w:t>R042</w:t>
        </w:r>
      </w:hyperlink>
    </w:p>
    <w:p>
      <w:r>
        <w:rPr>
          <w:b w:val="0"/>
        </w:rPr>
      </w:r>
      <w:r>
        <w:rPr>
          <w:b/>
        </w:rPr>
        <w:t>Печатная и рукописная передача.</w:t>
      </w:r>
      <w:r>
        <w:rPr>
          <w:b w:val="0"/>
        </w:rPr>
        <w:t xml:space="preserve"> За пределы XII века вынесены евангельские свидетели 1321 и 1487 годов, Библия Оскана 1666 года, толкование Псалмов 1687 года и печатные армянские слои Кирилла, Евсевия и Филона. Каждый объект сохраняет или переоформляет конкретный ранний корпус; поздняя дата не делает его нерелевантным. Выставочные страницы при этом не названы полными факсимиле.</w:t>
      </w:r>
      <w:r>
        <w:t xml:space="preserve">  </w:t>
      </w:r>
      <w:hyperlink r:id="rId29">
        <w:r>
          <w:rPr>
            <w:color w:val="17677C"/>
            <w:u w:val="single"/>
            <w:sz w:val="18"/>
          </w:rPr>
          <w:t>R013</w:t>
        </w:r>
      </w:hyperlink>
      <w:r>
        <w:t xml:space="preserve"> · </w:t>
      </w:r>
      <w:hyperlink r:id="rId30">
        <w:r>
          <w:rPr>
            <w:color w:val="17677C"/>
            <w:u w:val="single"/>
            <w:sz w:val="18"/>
          </w:rPr>
          <w:t>R044</w:t>
        </w:r>
      </w:hyperlink>
      <w:r>
        <w:t xml:space="preserve"> · </w:t>
      </w:r>
      <w:hyperlink r:id="rId31">
        <w:r>
          <w:rPr>
            <w:color w:val="17677C"/>
            <w:u w:val="single"/>
            <w:sz w:val="18"/>
          </w:rPr>
          <w:t>R045</w:t>
        </w:r>
      </w:hyperlink>
      <w:r>
        <w:t xml:space="preserve"> · </w:t>
      </w:r>
      <w:hyperlink r:id="rId32">
        <w:r>
          <w:rPr>
            <w:color w:val="17677C"/>
            <w:u w:val="single"/>
            <w:sz w:val="18"/>
          </w:rPr>
          <w:t>R046</w:t>
        </w:r>
      </w:hyperlink>
      <w:r>
        <w:t xml:space="preserve"> · </w:t>
      </w:r>
      <w:hyperlink r:id="rId33">
        <w:r>
          <w:rPr>
            <w:color w:val="17677C"/>
            <w:u w:val="single"/>
            <w:sz w:val="18"/>
          </w:rPr>
          <w:t>R047</w:t>
        </w:r>
      </w:hyperlink>
      <w:r>
        <w:t xml:space="preserve"> · </w:t>
      </w:r>
      <w:hyperlink r:id="rId34">
        <w:r>
          <w:rPr>
            <w:color w:val="17677C"/>
            <w:u w:val="single"/>
            <w:sz w:val="18"/>
          </w:rPr>
          <w:t>R048</w:t>
        </w:r>
      </w:hyperlink>
      <w:r>
        <w:t xml:space="preserve"> · </w:t>
      </w:r>
      <w:hyperlink r:id="rId35">
        <w:r>
          <w:rPr>
            <w:color w:val="17677C"/>
            <w:u w:val="single"/>
            <w:sz w:val="18"/>
          </w:rPr>
          <w:t>R049</w:t>
        </w:r>
      </w:hyperlink>
    </w:p>
    <w:p>
      <w:r>
        <w:rPr>
          <w:b w:val="0"/>
        </w:rPr>
      </w:r>
      <w:r>
        <w:rPr>
          <w:b/>
        </w:rPr>
        <w:t>Добавления веб-поиска.</w:t>
      </w:r>
      <w:r>
        <w:rPr>
          <w:b w:val="0"/>
        </w:rPr>
        <w:t xml:space="preserve"> Выявлены открытая английская математическая адаптация Анании, армянский UD CAVaL, Доказательство апостольской проповеди Иринея, армянская линия Хроники Евсевия и критическое издание армянского цикла Феклы и Павла. Эти результаты расширяют карту DR, но не меняют её историческое ядро. Тексты Иринея, Евсевия и Филона важны именно как случаи сохранения и передачи через армянскую версию.</w:t>
      </w:r>
      <w:r>
        <w:t xml:space="preserve">  </w:t>
      </w:r>
      <w:hyperlink r:id="rId36">
        <w:r>
          <w:rPr>
            <w:color w:val="17677C"/>
            <w:u w:val="single"/>
            <w:sz w:val="18"/>
          </w:rPr>
          <w:t>R040</w:t>
        </w:r>
      </w:hyperlink>
      <w:r>
        <w:t xml:space="preserve"> · </w:t>
      </w:r>
      <w:hyperlink r:id="rId37">
        <w:r>
          <w:rPr>
            <w:color w:val="17677C"/>
            <w:u w:val="single"/>
            <w:sz w:val="18"/>
          </w:rPr>
          <w:t>R043</w:t>
        </w:r>
      </w:hyperlink>
      <w:r>
        <w:t xml:space="preserve"> · </w:t>
      </w:r>
      <w:hyperlink r:id="rId38">
        <w:r>
          <w:rPr>
            <w:color w:val="17677C"/>
            <w:u w:val="single"/>
            <w:sz w:val="18"/>
          </w:rPr>
          <w:t>R037</w:t>
        </w:r>
      </w:hyperlink>
      <w:r>
        <w:t xml:space="preserve"> · </w:t>
      </w:r>
      <w:hyperlink r:id="rId39">
        <w:r>
          <w:rPr>
            <w:color w:val="17677C"/>
            <w:u w:val="single"/>
            <w:sz w:val="18"/>
          </w:rPr>
          <w:t>R038</w:t>
        </w:r>
      </w:hyperlink>
      <w:r>
        <w:t xml:space="preserve"> · </w:t>
      </w:r>
      <w:hyperlink r:id="rId40">
        <w:r>
          <w:rPr>
            <w:color w:val="17677C"/>
            <w:u w:val="single"/>
            <w:sz w:val="18"/>
          </w:rPr>
          <w:t>R054</w:t>
        </w:r>
      </w:hyperlink>
    </w:p>
    <w:p>
      <w:pPr>
        <w:pStyle w:val="Heading1"/>
      </w:pPr>
      <w:r>
        <w:t>3. Лучшие пути доступа</w:t>
      </w:r>
    </w:p>
    <w:p>
      <w:pPr>
        <w:pStyle w:val="Heading2"/>
      </w:pPr>
      <w:r>
        <w:t>Корюн и Езник</w:t>
      </w:r>
    </w:p>
    <w:p>
      <w:r>
        <w:rPr>
          <w:b w:val="0"/>
        </w:rPr>
      </w:r>
      <w:r>
        <w:rPr>
          <w:b/>
        </w:rPr>
        <w:t>Корюн — лучшее бесплатное чтение:</w:t>
      </w:r>
      <w:r>
        <w:rPr>
          <w:b w:val="0"/>
        </w:rPr>
        <w:t xml:space="preserve"> AUA, три раздельные редакции Жития Маштоца: основа Абегяна 1941 с корректурами, Матевосян 1994, Ананян 1998. Это возможность сравнивать редакционные решения, а не три разных произведения. </w:t>
      </w:r>
      <w:r>
        <w:rPr>
          <w:b/>
        </w:rPr>
        <w:t>Современный научный перевод:</w:t>
      </w:r>
      <w:r>
        <w:rPr>
          <w:b w:val="0"/>
        </w:rPr>
        <w:t xml:space="preserve"> Abraham Terian, OUP, электронное издание 2022; найдена официальная торговая карточка. </w:t>
      </w:r>
      <w:r>
        <w:rPr>
          <w:b/>
        </w:rPr>
        <w:t>Чистое факсимиле и свободный армянский текст для нового перевода:</w:t>
      </w:r>
      <w:r>
        <w:rPr>
          <w:b w:val="0"/>
        </w:rPr>
        <w:t xml:space="preserve"> пока не установлены; старый год печатной основы не очищает поздние исправления.</w:t>
      </w:r>
      <w:r>
        <w:t xml:space="preserve">  </w:t>
      </w:r>
      <w:hyperlink r:id="rId11">
        <w:r>
          <w:rPr>
            <w:color w:val="17677C"/>
            <w:u w:val="single"/>
            <w:sz w:val="18"/>
          </w:rPr>
          <w:t>R001</w:t>
        </w:r>
      </w:hyperlink>
      <w:r>
        <w:t xml:space="preserve"> · </w:t>
      </w:r>
      <w:hyperlink r:id="rId41">
        <w:r>
          <w:rPr>
            <w:color w:val="17677C"/>
            <w:u w:val="single"/>
            <w:sz w:val="18"/>
          </w:rPr>
          <w:t>R002</w:t>
        </w:r>
      </w:hyperlink>
      <w:r>
        <w:t xml:space="preserve"> · </w:t>
      </w:r>
      <w:hyperlink r:id="rId42">
        <w:r>
          <w:rPr>
            <w:color w:val="17677C"/>
            <w:u w:val="single"/>
            <w:sz w:val="18"/>
          </w:rPr>
          <w:t>R003</w:t>
        </w:r>
      </w:hyperlink>
      <w:r>
        <w:t xml:space="preserve"> · </w:t>
      </w:r>
      <w:hyperlink r:id="rId43">
        <w:r>
          <w:rPr>
            <w:color w:val="17677C"/>
            <w:u w:val="single"/>
            <w:sz w:val="18"/>
          </w:rPr>
          <w:t>R019</w:t>
        </w:r>
      </w:hyperlink>
    </w:p>
    <w:p>
      <w:r>
        <w:rPr>
          <w:b w:val="0"/>
        </w:rPr>
      </w:r>
      <w:r>
        <w:rPr>
          <w:b/>
        </w:rPr>
        <w:t>Езник — оригинальный язык:</w:t>
      </w:r>
      <w:r>
        <w:rPr>
          <w:b w:val="0"/>
        </w:rPr>
        <w:t xml:space="preserve"> AUA публикует редакцию Мартироса Минасяна 1992. </w:t>
      </w:r>
      <w:r>
        <w:rPr>
          <w:b/>
        </w:rPr>
        <w:t>Бесплатный перевод:</w:t>
      </w:r>
      <w:r>
        <w:rPr>
          <w:b w:val="0"/>
        </w:rPr>
        <w:t xml:space="preserve"> немецкий текст BKV; его точные титульные данные и редакционный слой ещё нужно установить. </w:t>
      </w:r>
      <w:r>
        <w:rPr>
          <w:b/>
        </w:rPr>
        <w:t>Современный английский вариант:</w:t>
      </w:r>
      <w:r>
        <w:rPr>
          <w:b w:val="0"/>
        </w:rPr>
        <w:t xml:space="preserve"> Monica J. Blanchard и Robin Darling Young, A Treatise on God, 1998; сохранена законная покупка, а не неподтверждённая свободная копия. Французская PO 28 и факсимиле MS 1097 остаются G007 и G005.</w:t>
      </w:r>
      <w:r>
        <w:t xml:space="preserve">  </w:t>
      </w:r>
      <w:hyperlink r:id="rId12">
        <w:r>
          <w:rPr>
            <w:color w:val="17677C"/>
            <w:u w:val="single"/>
            <w:sz w:val="18"/>
          </w:rPr>
          <w:t>R004</w:t>
        </w:r>
      </w:hyperlink>
      <w:r>
        <w:t xml:space="preserve"> · </w:t>
      </w:r>
      <w:hyperlink r:id="rId44">
        <w:r>
          <w:rPr>
            <w:color w:val="17677C"/>
            <w:u w:val="single"/>
            <w:sz w:val="18"/>
          </w:rPr>
          <w:t>R023</w:t>
        </w:r>
      </w:hyperlink>
      <w:r>
        <w:t xml:space="preserve"> · </w:t>
      </w:r>
      <w:hyperlink r:id="rId45">
        <w:r>
          <w:rPr>
            <w:color w:val="17677C"/>
            <w:u w:val="single"/>
            <w:sz w:val="18"/>
          </w:rPr>
          <w:t>R036</w:t>
        </w:r>
      </w:hyperlink>
    </w:p>
    <w:p>
      <w:pPr>
        <w:pStyle w:val="Heading2"/>
      </w:pPr>
      <w:r>
        <w:t>Логический корпус и Давидовская традиция</w:t>
      </w:r>
    </w:p>
    <w:p>
      <w:r>
        <w:rPr>
          <w:b w:val="0"/>
        </w:rPr>
      </w:r>
      <w:r>
        <w:rPr>
          <w:b/>
        </w:rPr>
        <w:t>Бесплатный армянский вход:</w:t>
      </w:r>
      <w:r>
        <w:rPr>
          <w:b w:val="0"/>
        </w:rPr>
        <w:t xml:space="preserve"> AUA — Определения философии и Комментарий к Isagoge; текстовые образцы открыты. Для комментариев к Первой аналитике и Категориям открылись оглавления, но дальнейшие переходы дали сбой. Эти две записи понижены до metadata_only / temporarily_unavailable, а не выданы за проверенное полное чтение.</w:t>
      </w:r>
      <w:r>
        <w:t xml:space="preserve">  </w:t>
      </w:r>
      <w:hyperlink r:id="rId13">
        <w:r>
          <w:rPr>
            <w:color w:val="17677C"/>
            <w:u w:val="single"/>
            <w:sz w:val="18"/>
          </w:rPr>
          <w:t>R005</w:t>
        </w:r>
      </w:hyperlink>
      <w:r>
        <w:t xml:space="preserve"> · </w:t>
      </w:r>
      <w:hyperlink r:id="rId46">
        <w:r>
          <w:rPr>
            <w:color w:val="17677C"/>
            <w:u w:val="single"/>
            <w:sz w:val="18"/>
          </w:rPr>
          <w:t>R007</w:t>
        </w:r>
      </w:hyperlink>
      <w:r>
        <w:t xml:space="preserve"> · </w:t>
      </w:r>
      <w:hyperlink r:id="rId47">
        <w:r>
          <w:rPr>
            <w:color w:val="17677C"/>
            <w:u w:val="single"/>
            <w:sz w:val="18"/>
          </w:rPr>
          <w:t>R006</w:t>
        </w:r>
      </w:hyperlink>
      <w:r>
        <w:t xml:space="preserve"> · </w:t>
      </w:r>
      <w:hyperlink r:id="rId48">
        <w:r>
          <w:rPr>
            <w:color w:val="17677C"/>
            <w:u w:val="single"/>
            <w:sz w:val="18"/>
          </w:rPr>
          <w:t>R008</w:t>
        </w:r>
      </w:hyperlink>
    </w:p>
    <w:p>
      <w:r>
        <w:rPr>
          <w:b w:val="0"/>
        </w:rPr>
      </w:r>
      <w:r>
        <w:rPr>
          <w:b/>
        </w:rPr>
        <w:t>Современные научные редакции:</w:t>
      </w:r>
      <w:r>
        <w:rPr>
          <w:b w:val="0"/>
        </w:rPr>
        <w:t xml:space="preserve"> Topchyan, Commentary on Aristotle’s Prior Analytics, Brill: проверенный свободный объект — вводный материал, не весь том. Muradyan, Commentary on Porphyry’s Isagoge, Brill 2015: библиотечная карточка Penn с институциональными электронными маршрутами. Для анонимного комментария Lachance 2021 переводит только главу 1; полный армянский текст следует искать в Matenagirk XVII, с. 787–979.</w:t>
      </w:r>
      <w:r>
        <w:t xml:space="preserve">  </w:t>
      </w:r>
      <w:hyperlink r:id="rId49">
        <w:r>
          <w:rPr>
            <w:color w:val="17677C"/>
            <w:u w:val="single"/>
            <w:sz w:val="18"/>
          </w:rPr>
          <w:t>R010</w:t>
        </w:r>
      </w:hyperlink>
      <w:r>
        <w:t xml:space="preserve"> · </w:t>
      </w:r>
      <w:hyperlink r:id="rId21">
        <w:r>
          <w:rPr>
            <w:color w:val="17677C"/>
            <w:u w:val="single"/>
            <w:sz w:val="18"/>
          </w:rPr>
          <w:t>R020</w:t>
        </w:r>
      </w:hyperlink>
      <w:r>
        <w:t xml:space="preserve"> · </w:t>
      </w:r>
      <w:hyperlink r:id="rId14">
        <w:r>
          <w:rPr>
            <w:color w:val="17677C"/>
            <w:u w:val="single"/>
            <w:sz w:val="18"/>
          </w:rPr>
          <w:t>R021</w:t>
        </w:r>
      </w:hyperlink>
    </w:p>
    <w:p>
      <w:r>
        <w:rPr>
          <w:b w:val="0"/>
        </w:rPr>
      </w:r>
      <w:r>
        <w:rPr>
          <w:b/>
        </w:rPr>
        <w:t>Старое издание:</w:t>
      </w:r>
      <w:r>
        <w:rPr>
          <w:b w:val="0"/>
        </w:rPr>
        <w:t xml:space="preserve"> Conybeare, A Collation with the Ancient Armenian Versions, 1892 — полезный слой сопоставления Аристотеля и Порфирия. Google Books предлагает форматы загрузки, но их бинарное получение не подтверждено; коллация не подменяет полный самостоятельный армянский текст. </w:t>
      </w:r>
      <w:r>
        <w:rPr>
          <w:b/>
        </w:rPr>
        <w:t>Лучший машинный и лицензионный вход:</w:t>
      </w:r>
      <w:r>
        <w:rPr>
          <w:b w:val="0"/>
        </w:rPr>
        <w:t xml:space="preserve"> пара Greek TEI R028, CC BY-SA 4.0. Разрешительный вывод относится к этим двум XML, а не к армянским комментариям.</w:t>
      </w:r>
      <w:r>
        <w:t xml:space="preserve">  </w:t>
      </w:r>
      <w:hyperlink r:id="rId20">
        <w:r>
          <w:rPr>
            <w:color w:val="17677C"/>
            <w:u w:val="single"/>
            <w:sz w:val="18"/>
          </w:rPr>
          <w:t>R022</w:t>
        </w:r>
      </w:hyperlink>
      <w:r>
        <w:t xml:space="preserve"> · </w:t>
      </w:r>
      <w:hyperlink r:id="rId19">
        <w:r>
          <w:rPr>
            <w:color w:val="17677C"/>
            <w:u w:val="single"/>
            <w:sz w:val="18"/>
          </w:rPr>
          <w:t>R028</w:t>
        </w:r>
      </w:hyperlink>
    </w:p>
    <w:p>
      <w:pPr>
        <w:pStyle w:val="Heading2"/>
      </w:pPr>
      <w:r>
        <w:t>Анания, Саркаваг и Григор Магистрос</w:t>
      </w:r>
    </w:p>
    <w:p>
      <w:r>
        <w:rPr>
          <w:b w:val="0"/>
        </w:rPr>
      </w:r>
      <w:r>
        <w:rPr>
          <w:b/>
        </w:rPr>
        <w:t>Оригинал:</w:t>
      </w:r>
      <w:r>
        <w:rPr>
          <w:b w:val="0"/>
        </w:rPr>
        <w:t xml:space="preserve"> автобиография Анании читается на AUA. Остальные шесть конкретных заглавий сохранены через авторский каталог; не удалось подтвердить каждый полный текст. </w:t>
      </w:r>
      <w:r>
        <w:rPr>
          <w:b/>
        </w:rPr>
        <w:t>Чтение на английском:</w:t>
      </w:r>
      <w:r>
        <w:rPr>
          <w:b w:val="0"/>
        </w:rPr>
        <w:t xml:space="preserve"> Aslanyan, The mathematical work of Anania Shirakatsi, 2024, доступен в полном HTML; PDF и TeX предлагаются. Это 24 традиционные задачи, ещё три с оговорённой атрибуцией и выборка занимательных задач, а не вся арифметическая книжность.</w:t>
      </w:r>
      <w:r>
        <w:t xml:space="preserve">  </w:t>
      </w:r>
      <w:hyperlink r:id="rId15">
        <w:r>
          <w:rPr>
            <w:color w:val="17677C"/>
            <w:u w:val="single"/>
            <w:sz w:val="18"/>
          </w:rPr>
          <w:t>R012</w:t>
        </w:r>
      </w:hyperlink>
      <w:r>
        <w:t xml:space="preserve"> · </w:t>
      </w:r>
      <w:hyperlink r:id="rId17">
        <w:r>
          <w:rPr>
            <w:color w:val="17677C"/>
            <w:u w:val="single"/>
            <w:sz w:val="18"/>
          </w:rPr>
          <w:t>R029</w:t>
        </w:r>
      </w:hyperlink>
      <w:r>
        <w:t xml:space="preserve"> · </w:t>
      </w:r>
      <w:hyperlink r:id="rId36">
        <w:r>
          <w:rPr>
            <w:color w:val="17677C"/>
            <w:u w:val="single"/>
            <w:sz w:val="18"/>
          </w:rPr>
          <w:t>R040</w:t>
        </w:r>
      </w:hyperlink>
    </w:p>
    <w:p>
      <w:r>
        <w:rPr>
          <w:b w:val="0"/>
        </w:rPr>
      </w:r>
      <w:r>
        <w:rPr>
          <w:b/>
        </w:rPr>
        <w:t>Самый свободный современный переводческий слой Анании:</w:t>
      </w:r>
      <w:r>
        <w:rPr>
          <w:b w:val="0"/>
        </w:rPr>
        <w:t xml:space="preserve"> авторский текст Aslanyan — CC BY 4.0. Автор сообщает о небуквальности и исправлении математических неясностей; эти решения нужно сохранять в атрибуции версии. Для буквального собственного перевода с армянского данный английский посредник недостаточен. Статья Pambakian о Knnikon также открыта под CC BY 4.0, но полезна прежде всего для идентификации свидетельств.</w:t>
      </w:r>
      <w:r>
        <w:t xml:space="preserve">  </w:t>
      </w:r>
      <w:hyperlink r:id="rId36">
        <w:r>
          <w:rPr>
            <w:color w:val="17677C"/>
            <w:u w:val="single"/>
            <w:sz w:val="18"/>
          </w:rPr>
          <w:t>R040</w:t>
        </w:r>
      </w:hyperlink>
      <w:r>
        <w:t xml:space="preserve"> · </w:t>
      </w:r>
      <w:hyperlink r:id="rId16">
        <w:r>
          <w:rPr>
            <w:color w:val="17677C"/>
            <w:u w:val="single"/>
            <w:sz w:val="18"/>
          </w:rPr>
          <w:t>R024</w:t>
        </w:r>
      </w:hyperlink>
    </w:p>
    <w:p>
      <w:r>
        <w:rPr>
          <w:b w:val="0"/>
        </w:rPr>
      </w:r>
      <w:r>
        <w:rPr>
          <w:b/>
        </w:rPr>
        <w:t>Стихометрия:</w:t>
      </w:r>
      <w:r>
        <w:rPr>
          <w:b w:val="0"/>
        </w:rPr>
        <w:t xml:space="preserve"> Stone, Canon Lists II, даёт современный научный вход с ограниченным публичным просмотром и институциональным доступом. </w:t>
      </w:r>
      <w:r>
        <w:rPr>
          <w:b/>
        </w:rPr>
        <w:t>Саркаваг:</w:t>
      </w:r>
      <w:r>
        <w:rPr>
          <w:b w:val="0"/>
        </w:rPr>
        <w:t xml:space="preserve"> календарное исследование в ARAR имеет ограниченный просмотр; Рассуждение о мудрости отдельно не найдено. </w:t>
      </w:r>
      <w:r>
        <w:rPr>
          <w:b/>
        </w:rPr>
        <w:t>Магистрос:</w:t>
      </w:r>
      <w:r>
        <w:rPr>
          <w:b w:val="0"/>
        </w:rPr>
        <w:t xml:space="preserve"> AUA сохраняет оглавление и точки входа; наличие 88 пунктов меню не доказывает ни 88 подлинных писем, ни проверку всего текста.</w:t>
      </w:r>
      <w:r>
        <w:t xml:space="preserve">  </w:t>
      </w:r>
      <w:hyperlink r:id="rId24">
        <w:r>
          <w:rPr>
            <w:color w:val="17677C"/>
            <w:u w:val="single"/>
            <w:sz w:val="18"/>
          </w:rPr>
          <w:t>R050</w:t>
        </w:r>
      </w:hyperlink>
      <w:r>
        <w:t xml:space="preserve"> · </w:t>
      </w:r>
      <w:hyperlink r:id="rId28">
        <w:r>
          <w:rPr>
            <w:color w:val="17677C"/>
            <w:u w:val="single"/>
            <w:sz w:val="18"/>
          </w:rPr>
          <w:t>R042</w:t>
        </w:r>
      </w:hyperlink>
      <w:r>
        <w:t xml:space="preserve"> · </w:t>
      </w:r>
      <w:hyperlink r:id="rId18">
        <w:r>
          <w:rPr>
            <w:color w:val="17677C"/>
            <w:u w:val="single"/>
            <w:sz w:val="18"/>
          </w:rPr>
          <w:t>R011</w:t>
        </w:r>
      </w:hyperlink>
    </w:p>
    <w:p>
      <w:pPr>
        <w:pStyle w:val="Heading2"/>
      </w:pPr>
      <w:r>
        <w:t>Армянский Филон, Ириней и Евсевий</w:t>
      </w:r>
    </w:p>
    <w:p>
      <w:r>
        <w:rPr>
          <w:b w:val="0"/>
        </w:rPr>
      </w:r>
      <w:r>
        <w:rPr>
          <w:b/>
        </w:rPr>
        <w:t>Филон:</w:t>
      </w:r>
      <w:r>
        <w:rPr>
          <w:b w:val="0"/>
        </w:rPr>
        <w:t xml:space="preserve"> CCEL бесплатно даёт Questions on Genesis, книгу I, в английской передаче Yonge через латинскую версию Aucher. Это не полный Armenian Philo. Для коллекций 1822 и 1826 найдены каталог Eton, запись NLI и выставочный образец LOC. Они надёжнее для идентификации конкретного издания, но не предоставляют проверенный полный армянский скан. Права NLI на каталогизированный старый текст нельзя переносить на отсутствующее факсимиле.</w:t>
      </w:r>
      <w:r>
        <w:t xml:space="preserve">  </w:t>
      </w:r>
      <w:hyperlink r:id="rId50">
        <w:r>
          <w:rPr>
            <w:color w:val="17677C"/>
            <w:u w:val="single"/>
            <w:sz w:val="18"/>
          </w:rPr>
          <w:t>R027</w:t>
        </w:r>
      </w:hyperlink>
      <w:r>
        <w:t xml:space="preserve"> · </w:t>
      </w:r>
      <w:hyperlink r:id="rId51">
        <w:r>
          <w:rPr>
            <w:color w:val="17677C"/>
            <w:u w:val="single"/>
            <w:sz w:val="18"/>
          </w:rPr>
          <w:t>R014</w:t>
        </w:r>
      </w:hyperlink>
      <w:r>
        <w:t xml:space="preserve"> · </w:t>
      </w:r>
      <w:hyperlink r:id="rId52">
        <w:r>
          <w:rPr>
            <w:color w:val="17677C"/>
            <w:u w:val="single"/>
            <w:sz w:val="18"/>
          </w:rPr>
          <w:t>R015</w:t>
        </w:r>
      </w:hyperlink>
      <w:r>
        <w:t xml:space="preserve"> · </w:t>
      </w:r>
      <w:hyperlink r:id="rId35">
        <w:r>
          <w:rPr>
            <w:color w:val="17677C"/>
            <w:u w:val="single"/>
            <w:sz w:val="18"/>
          </w:rPr>
          <w:t>R049</w:t>
        </w:r>
      </w:hyperlink>
    </w:p>
    <w:p>
      <w:r>
        <w:rPr>
          <w:b w:val="0"/>
        </w:rPr>
      </w:r>
      <w:r>
        <w:rPr>
          <w:b/>
        </w:rPr>
        <w:t>Ириней:</w:t>
      </w:r>
      <w:r>
        <w:rPr>
          <w:b w:val="0"/>
        </w:rPr>
        <w:t xml:space="preserve"> исторический английский перевод J. Armitage Robinson 1920, Demonstration of the Apostolic Preaching, читается на CCEL. Он полезен как доступ к произведению, сохранённому армянской передачей; чистый армянский исходник для нового перевода этим маршрутом не предоставляется. Отдельные форматы скачивания предлагаются, но здесь проверено именно HTML-чтение.</w:t>
      </w:r>
      <w:r>
        <w:t xml:space="preserve">  </w:t>
      </w:r>
      <w:hyperlink r:id="rId38">
        <w:r>
          <w:rPr>
            <w:color w:val="17677C"/>
            <w:u w:val="single"/>
            <w:sz w:val="18"/>
          </w:rPr>
          <w:t>R037</w:t>
        </w:r>
      </w:hyperlink>
    </w:p>
    <w:p>
      <w:r>
        <w:rPr>
          <w:b w:val="0"/>
        </w:rPr>
      </w:r>
      <w:r>
        <w:rPr>
          <w:b/>
        </w:rPr>
        <w:t>Евсевий:</w:t>
      </w:r>
      <w:r>
        <w:rPr>
          <w:b w:val="0"/>
        </w:rPr>
        <w:t xml:space="preserve"> доступны немецкая передача армянской Хроники, связанная с Josef Karst, и английский маршрут Attalus к первой книге через латинскую редакцию армянского текста. Эти специализированные сайты используются как источники доступа, не как доказательство свободной лицензии. LOC подтверждает конкретное армяно-греко-латинское издание 1818 года, но показывает лишь образец.</w:t>
      </w:r>
      <w:r>
        <w:t xml:space="preserve">  </w:t>
      </w:r>
      <w:hyperlink r:id="rId39">
        <w:r>
          <w:rPr>
            <w:color w:val="17677C"/>
            <w:u w:val="single"/>
            <w:sz w:val="18"/>
          </w:rPr>
          <w:t>R038</w:t>
        </w:r>
      </w:hyperlink>
      <w:r>
        <w:t xml:space="preserve"> · </w:t>
      </w:r>
      <w:hyperlink r:id="rId53">
        <w:r>
          <w:rPr>
            <w:color w:val="17677C"/>
            <w:u w:val="single"/>
            <w:sz w:val="18"/>
          </w:rPr>
          <w:t>R039</w:t>
        </w:r>
      </w:hyperlink>
      <w:r>
        <w:t xml:space="preserve"> · </w:t>
      </w:r>
      <w:hyperlink r:id="rId34">
        <w:r>
          <w:rPr>
            <w:color w:val="17677C"/>
            <w:u w:val="single"/>
            <w:sz w:val="18"/>
          </w:rPr>
          <w:t>R048</w:t>
        </w:r>
      </w:hyperlink>
    </w:p>
    <w:p>
      <w:pPr>
        <w:pStyle w:val="Heading2"/>
      </w:pPr>
      <w:r>
        <w:t>Библия, апокрифы, грамматика и риторика</w:t>
      </w:r>
    </w:p>
    <w:p>
      <w:r>
        <w:rPr>
          <w:b w:val="0"/>
        </w:rPr>
      </w:r>
      <w:r>
        <w:rPr>
          <w:b/>
        </w:rPr>
        <w:t>Лучшее найденное историческое факсимиле:</w:t>
      </w:r>
      <w:r>
        <w:rPr>
          <w:b w:val="0"/>
        </w:rPr>
        <w:t xml:space="preserve"> полная цифровая карточка LOC для Библии Оскана 1666 с просмотром и предложением PDF. Это поздняя редакция армянской Библии, а не неизменённый текст V века. Свидетели 1321 и 1487 дают дополнительные точки сравнения, но в этом запуске проверены выставочные изображения/описания, не полные последовательности страниц.</w:t>
      </w:r>
      <w:r>
        <w:t xml:space="preserve">  </w:t>
      </w:r>
      <w:hyperlink r:id="rId29">
        <w:r>
          <w:rPr>
            <w:color w:val="17677C"/>
            <w:u w:val="single"/>
            <w:sz w:val="18"/>
          </w:rPr>
          <w:t>R013</w:t>
        </w:r>
      </w:hyperlink>
      <w:r>
        <w:t xml:space="preserve"> · </w:t>
      </w:r>
      <w:hyperlink r:id="rId30">
        <w:r>
          <w:rPr>
            <w:color w:val="17677C"/>
            <w:u w:val="single"/>
            <w:sz w:val="18"/>
          </w:rPr>
          <w:t>R044</w:t>
        </w:r>
      </w:hyperlink>
      <w:r>
        <w:t xml:space="preserve"> · </w:t>
      </w:r>
      <w:hyperlink r:id="rId31">
        <w:r>
          <w:rPr>
            <w:color w:val="17677C"/>
            <w:u w:val="single"/>
            <w:sz w:val="18"/>
          </w:rPr>
          <w:t>R045</w:t>
        </w:r>
      </w:hyperlink>
    </w:p>
    <w:p>
      <w:r>
        <w:rPr>
          <w:b w:val="0"/>
        </w:rPr>
      </w:r>
      <w:r>
        <w:rPr>
          <w:b/>
        </w:rPr>
        <w:t>Лучший армянский машинный вариант:</w:t>
      </w:r>
      <w:r>
        <w:rPr>
          <w:b w:val="0"/>
        </w:rPr>
        <w:t xml:space="preserve"> UD Classical Armenian CAVaL, CC BY-NC-SA 4.0. README называет четыре Евангелия и часть Истории армян; фактически проверен dev-CoNLL-U, остальные файлы перечислены. Формулировки объёма Истории в README расходятся между старым вступлением и обновлённым описанием; точное покрытие нужно закрепить по release и sent_id. Ни весь библейский канон, ни полный критический аппарат сюда не включены.</w:t>
      </w:r>
      <w:r>
        <w:t xml:space="preserve">  </w:t>
      </w:r>
      <w:hyperlink r:id="rId37">
        <w:r>
          <w:rPr>
            <w:color w:val="17677C"/>
            <w:u w:val="single"/>
            <w:sz w:val="18"/>
          </w:rPr>
          <w:t>R043</w:t>
        </w:r>
      </w:hyperlink>
    </w:p>
    <w:p>
      <w:r>
        <w:rPr>
          <w:b w:val="0"/>
        </w:rPr>
      </w:r>
      <w:r>
        <w:rPr>
          <w:b/>
        </w:rPr>
        <w:t>Цикл Феклы и Павла:</w:t>
      </w:r>
      <w:r>
        <w:rPr>
          <w:b w:val="0"/>
        </w:rPr>
        <w:t xml:space="preserve"> Apocrypha Armeniaca I, Calzolari, Brepols 2017 — армянско-итальянское критическое издание трёх связанных текстов. </w:t>
      </w:r>
      <w:r>
        <w:rPr>
          <w:b/>
        </w:rPr>
        <w:t>Теон:</w:t>
      </w:r>
      <w:r>
        <w:rPr>
          <w:b w:val="0"/>
        </w:rPr>
        <w:t xml:space="preserve"> Patillon при участии Bolognesi, CUF 376, 1997 — греческая и армянская традиции с французским переводом. Оба маршрута сохранены как покупки: современное защищённое издание не исключено ради искусственно «открытой» библиографии.</w:t>
      </w:r>
      <w:r>
        <w:t xml:space="preserve">  </w:t>
      </w:r>
      <w:hyperlink r:id="rId40">
        <w:r>
          <w:rPr>
            <w:color w:val="17677C"/>
            <w:u w:val="single"/>
            <w:sz w:val="18"/>
          </w:rPr>
          <w:t>R054</w:t>
        </w:r>
      </w:hyperlink>
      <w:r>
        <w:t xml:space="preserve"> · </w:t>
      </w:r>
      <w:hyperlink r:id="rId22">
        <w:r>
          <w:rPr>
            <w:color w:val="17677C"/>
            <w:u w:val="single"/>
            <w:sz w:val="18"/>
          </w:rPr>
          <w:t>R055</w:t>
        </w:r>
      </w:hyperlink>
    </w:p>
    <w:p>
      <w:r>
        <w:rPr>
          <w:b w:val="0"/>
        </w:rPr>
      </w:r>
      <w:r>
        <w:rPr>
          <w:b/>
        </w:rPr>
        <w:t>Грамматическая линия:</w:t>
      </w:r>
      <w:r>
        <w:rPr>
          <w:b w:val="0"/>
        </w:rPr>
        <w:t xml:space="preserve"> статья Muradyan 2025 предоставляет русское чтение, фрагменты и точный указатель Крнеци/W293; YSU-статья о синонимии помогает идентифицировать средневековых толкователей. Эти публикации не заменяют Adontz 1915, полный трактат Крнеци или факсимиле его рукописи.</w:t>
      </w:r>
      <w:r>
        <w:t xml:space="preserve">  </w:t>
      </w:r>
      <w:hyperlink r:id="rId23">
        <w:r>
          <w:rPr>
            <w:color w:val="17677C"/>
            <w:u w:val="single"/>
            <w:sz w:val="18"/>
          </w:rPr>
          <w:t>R041</w:t>
        </w:r>
      </w:hyperlink>
      <w:r>
        <w:t xml:space="preserve"> · </w:t>
      </w:r>
      <w:hyperlink r:id="rId54">
        <w:r>
          <w:rPr>
            <w:color w:val="17677C"/>
            <w:u w:val="single"/>
            <w:sz w:val="18"/>
          </w:rPr>
          <w:t>R035</w:t>
        </w:r>
      </w:hyperlink>
    </w:p>
    <w:p>
      <w:pPr>
        <w:pStyle w:val="Heading2"/>
      </w:pPr>
      <w:r>
        <w:t>Сводные цифровые входы</w:t>
      </w:r>
    </w:p>
    <w:p>
      <w:r>
        <w:rPr>
          <w:b w:val="0"/>
        </w:rPr>
        <w:t>Официальные PDF Matenagirk II, IV и V сохранены как три отдельных тома одной серии; их наличие не доказывает доступность остальных томов. Digital Matenagirk Hayots на Zenodo — один выпуск датасета, не множество самостоятельных произведений. Index of Digitized Armenian Manuscripts полезен для поиска свидетелей; лицензия данных не установлена. HMML APIA подтверждает наличие описанной коллекции, но конкретные философские рукописи из неё ещё нужно выделить.</w:t>
      </w:r>
      <w:r>
        <w:t xml:space="preserve">  </w:t>
      </w:r>
      <w:hyperlink r:id="rId55">
        <w:r>
          <w:rPr>
            <w:color w:val="17677C"/>
            <w:u w:val="single"/>
            <w:sz w:val="18"/>
          </w:rPr>
          <w:t>R016</w:t>
        </w:r>
      </w:hyperlink>
      <w:r>
        <w:t xml:space="preserve"> · </w:t>
      </w:r>
      <w:hyperlink r:id="rId56">
        <w:r>
          <w:rPr>
            <w:color w:val="17677C"/>
            <w:u w:val="single"/>
            <w:sz w:val="18"/>
          </w:rPr>
          <w:t>R017</w:t>
        </w:r>
      </w:hyperlink>
      <w:r>
        <w:t xml:space="preserve"> · </w:t>
      </w:r>
      <w:hyperlink r:id="rId57">
        <w:r>
          <w:rPr>
            <w:color w:val="17677C"/>
            <w:u w:val="single"/>
            <w:sz w:val="18"/>
          </w:rPr>
          <w:t>R018</w:t>
        </w:r>
      </w:hyperlink>
      <w:r>
        <w:t xml:space="preserve"> · </w:t>
      </w:r>
      <w:hyperlink r:id="rId58">
        <w:r>
          <w:rPr>
            <w:color w:val="17677C"/>
            <w:u w:val="single"/>
            <w:sz w:val="18"/>
          </w:rPr>
          <w:t>R009</w:t>
        </w:r>
      </w:hyperlink>
      <w:r>
        <w:t xml:space="preserve"> · </w:t>
      </w:r>
      <w:hyperlink r:id="rId59">
        <w:r>
          <w:rPr>
            <w:color w:val="17677C"/>
            <w:u w:val="single"/>
            <w:sz w:val="18"/>
          </w:rPr>
          <w:t>R025</w:t>
        </w:r>
      </w:hyperlink>
      <w:r>
        <w:t xml:space="preserve"> · </w:t>
      </w:r>
      <w:hyperlink r:id="rId60">
        <w:r>
          <w:rPr>
            <w:color w:val="17677C"/>
            <w:u w:val="single"/>
            <w:sz w:val="18"/>
          </w:rPr>
          <w:t>R026</w:t>
        </w:r>
      </w:hyperlink>
    </w:p>
    <w:p>
      <w:pPr>
        <w:pStyle w:val="Heading1"/>
      </w:pPr>
      <w:r>
        <w:t>4. Карта прав и практического использования</w:t>
      </w:r>
    </w:p>
    <w:p>
      <w:pPr>
        <w:pStyle w:val="Heading2"/>
      </w:pPr>
      <w:r>
        <w:t>Что имеет прямое основание для повторного использования</w:t>
      </w:r>
    </w:p>
    <w:p>
      <w:r>
        <w:rPr>
          <w:b w:val="0"/>
        </w:rPr>
      </w:r>
      <w:r>
        <w:rPr>
          <w:b/>
        </w:rPr>
        <w:t>CC BY-SA 4.0 — греческий оригинальный текст.</w:t>
      </w:r>
      <w:r>
        <w:rPr>
          <w:b w:val="0"/>
        </w:rPr>
        <w:t xml:space="preserve"> Лицензии проверены в обоих TEI. Для этих файлов допустимы распространение с атрибуцией и условиями ShareAlike, полнотекстовая обработка и создание собственного перевода соответствующих двух греческих произведений. Изменения и исходную редакцию нужно обозначать. Разрешение не распространяется на армянские версии, весь First1KGreek или материалы соседних каталогов.</w:t>
      </w:r>
      <w:r>
        <w:t xml:space="preserve">  </w:t>
      </w:r>
      <w:hyperlink r:id="rId19">
        <w:r>
          <w:rPr>
            <w:color w:val="17677C"/>
            <w:u w:val="single"/>
            <w:sz w:val="18"/>
          </w:rPr>
          <w:t>R028</w:t>
        </w:r>
      </w:hyperlink>
    </w:p>
    <w:p>
      <w:r>
        <w:rPr>
          <w:b w:val="0"/>
        </w:rPr>
      </w:r>
      <w:r>
        <w:rPr>
          <w:b/>
        </w:rPr>
        <w:t>CC BY 4.0 — две современные авторские публикации.</w:t>
      </w:r>
      <w:r>
        <w:rPr>
          <w:b w:val="0"/>
        </w:rPr>
        <w:t xml:space="preserve"> Для статьи Pambakian и авторского текста/переводов Aslanyan есть прямые лицензионные указания. Рекомендуются атрибуция, ссылка на лицензию и обозначение изменений. У Aslanyan сторонние карты, фотографии и исходные критические редакции исключены из автоматического вывода; у Pambakian разрешение на статью не становится лицензией всех упомянутых рукописей.</w:t>
      </w:r>
      <w:r>
        <w:t xml:space="preserve">  </w:t>
      </w:r>
      <w:hyperlink r:id="rId16">
        <w:r>
          <w:rPr>
            <w:color w:val="17677C"/>
            <w:u w:val="single"/>
            <w:sz w:val="18"/>
          </w:rPr>
          <w:t>R024</w:t>
        </w:r>
      </w:hyperlink>
      <w:r>
        <w:t xml:space="preserve"> · </w:t>
      </w:r>
      <w:hyperlink r:id="rId36">
        <w:r>
          <w:rPr>
            <w:color w:val="17677C"/>
            <w:u w:val="single"/>
            <w:sz w:val="18"/>
          </w:rPr>
          <w:t>R040</w:t>
        </w:r>
      </w:hyperlink>
    </w:p>
    <w:p>
      <w:r>
        <w:rPr>
          <w:b w:val="0"/>
        </w:rPr>
      </w:r>
      <w:r>
        <w:rPr>
          <w:b/>
        </w:rPr>
        <w:t>Некоммерческий слой.</w:t>
      </w:r>
      <w:r>
        <w:rPr>
          <w:b w:val="0"/>
        </w:rPr>
        <w:t xml:space="preserve"> CAVaL допускает использование указанного армянского текста и разметки в пределах CC BY-NC-SA 4.0: атрибуция, NC и ShareAlike сохраняются при распространении адаптаций. YSU заявляет CC BY-NC 4.0 для статьи; фактически прочитаны аннотация и библиография, PDF получить не удалось. Поэтому положительные теги ограничены проверенным авторским HTML-слоем до получения и проверки остального объекта.</w:t>
      </w:r>
      <w:r>
        <w:t xml:space="preserve">  </w:t>
      </w:r>
      <w:hyperlink r:id="rId37">
        <w:r>
          <w:rPr>
            <w:color w:val="17677C"/>
            <w:u w:val="single"/>
            <w:sz w:val="18"/>
          </w:rPr>
          <w:t>R043</w:t>
        </w:r>
      </w:hyperlink>
      <w:r>
        <w:t xml:space="preserve"> · </w:t>
      </w:r>
      <w:hyperlink r:id="rId54">
        <w:r>
          <w:rPr>
            <w:color w:val="17677C"/>
            <w:u w:val="single"/>
            <w:sz w:val="18"/>
          </w:rPr>
          <w:t>R035</w:t>
        </w:r>
      </w:hyperlink>
    </w:p>
    <w:p>
      <w:r>
        <w:rPr>
          <w:b w:val="0"/>
        </w:rPr>
      </w:r>
      <w:r>
        <w:rPr>
          <w:b/>
        </w:rPr>
        <w:t>Открытые метаданные не равны открытой статье.</w:t>
      </w:r>
      <w:r>
        <w:rPr>
          <w:b w:val="0"/>
        </w:rPr>
        <w:t xml:space="preserve"> На странице Muradyan явно разрешено повторное использование метаданных; MIRROR_OK в R041 относится только к ним. Русский текст статьи, переводы и иллюстрации остаются вне этого разрешения. Это отдельный полезный слой для библиографических карточек ToS, но не разрешение публиковать всю статью.</w:t>
      </w:r>
      <w:r>
        <w:t xml:space="preserve">  </w:t>
      </w:r>
      <w:hyperlink r:id="rId23">
        <w:r>
          <w:rPr>
            <w:color w:val="17677C"/>
            <w:u w:val="single"/>
            <w:sz w:val="18"/>
          </w:rPr>
          <w:t>R041</w:t>
        </w:r>
      </w:hyperlink>
    </w:p>
    <w:p>
      <w:pPr>
        <w:pStyle w:val="Heading2"/>
      </w:pPr>
      <w:r>
        <w:t>Чтение, локальная работа и ограниченные входы</w:t>
      </w:r>
    </w:p>
    <w:p>
      <w:r>
        <w:rPr>
          <w:b w:val="0"/>
        </w:rPr>
      </w:r>
      <w:r>
        <w:rPr>
          <w:b/>
        </w:rPr>
        <w:t>Бесплатно доступно, но зеркалирование не доказано:</w:t>
      </w:r>
      <w:r>
        <w:rPr>
          <w:b w:val="0"/>
        </w:rPr>
        <w:t xml:space="preserve"> электронные армянские тексты AUA, официальные PDF Matenagirk, данные Zenodo и Index, немецкий BKV и специализированные страницы Евсевия. Для каждого сохранён законный маршрут, но нет безусловного MIRROR_OK. Для текстов CCEL учитывать собственные условия сайта: разрешённые личные/учебные и некоммерческие действия не тождественны свободной републикации.</w:t>
      </w:r>
      <w:r>
        <w:t xml:space="preserve">  </w:t>
      </w:r>
      <w:hyperlink r:id="rId11">
        <w:r>
          <w:rPr>
            <w:color w:val="17677C"/>
            <w:u w:val="single"/>
            <w:sz w:val="18"/>
          </w:rPr>
          <w:t>R001</w:t>
        </w:r>
      </w:hyperlink>
      <w:r>
        <w:t xml:space="preserve"> · </w:t>
      </w:r>
      <w:hyperlink r:id="rId55">
        <w:r>
          <w:rPr>
            <w:color w:val="17677C"/>
            <w:u w:val="single"/>
            <w:sz w:val="18"/>
          </w:rPr>
          <w:t>R016</w:t>
        </w:r>
      </w:hyperlink>
      <w:r>
        <w:t xml:space="preserve"> · </w:t>
      </w:r>
      <w:hyperlink r:id="rId58">
        <w:r>
          <w:rPr>
            <w:color w:val="17677C"/>
            <w:u w:val="single"/>
            <w:sz w:val="18"/>
          </w:rPr>
          <w:t>R009</w:t>
        </w:r>
      </w:hyperlink>
      <w:r>
        <w:t xml:space="preserve"> · </w:t>
      </w:r>
      <w:hyperlink r:id="rId59">
        <w:r>
          <w:rPr>
            <w:color w:val="17677C"/>
            <w:u w:val="single"/>
            <w:sz w:val="18"/>
          </w:rPr>
          <w:t>R025</w:t>
        </w:r>
      </w:hyperlink>
      <w:r>
        <w:t xml:space="preserve"> · </w:t>
      </w:r>
      <w:hyperlink r:id="rId50">
        <w:r>
          <w:rPr>
            <w:color w:val="17677C"/>
            <w:u w:val="single"/>
            <w:sz w:val="18"/>
          </w:rPr>
          <w:t>R027</w:t>
        </w:r>
      </w:hyperlink>
      <w:r>
        <w:t xml:space="preserve"> · </w:t>
      </w:r>
      <w:hyperlink r:id="rId38">
        <w:r>
          <w:rPr>
            <w:color w:val="17677C"/>
            <w:u w:val="single"/>
            <w:sz w:val="18"/>
          </w:rPr>
          <w:t>R037</w:t>
        </w:r>
      </w:hyperlink>
    </w:p>
    <w:p>
      <w:r>
        <w:rPr>
          <w:b w:val="0"/>
        </w:rPr>
      </w:r>
      <w:r>
        <w:rPr>
          <w:b/>
        </w:rPr>
        <w:t>Факсимиле LOC:</w:t>
      </w:r>
      <w:r>
        <w:rPr>
          <w:b w:val="0"/>
        </w:rPr>
        <w:t xml:space="preserve"> общая формулировка о большинстве материалов коллекции не является безоговорочным item-level разрешением на любой скан. Для Библии 1666 сохранены чтение, предлагаемый download и локальная исследовательская копия; публичное зеркало, OCR-публикация и embeddings не рекомендованы автоматически. Для изображений HMML регистрация и право просмотра также не заменяют разрешения на воспроизведение.</w:t>
      </w:r>
      <w:r>
        <w:t xml:space="preserve">  </w:t>
      </w:r>
      <w:hyperlink r:id="rId29">
        <w:r>
          <w:rPr>
            <w:color w:val="17677C"/>
            <w:u w:val="single"/>
            <w:sz w:val="18"/>
          </w:rPr>
          <w:t>R013</w:t>
        </w:r>
      </w:hyperlink>
      <w:r>
        <w:t xml:space="preserve"> · </w:t>
      </w:r>
      <w:hyperlink r:id="rId60">
        <w:r>
          <w:rPr>
            <w:color w:val="17677C"/>
            <w:u w:val="single"/>
            <w:sz w:val="18"/>
          </w:rPr>
          <w:t>R026</w:t>
        </w:r>
      </w:hyperlink>
    </w:p>
    <w:p>
      <w:r>
        <w:rPr>
          <w:b w:val="0"/>
        </w:rPr>
      </w:r>
      <w:r>
        <w:rPr>
          <w:b/>
        </w:rPr>
        <w:t>Покупка, подписка, preview, каталог.</w:t>
      </w:r>
      <w:r>
        <w:rPr>
          <w:b w:val="0"/>
        </w:rPr>
        <w:t xml:space="preserve"> Современные переводы Корюна и Езника, издания Давида, Теона, цикла Феклы и критические канонические списки сохранены независимо от отсутствия открытой лицензии. Eton и NLI дают каталожную идентификацию, Penn — институциональные электронные маршруты. Подтверждённого Controlled Digital Lending или свободной выдачи именно этих изданий не обнаружено; библиотечная карточка не помечена как состоявшийся доступ к книге.</w:t>
      </w:r>
      <w:r>
        <w:t xml:space="preserve">  </w:t>
      </w:r>
      <w:hyperlink r:id="rId43">
        <w:r>
          <w:rPr>
            <w:color w:val="17677C"/>
            <w:u w:val="single"/>
            <w:sz w:val="18"/>
          </w:rPr>
          <w:t>R019</w:t>
        </w:r>
      </w:hyperlink>
      <w:r>
        <w:t xml:space="preserve"> · </w:t>
      </w:r>
      <w:hyperlink r:id="rId45">
        <w:r>
          <w:rPr>
            <w:color w:val="17677C"/>
            <w:u w:val="single"/>
            <w:sz w:val="18"/>
          </w:rPr>
          <w:t>R036</w:t>
        </w:r>
      </w:hyperlink>
      <w:r>
        <w:t xml:space="preserve"> · </w:t>
      </w:r>
      <w:hyperlink r:id="rId21">
        <w:r>
          <w:rPr>
            <w:color w:val="17677C"/>
            <w:u w:val="single"/>
            <w:sz w:val="18"/>
          </w:rPr>
          <w:t>R020</w:t>
        </w:r>
      </w:hyperlink>
      <w:r>
        <w:t xml:space="preserve"> · </w:t>
      </w:r>
      <w:hyperlink r:id="rId40">
        <w:r>
          <w:rPr>
            <w:color w:val="17677C"/>
            <w:u w:val="single"/>
            <w:sz w:val="18"/>
          </w:rPr>
          <w:t>R054</w:t>
        </w:r>
      </w:hyperlink>
      <w:r>
        <w:t xml:space="preserve"> · </w:t>
      </w:r>
      <w:hyperlink r:id="rId22">
        <w:r>
          <w:rPr>
            <w:color w:val="17677C"/>
            <w:u w:val="single"/>
            <w:sz w:val="18"/>
          </w:rPr>
          <w:t>R055</w:t>
        </w:r>
      </w:hyperlink>
      <w:r>
        <w:t xml:space="preserve"> · </w:t>
      </w:r>
      <w:hyperlink r:id="rId52">
        <w:r>
          <w:rPr>
            <w:color w:val="17677C"/>
            <w:u w:val="single"/>
            <w:sz w:val="18"/>
          </w:rPr>
          <w:t>R015</w:t>
        </w:r>
      </w:hyperlink>
    </w:p>
    <w:p>
      <w:pPr>
        <w:pStyle w:val="Heading2"/>
      </w:pPr>
      <w:r>
        <w:t>OCR, поиск, embeddings и собственный перевод</w:t>
      </w:r>
    </w:p>
    <w:p>
      <w:r>
        <w:rPr>
          <w:b w:val="0"/>
        </w:rPr>
        <w:t xml:space="preserve">Теги FULLTEXT_INDEX_OK и EMBEDDINGS_OK являются </w:t>
      </w:r>
      <w:r>
        <w:rPr>
          <w:b/>
        </w:rPr>
        <w:t>раздельными выводами для обработки конкретного лицензированного слоя</w:t>
      </w:r>
      <w:r>
        <w:rPr>
          <w:b w:val="0"/>
        </w:rPr>
        <w:t>, а не утверждением, что платформа отдельно разрешила любую форму RAG, публичных цитат или публикацию текстового дампа. Распространение воспроизводимых фрагментов и производных текстов сохраняет условия лицензии. Для неясных факсимиле OCR_OK не назначен только на основании наличия Download.</w:t>
      </w:r>
    </w:p>
    <w:p>
      <w:r>
        <w:rPr>
          <w:b w:val="0"/>
        </w:rPr>
      </w:r>
      <w:r>
        <w:rPr>
          <w:b/>
        </w:rPr>
        <w:t>Установленная основа собственного перевода:</w:t>
      </w:r>
      <w:r>
        <w:rPr>
          <w:b w:val="0"/>
        </w:rPr>
        <w:t xml:space="preserve"> два греческих TEI R028; фактически включённый армянский текст CAVaL R043 при соблюдении NC/SA и ограничений компонентов. Доступный английский Aslanyan не объявлен армянским оригиналом; немецкие и английские посредники также не очищают исходную реконструкцию. Библия Оскана — перспективная историческая основа, однако её цифровой слой требует отдельной проверки перед публикацией результата.</w:t>
      </w:r>
      <w:r>
        <w:t xml:space="preserve">  </w:t>
      </w:r>
      <w:hyperlink r:id="rId19">
        <w:r>
          <w:rPr>
            <w:color w:val="17677C"/>
            <w:u w:val="single"/>
            <w:sz w:val="18"/>
          </w:rPr>
          <w:t>R028</w:t>
        </w:r>
      </w:hyperlink>
      <w:r>
        <w:t xml:space="preserve"> · </w:t>
      </w:r>
      <w:hyperlink r:id="rId37">
        <w:r>
          <w:rPr>
            <w:color w:val="17677C"/>
            <w:u w:val="single"/>
            <w:sz w:val="18"/>
          </w:rPr>
          <w:t>R043</w:t>
        </w:r>
      </w:hyperlink>
      <w:r>
        <w:t xml:space="preserve"> · </w:t>
      </w:r>
      <w:hyperlink r:id="rId36">
        <w:r>
          <w:rPr>
            <w:color w:val="17677C"/>
            <w:u w:val="single"/>
            <w:sz w:val="18"/>
          </w:rPr>
          <w:t>R040</w:t>
        </w:r>
      </w:hyperlink>
      <w:r>
        <w:t xml:space="preserve"> · </w:t>
      </w:r>
      <w:hyperlink r:id="rId29">
        <w:r>
          <w:rPr>
            <w:color w:val="17677C"/>
            <w:u w:val="single"/>
            <w:sz w:val="18"/>
          </w:rPr>
          <w:t>R013</w:t>
        </w:r>
      </w:hyperlink>
    </w:p>
    <w:p>
      <w:r>
        <w:rPr>
          <w:b w:val="0"/>
        </w:rPr>
        <w:t>Подтверждённого ND/«распространять только неизменённым» маршрута в найденном наборе нет. Это не означает отсутствия таких изданий в области. RIGHTS_REVIEW_REQUIRED блокирует автоматическое распространение положительного тега за пределы явно описанного компонента и объёма.</w:t>
      </w:r>
    </w:p>
    <w:p>
      <w:pPr>
        <w:pStyle w:val="Heading1"/>
      </w:pPr>
      <w:r>
        <w:t>5. Характерные правовые и текстологические тонкости</w:t>
      </w:r>
    </w:p>
    <w:p>
      <w:pPr>
        <w:pStyle w:val="Heading2"/>
      </w:pPr>
      <w:r>
        <w:t>Редакция не исчезает за древним именем</w:t>
      </w:r>
    </w:p>
    <w:p>
      <w:r>
        <w:rPr>
          <w:b w:val="0"/>
        </w:rPr>
        <w:t>Название «Давид», «Езник» или «Филон» определяет исторический объект, но не правовой режим современной редакции. Электронный текст Корюна на основе издания 1941 может включать позднейшие корректуры; комментарий к Isagoge 2015 содержит современную редакционную работу. Воспроизведение аппарата и реконструкции нельзя обосновать одной древностью исходного произведения.</w:t>
      </w:r>
      <w:r>
        <w:t xml:space="preserve">  </w:t>
      </w:r>
      <w:hyperlink r:id="rId11">
        <w:r>
          <w:rPr>
            <w:color w:val="17677C"/>
            <w:u w:val="single"/>
            <w:sz w:val="18"/>
          </w:rPr>
          <w:t>R001</w:t>
        </w:r>
      </w:hyperlink>
      <w:r>
        <w:t xml:space="preserve"> · </w:t>
      </w:r>
      <w:hyperlink r:id="rId21">
        <w:r>
          <w:rPr>
            <w:color w:val="17677C"/>
            <w:u w:val="single"/>
            <w:sz w:val="18"/>
          </w:rPr>
          <w:t>R020</w:t>
        </w:r>
      </w:hyperlink>
    </w:p>
    <w:p>
      <w:pPr>
        <w:pStyle w:val="Heading2"/>
      </w:pPr>
      <w:r>
        <w:t>Дата, юрисдикция и физический экземпляр различны</w:t>
      </w:r>
    </w:p>
    <w:p>
      <w:r>
        <w:rPr>
          <w:b w:val="0"/>
        </w:rPr>
        <w:t>Год создания сочинения, год переписки рукописи, год печати и год цифровой публикации разделены в описаниях. MS 1097 1280 года не делает Езника автором XIII века; печать Филона 1822/1826 не делает его тексты новыми произведениями XIX века. Заявление о public domain в одной юрисдикции и общая оговорка учреждения не означают бесспорное глобальное разрешение на любой современный цифровой слой.</w:t>
      </w:r>
      <w:r>
        <w:t xml:space="preserve">  </w:t>
      </w:r>
      <w:hyperlink r:id="rId12">
        <w:r>
          <w:rPr>
            <w:color w:val="17677C"/>
            <w:u w:val="single"/>
            <w:sz w:val="18"/>
          </w:rPr>
          <w:t>R004</w:t>
        </w:r>
      </w:hyperlink>
      <w:r>
        <w:t xml:space="preserve"> · </w:t>
      </w:r>
      <w:hyperlink r:id="rId51">
        <w:r>
          <w:rPr>
            <w:color w:val="17677C"/>
            <w:u w:val="single"/>
            <w:sz w:val="18"/>
          </w:rPr>
          <w:t>R014</w:t>
        </w:r>
      </w:hyperlink>
      <w:r>
        <w:t xml:space="preserve"> · </w:t>
      </w:r>
      <w:hyperlink r:id="rId52">
        <w:r>
          <w:rPr>
            <w:color w:val="17677C"/>
            <w:u w:val="single"/>
            <w:sz w:val="18"/>
          </w:rPr>
          <w:t>R015</w:t>
        </w:r>
      </w:hyperlink>
      <w:r>
        <w:t xml:space="preserve"> · </w:t>
      </w:r>
      <w:hyperlink r:id="rId29">
        <w:r>
          <w:rPr>
            <w:color w:val="17677C"/>
            <w:u w:val="single"/>
            <w:sz w:val="18"/>
          </w:rPr>
          <w:t>R013</w:t>
        </w:r>
      </w:hyperlink>
    </w:p>
    <w:p>
      <w:pPr>
        <w:pStyle w:val="Heading2"/>
      </w:pPr>
      <w:r>
        <w:t>Один сайт может содержать несколько правовых слоёв</w:t>
      </w:r>
    </w:p>
    <w:p>
      <w:r>
        <w:rPr>
          <w:b w:val="0"/>
        </w:rPr>
        <w:t>В CAVaL различаются армянские предложения, аннотация, английские параллели и печатная критическая основа. У Muradyan открыты метаданные, но не автоматически вся статья. У Aslanyan авторская лицензия не отменяет проверки чужих иллюстраций. Поэтому единая строка допустима только с явным разделением компонентов в rights_scope; зелёная ячейка лицензии не означает «всё свободно».</w:t>
      </w:r>
      <w:r>
        <w:t xml:space="preserve">  </w:t>
      </w:r>
      <w:hyperlink r:id="rId37">
        <w:r>
          <w:rPr>
            <w:color w:val="17677C"/>
            <w:u w:val="single"/>
            <w:sz w:val="18"/>
          </w:rPr>
          <w:t>R043</w:t>
        </w:r>
      </w:hyperlink>
      <w:r>
        <w:t xml:space="preserve"> · </w:t>
      </w:r>
      <w:hyperlink r:id="rId23">
        <w:r>
          <w:rPr>
            <w:color w:val="17677C"/>
            <w:u w:val="single"/>
            <w:sz w:val="18"/>
          </w:rPr>
          <w:t>R041</w:t>
        </w:r>
      </w:hyperlink>
      <w:r>
        <w:t xml:space="preserve"> · </w:t>
      </w:r>
      <w:hyperlink r:id="rId36">
        <w:r>
          <w:rPr>
            <w:color w:val="17677C"/>
            <w:u w:val="single"/>
            <w:sz w:val="18"/>
          </w:rPr>
          <w:t>R040</w:t>
        </w:r>
      </w:hyperlink>
    </w:p>
    <w:p>
      <w:pPr>
        <w:pStyle w:val="Heading2"/>
      </w:pPr>
      <w:r>
        <w:t>Полнота — свойство именно доступного объекта</w:t>
      </w:r>
    </w:p>
    <w:p>
      <w:r>
        <w:rPr>
          <w:b w:val="0"/>
        </w:rPr>
        <w:t>Полная книга I Questions on Genesis — не весь Филон; первая глава перевода анонимного комментария — не полный комментарий; выставочная фотография — не факсимиле кодекса; три PDF Matenagirk — не вся серия. Современный сборник задач Анании не заменяет его таблицы, календарь, географию и естественнонаучные трактаты. Эти различия влияют и на допустимый объём нового перевода.</w:t>
      </w:r>
      <w:r>
        <w:t xml:space="preserve">  </w:t>
      </w:r>
      <w:hyperlink r:id="rId50">
        <w:r>
          <w:rPr>
            <w:color w:val="17677C"/>
            <w:u w:val="single"/>
            <w:sz w:val="18"/>
          </w:rPr>
          <w:t>R027</w:t>
        </w:r>
      </w:hyperlink>
      <w:r>
        <w:t xml:space="preserve"> · </w:t>
      </w:r>
      <w:hyperlink r:id="rId14">
        <w:r>
          <w:rPr>
            <w:color w:val="17677C"/>
            <w:u w:val="single"/>
            <w:sz w:val="18"/>
          </w:rPr>
          <w:t>R021</w:t>
        </w:r>
      </w:hyperlink>
      <w:r>
        <w:t xml:space="preserve"> · </w:t>
      </w:r>
      <w:hyperlink r:id="rId30">
        <w:r>
          <w:rPr>
            <w:color w:val="17677C"/>
            <w:u w:val="single"/>
            <w:sz w:val="18"/>
          </w:rPr>
          <w:t>R044</w:t>
        </w:r>
      </w:hyperlink>
      <w:r>
        <w:t xml:space="preserve"> · </w:t>
      </w:r>
      <w:hyperlink r:id="rId55">
        <w:r>
          <w:rPr>
            <w:color w:val="17677C"/>
            <w:u w:val="single"/>
            <w:sz w:val="18"/>
          </w:rPr>
          <w:t>R016</w:t>
        </w:r>
      </w:hyperlink>
      <w:r>
        <w:t xml:space="preserve"> · </w:t>
      </w:r>
      <w:hyperlink r:id="rId36">
        <w:r>
          <w:rPr>
            <w:color w:val="17677C"/>
            <w:u w:val="single"/>
            <w:sz w:val="18"/>
          </w:rPr>
          <w:t>R040</w:t>
        </w:r>
      </w:hyperlink>
    </w:p>
    <w:p>
      <w:pPr>
        <w:pStyle w:val="Heading2"/>
      </w:pPr>
      <w:r>
        <w:t>Легальная ссылка и научная надёжность не одно и то же</w:t>
      </w:r>
    </w:p>
    <w:p>
      <w:r>
        <w:rPr>
          <w:b w:val="0"/>
        </w:rPr>
        <w:t>Специализированная бесплатная страница может быть удобна для чтения, но не давать достаточных метаданных редакции или прав. Тогда маршрут сохраняется, а идентификация опирается на каталог/критическую публикацию либо отмечается как неполная. Защищённые научные издания не заменены слабыми открытыми пересказами. Поисковый сниппет нигде не использован как разрешение на зеркало.</w:t>
      </w:r>
    </w:p>
    <w:p>
      <w:pPr>
        <w:pStyle w:val="Heading1"/>
      </w:pPr>
      <w:r>
        <w:t>6. Пробелы и дальнейший поиск</w:t>
      </w:r>
    </w:p>
    <w:p>
      <w:r>
        <w:rPr>
          <w:b w:val="0"/>
        </w:rPr>
        <w:t xml:space="preserve">Лист </w:t>
      </w:r>
      <w:r>
        <w:rPr>
          <w:b/>
        </w:rPr>
        <w:t>gaps содержит 31 запись</w:t>
      </w:r>
      <w:r>
        <w:rPr>
          <w:b w:val="0"/>
        </w:rPr>
        <w:t>, включая отдельные тексты, группы тесно связанных кандидатов, неясные права и технические ограничения. Это не 31 отсутствующее произведение. Для каждого указано, что подтверждено, чего не хватает и какое действие способно закрыть пробел.</w:t>
      </w:r>
    </w:p>
    <w:p>
      <w:pPr>
        <w:pStyle w:val="Heading2"/>
      </w:pPr>
      <w:r>
        <w:t>Приоритетные недостающие слои</w:t>
      </w:r>
    </w:p>
    <w:p>
      <w:r>
        <w:rPr>
          <w:b w:val="0"/>
        </w:rPr>
        <w:t>Главные незакрытые объекты DR: Рассуждение о мудрости Саркавага; самостоятельные армянские переводы Organon; полный анонимный комментарий к Об истолковании; полный научный корпус Анании; критические армянские грамматики. Отдельно не найдено проверенное факсимиле Езника MS 1097 и свидетелей Корюна. Отсутствие цифрового пути отмечено прямо, без выдуманного свободного издания (G001–G016).</w:t>
      </w:r>
    </w:p>
    <w:p>
      <w:r>
        <w:rPr>
          <w:b w:val="0"/>
        </w:rPr>
        <w:t>Для Филона не получены полные исторические факсимиле коллекций 1822/1826; последующие книги Questions on Genesis, Questions on Exodus, De providentia и De animalibus не покрыты английской книгой I. Для канонических списков остаются части I, V, VI серии Stone и изображения конкретных свидетелей. Поздние Крнеци, грамматики Аракел/Давид Зейтунци, списки Мхитара и передача материала Епифания через Вардана не исключены из-за дат: они занесены в G016–G020 как конкретное продолжение поиска.</w:t>
      </w:r>
    </w:p>
    <w:p>
      <w:r>
        <w:rPr>
          <w:b w:val="0"/>
        </w:rPr>
        <w:t>Русские переводы представлены слабее армянских, английских и немецких входов. Ссылка Aslanyan на армяно-русское издание Orbeli 1918 даёт точный следующий объект, но не сам проверенный скан. Кандидаты Платона, Афтония, Немесия и Псевдо-Дионисия не получили достаточной пообъектной проверки и оставлены unverified_candidate (G025); Псевдо-Зенон требует отдельной библиографической идентификации (G024).</w:t>
      </w:r>
      <w:r>
        <w:t xml:space="preserve">  </w:t>
      </w:r>
      <w:hyperlink r:id="rId36">
        <w:r>
          <w:rPr>
            <w:color w:val="17677C"/>
            <w:u w:val="single"/>
            <w:sz w:val="18"/>
          </w:rPr>
          <w:t>R040</w:t>
        </w:r>
      </w:hyperlink>
    </w:p>
    <w:p>
      <w:pPr>
        <w:pStyle w:val="Heading2"/>
      </w:pPr>
      <w:r>
        <w:t>Что ограничено доступом или проверкой</w:t>
      </w:r>
    </w:p>
    <w:p>
      <w:r>
        <w:rPr>
          <w:b w:val="0"/>
        </w:rPr>
        <w:t>Открылись страницы AUA, но несколько выборочных текстовых переходов завершились timeout/error. Часть PDF была доступна в текстовом представлении, однако визуальная проверка через web-screenshot не удалась; часть загрузок лишь предложена интерфейсом и не проверена как полученный бинарный файл. Это отражено в verification_status. Число проверенных файлов не приравнивается к числу кнопок Download.</w:t>
      </w:r>
    </w:p>
    <w:p>
      <w:r>
        <w:rPr>
          <w:b w:val="0"/>
        </w:rPr>
        <w:t>Институциональные ограничения существенны у современных Давидовских изданий и канонических списков; в ARAR ограничен просмотр календарного исследования. Полные издания Теона, Феклы/Павла, английских Корюна и Езника представлены через покупку или библиотечный маршрут. Права на AUA, значительную часть факсимиле, Zenodo и индекс рукописей требуют ручной проверки; неясность не является доказательством запрета и не устранена предположением о некоммерческом ToS.</w:t>
      </w:r>
      <w:r>
        <w:t xml:space="preserve">  </w:t>
      </w:r>
      <w:hyperlink r:id="rId21">
        <w:r>
          <w:rPr>
            <w:color w:val="17677C"/>
            <w:u w:val="single"/>
            <w:sz w:val="18"/>
          </w:rPr>
          <w:t>R020</w:t>
        </w:r>
      </w:hyperlink>
      <w:r>
        <w:t xml:space="preserve"> · </w:t>
      </w:r>
      <w:hyperlink r:id="rId28">
        <w:r>
          <w:rPr>
            <w:color w:val="17677C"/>
            <w:u w:val="single"/>
            <w:sz w:val="18"/>
          </w:rPr>
          <w:t>R042</w:t>
        </w:r>
      </w:hyperlink>
      <w:r>
        <w:t xml:space="preserve"> · </w:t>
      </w:r>
      <w:hyperlink r:id="rId40">
        <w:r>
          <w:rPr>
            <w:color w:val="17677C"/>
            <w:u w:val="single"/>
            <w:sz w:val="18"/>
          </w:rPr>
          <w:t>R054</w:t>
        </w:r>
      </w:hyperlink>
      <w:r>
        <w:t xml:space="preserve"> · </w:t>
      </w:r>
      <w:hyperlink r:id="rId22">
        <w:r>
          <w:rPr>
            <w:color w:val="17677C"/>
            <w:u w:val="single"/>
            <w:sz w:val="18"/>
          </w:rPr>
          <w:t>R055</w:t>
        </w:r>
      </w:hyperlink>
    </w:p>
    <w:p>
      <w:pPr>
        <w:pStyle w:val="Heading2"/>
      </w:pPr>
      <w:r>
        <w:t>Восемь адресных направлений продолжения</w:t>
      </w:r>
    </w:p>
    <w:p>
      <w:r>
        <w:rPr>
          <w:b w:val="0"/>
        </w:rPr>
      </w:r>
      <w:r>
        <w:rPr>
          <w:b/>
        </w:rPr>
        <w:t>1. Завершить армянский логический слой.</w:t>
      </w:r>
      <w:r>
        <w:rPr>
          <w:b w:val="0"/>
        </w:rPr>
        <w:t xml:space="preserve"> Найти самостоятельные переводы Категорий, Об истолковании и Isagoge; получить Matenagirk XVII, с. 787–979; сверить текст и аппарат с Conybeare и современными редакциями. Не дублировать комментарии как оригинальные переводы (G002–G004).</w:t>
      </w:r>
    </w:p>
    <w:p>
      <w:r>
        <w:rPr>
          <w:b w:val="0"/>
        </w:rPr>
      </w:r>
      <w:r>
        <w:rPr>
          <w:b/>
        </w:rPr>
        <w:t>2. Найти два ключевых рукописных входа.</w:t>
      </w:r>
      <w:r>
        <w:rPr>
          <w:b w:val="0"/>
        </w:rPr>
        <w:t xml:space="preserve"> MS 1097 Езника и BnF Arménien 178/свидетели Корюна: нужны записи хранилищ, листы, полный viewer/IIIF и индивидуальные права. При этом отдельно проверить применимость атрибуции и датировки (G005–G006).</w:t>
      </w:r>
    </w:p>
    <w:p>
      <w:r>
        <w:rPr>
          <w:b w:val="0"/>
        </w:rPr>
      </w:r>
      <w:r>
        <w:rPr>
          <w:b/>
        </w:rPr>
        <w:t>3. Закрыть Филона по содержанию, не по одному имени.</w:t>
      </w:r>
      <w:r>
        <w:rPr>
          <w:b w:val="0"/>
        </w:rPr>
        <w:t xml:space="preserve"> Получить коллекции Aucher 1822/1826, выписать состав и страницы, разделить подлинные/приписываемые тексты, затем сопоставить Marcus и Terian. Проверить происхождение каждого легального цифрового экземпляра (G010–G011).</w:t>
      </w:r>
    </w:p>
    <w:p>
      <w:r>
        <w:rPr>
          <w:b w:val="0"/>
        </w:rPr>
      </w:r>
      <w:r>
        <w:rPr>
          <w:b/>
        </w:rPr>
        <w:t>4. Собрать полный математико-календарный набор.</w:t>
      </w:r>
      <w:r>
        <w:rPr>
          <w:b w:val="0"/>
        </w:rPr>
        <w:t xml:space="preserve"> Повторить item-level переходы AUA; сопоставить Orbeli 1918, Abrahamyan–Petrosyan 1979 и Matenagirk IV. Отдельно найти Рассуждение о мудрости, а не заменить его календарём Саркавага (G001, G008, G012–G014).</w:t>
      </w:r>
    </w:p>
    <w:p>
      <w:r>
        <w:rPr>
          <w:b w:val="0"/>
        </w:rPr>
      </w:r>
      <w:r>
        <w:rPr>
          <w:b/>
        </w:rPr>
        <w:t>5. Продолжить грамматическую линию через конкретные издания.</w:t>
      </w:r>
      <w:r>
        <w:rPr>
          <w:b w:val="0"/>
        </w:rPr>
        <w:t xml:space="preserve"> Adontz 1915 → ранние армянские толкователи → Крнеци, W293 и Хачикян 1977 → поздние комментарии Аракела/Зейтунци. Отдельно проверить связь кандидатов, пока оставленных в G025 (G015–G017).</w:t>
      </w:r>
    </w:p>
    <w:p>
      <w:r>
        <w:rPr>
          <w:b w:val="0"/>
        </w:rPr>
      </w:r>
      <w:r>
        <w:rPr>
          <w:b/>
        </w:rPr>
        <w:t>6. Доработать библейский канон и его передачу.</w:t>
      </w:r>
      <w:r>
        <w:rPr>
          <w:b w:val="0"/>
        </w:rPr>
        <w:t xml:space="preserve"> Оставшиеся Canon Lists, старые издания Мхитара, предисловия Вардана, библейские редакции Zohrab/Künzle и специализированный каталог рукописей. Цель — состав и передача данного корпуса, не общая история всей армянской экзегезы (G018–G022).</w:t>
      </w:r>
    </w:p>
    <w:p>
      <w:r>
        <w:rPr>
          <w:b w:val="0"/>
        </w:rPr>
      </w:r>
      <w:r>
        <w:rPr>
          <w:b/>
        </w:rPr>
        <w:t>7. Закрепить цифровые выпуски и права по компонентам.</w:t>
      </w:r>
      <w:r>
        <w:rPr>
          <w:b w:val="0"/>
        </w:rPr>
        <w:t xml:space="preserve"> Для CAVaL — commit/release, реальные книги и предложения; для Zenodo — содержимое ZIP и LICENSE; для индекса рукописей — лицензия данных; для LOC/HMML — item-level изображения и разрешения. Не выводить лицензию датасета из лицензии кода (G026–G030).</w:t>
      </w:r>
    </w:p>
    <w:p>
      <w:r>
        <w:rPr>
          <w:b w:val="0"/>
        </w:rPr>
      </w:r>
      <w:r>
        <w:rPr>
          <w:b/>
        </w:rPr>
        <w:t>8. Проверить переводы и практические библиотечные маршруты.</w:t>
      </w:r>
      <w:r>
        <w:rPr>
          <w:b w:val="0"/>
        </w:rPr>
        <w:t xml:space="preserve"> Найти конкретные русские издания Езника, Давида и Анании, французскую PO 28, доступ через библиотеку к современным критическим томам. Не помечать обычную карточку как выдачу, CDL или бесплатную регистрацию без проверки (G007–G009, G031).</w:t>
      </w:r>
    </w:p>
    <w:p>
      <w:pPr>
        <w:pStyle w:val="Heading1"/>
      </w:pPr>
      <w:r>
        <w:t>7. Итоговая оценка</w:t>
      </w:r>
    </w:p>
    <w:p>
      <w:r>
        <w:rPr>
          <w:b w:val="0"/>
        </w:rPr>
      </w:r>
      <w:r>
        <w:rPr>
          <w:b/>
        </w:rPr>
        <w:t>Корпус покрыт содержательно, но не исчерпывающе.</w:t>
      </w:r>
      <w:r>
        <w:rPr>
          <w:b w:val="0"/>
        </w:rPr>
        <w:t xml:space="preserve"> Найдены реальные пообъектные входы к большинству центральных семей; для каждого основного необработанного текста или слоя оставлен явный пробел. Особенно хорошо представлены электронные армянские редакции Корюна/Езника/части Давидовского корпуса, современные научные ориентиры и документированная поздняя каноническая передача. Слабее покрыты полные рукописные факсимиле, самостоятельный армянский Organon, русские переводы и весь научный корпус Анании.</w:t>
      </w:r>
    </w:p>
    <w:p>
      <w:r>
        <w:rPr>
          <w:b w:val="0"/>
        </w:rPr>
      </w:r>
      <w:r>
        <w:rPr>
          <w:b/>
        </w:rPr>
        <w:t>Оригиналы доступны неравномерно.</w:t>
      </w:r>
      <w:r>
        <w:rPr>
          <w:b w:val="0"/>
        </w:rPr>
        <w:t xml:space="preserve"> AUA полезна для чтения армянского текста, но сама доступность не очищает редакционный слой. Историческая Библия 1666 даёт сильный факсимильный вход. Свободный греческий TEI предоставляет надёжную исходную пару для логического направления, но не заменяет армянские переводы и комментарии.</w:t>
      </w:r>
      <w:r>
        <w:t xml:space="preserve">  </w:t>
      </w:r>
      <w:hyperlink r:id="rId11">
        <w:r>
          <w:rPr>
            <w:color w:val="17677C"/>
            <w:u w:val="single"/>
            <w:sz w:val="18"/>
          </w:rPr>
          <w:t>R001</w:t>
        </w:r>
      </w:hyperlink>
      <w:r>
        <w:t xml:space="preserve"> · </w:t>
      </w:r>
      <w:hyperlink r:id="rId12">
        <w:r>
          <w:rPr>
            <w:color w:val="17677C"/>
            <w:u w:val="single"/>
            <w:sz w:val="18"/>
          </w:rPr>
          <w:t>R004</w:t>
        </w:r>
      </w:hyperlink>
      <w:r>
        <w:t xml:space="preserve"> · </w:t>
      </w:r>
      <w:hyperlink r:id="rId13">
        <w:r>
          <w:rPr>
            <w:color w:val="17677C"/>
            <w:u w:val="single"/>
            <w:sz w:val="18"/>
          </w:rPr>
          <w:t>R005</w:t>
        </w:r>
      </w:hyperlink>
      <w:r>
        <w:t xml:space="preserve"> · </w:t>
      </w:r>
      <w:hyperlink r:id="rId29">
        <w:r>
          <w:rPr>
            <w:color w:val="17677C"/>
            <w:u w:val="single"/>
            <w:sz w:val="18"/>
          </w:rPr>
          <w:t>R013</w:t>
        </w:r>
      </w:hyperlink>
      <w:r>
        <w:t xml:space="preserve"> · </w:t>
      </w:r>
      <w:hyperlink r:id="rId19">
        <w:r>
          <w:rPr>
            <w:color w:val="17677C"/>
            <w:u w:val="single"/>
            <w:sz w:val="18"/>
          </w:rPr>
          <w:t>R028</w:t>
        </w:r>
      </w:hyperlink>
    </w:p>
    <w:p>
      <w:r>
        <w:rPr>
          <w:b w:val="0"/>
        </w:rPr>
      </w:r>
      <w:r>
        <w:rPr>
          <w:b/>
        </w:rPr>
        <w:t>Переводы доступны шире, чем свободные права на них.</w:t>
      </w:r>
      <w:r>
        <w:rPr>
          <w:b w:val="0"/>
        </w:rPr>
        <w:t xml:space="preserve"> Есть старые английские и немецкие чтения, современная английская математическая адаптация и защищённые академические переводы с законной покупкой/институциональным маршрутом. Полнота и посредники описаны отдельно; английский текст не выдан за чистую армянскую основу.</w:t>
      </w:r>
      <w:r>
        <w:t xml:space="preserve">  </w:t>
      </w:r>
      <w:hyperlink r:id="rId44">
        <w:r>
          <w:rPr>
            <w:color w:val="17677C"/>
            <w:u w:val="single"/>
            <w:sz w:val="18"/>
          </w:rPr>
          <w:t>R023</w:t>
        </w:r>
      </w:hyperlink>
      <w:r>
        <w:t xml:space="preserve"> · </w:t>
      </w:r>
      <w:hyperlink r:id="rId50">
        <w:r>
          <w:rPr>
            <w:color w:val="17677C"/>
            <w:u w:val="single"/>
            <w:sz w:val="18"/>
          </w:rPr>
          <w:t>R027</w:t>
        </w:r>
      </w:hyperlink>
      <w:r>
        <w:t xml:space="preserve"> · </w:t>
      </w:r>
      <w:hyperlink r:id="rId38">
        <w:r>
          <w:rPr>
            <w:color w:val="17677C"/>
            <w:u w:val="single"/>
            <w:sz w:val="18"/>
          </w:rPr>
          <w:t>R037</w:t>
        </w:r>
      </w:hyperlink>
      <w:r>
        <w:t xml:space="preserve"> · </w:t>
      </w:r>
      <w:hyperlink r:id="rId36">
        <w:r>
          <w:rPr>
            <w:color w:val="17677C"/>
            <w:u w:val="single"/>
            <w:sz w:val="18"/>
          </w:rPr>
          <w:t>R040</w:t>
        </w:r>
      </w:hyperlink>
      <w:r>
        <w:t xml:space="preserve"> · </w:t>
      </w:r>
      <w:hyperlink r:id="rId43">
        <w:r>
          <w:rPr>
            <w:color w:val="17677C"/>
            <w:u w:val="single"/>
            <w:sz w:val="18"/>
          </w:rPr>
          <w:t>R019</w:t>
        </w:r>
      </w:hyperlink>
      <w:r>
        <w:t xml:space="preserve"> · </w:t>
      </w:r>
      <w:hyperlink r:id="rId45">
        <w:r>
          <w:rPr>
            <w:color w:val="17677C"/>
            <w:u w:val="single"/>
            <w:sz w:val="18"/>
          </w:rPr>
          <w:t>R036</w:t>
        </w:r>
      </w:hyperlink>
    </w:p>
    <w:p>
      <w:r>
        <w:rPr>
          <w:b w:val="0"/>
        </w:rPr>
      </w:r>
      <w:r>
        <w:rPr>
          <w:b/>
        </w:rPr>
        <w:t>Наиболее свободный слой — не единая библиотека, а несколько точных компонентов:</w:t>
      </w:r>
      <w:r>
        <w:rPr>
          <w:b w:val="0"/>
        </w:rPr>
        <w:t xml:space="preserve"> два Greek TEI под CC BY-SA 4.0, армянский CoNLL-U под CC BY-NC-SA 4.0, авторские тексты Pambakian/Aslanyan под CC BY 4.0, ограниченный проверенный NC-слой YSU и явно открытые метаданные R041. Их можно рассматривать раздельно; объединённая свободная лицензия всему найденному корпусу не присвоена.</w:t>
      </w:r>
      <w:r>
        <w:t xml:space="preserve">  </w:t>
      </w:r>
      <w:hyperlink r:id="rId19">
        <w:r>
          <w:rPr>
            <w:color w:val="17677C"/>
            <w:u w:val="single"/>
            <w:sz w:val="18"/>
          </w:rPr>
          <w:t>R028</w:t>
        </w:r>
      </w:hyperlink>
      <w:r>
        <w:t xml:space="preserve"> · </w:t>
      </w:r>
      <w:hyperlink r:id="rId37">
        <w:r>
          <w:rPr>
            <w:color w:val="17677C"/>
            <w:u w:val="single"/>
            <w:sz w:val="18"/>
          </w:rPr>
          <w:t>R043</w:t>
        </w:r>
      </w:hyperlink>
      <w:r>
        <w:t xml:space="preserve"> · </w:t>
      </w:r>
      <w:hyperlink r:id="rId16">
        <w:r>
          <w:rPr>
            <w:color w:val="17677C"/>
            <w:u w:val="single"/>
            <w:sz w:val="18"/>
          </w:rPr>
          <w:t>R024</w:t>
        </w:r>
      </w:hyperlink>
      <w:r>
        <w:t xml:space="preserve"> · </w:t>
      </w:r>
      <w:hyperlink r:id="rId36">
        <w:r>
          <w:rPr>
            <w:color w:val="17677C"/>
            <w:u w:val="single"/>
            <w:sz w:val="18"/>
          </w:rPr>
          <w:t>R040</w:t>
        </w:r>
      </w:hyperlink>
      <w:r>
        <w:t xml:space="preserve"> · </w:t>
      </w:r>
      <w:hyperlink r:id="rId54">
        <w:r>
          <w:rPr>
            <w:color w:val="17677C"/>
            <w:u w:val="single"/>
            <w:sz w:val="18"/>
          </w:rPr>
          <w:t>R035</w:t>
        </w:r>
      </w:hyperlink>
      <w:r>
        <w:t xml:space="preserve"> · </w:t>
      </w:r>
      <w:hyperlink r:id="rId23">
        <w:r>
          <w:rPr>
            <w:color w:val="17677C"/>
            <w:u w:val="single"/>
            <w:sz w:val="18"/>
          </w:rPr>
          <w:t>R041</w:t>
        </w:r>
      </w:hyperlink>
    </w:p>
    <w:p>
      <w:r>
        <w:rPr>
          <w:b w:val="0"/>
        </w:rPr>
      </w:r>
      <w:r>
        <w:rPr>
          <w:b/>
        </w:rPr>
        <w:t>Передача Codex возможна как исследовательского пакета.</w:t>
      </w:r>
      <w:r>
        <w:rPr>
          <w:b w:val="0"/>
        </w:rPr>
        <w:t xml:space="preserve"> У записей простые локальные ID и требуемые 32 поля; доступны ссылки, ограничения, уровень проверки и перечень конкретных недостающих действий. Пакет пригоден для последующей нормализации, дедупликации и отбора материалов. Он не является автоматически разрешённым архивом для публичного зеркалирования: операции за пределами rights_scope/coverage и записи с RIGHTS_REVIEW_REQUIRED требуют отдельного решения.</w:t>
      </w:r>
    </w:p>
    <w:p>
      <w:pPr>
        <w:pStyle w:val="Heading2"/>
      </w:pPr>
      <w:r>
        <w:t>Файлы пакета</w:t>
      </w:r>
    </w:p>
    <w:p>
      <w:r>
        <w:rPr>
          <w:b w:val="0"/>
        </w:rPr>
        <w:t>ToS_Corpus_Rights_T2-04_registry.xlsx — листы registry и gaps.</w:t>
        <w:br/>
        <w:t>ToS_Corpus_Rights_T2-04_report.docx — этот отчёт.</w:t>
      </w:r>
    </w:p>
    <w:p>
      <w:pPr>
        <w:pStyle w:val="Caption"/>
      </w:pPr>
      <w:r>
        <w:rPr>
          <w:b w:val="0"/>
        </w:rPr>
        <w:t>Граница результата: живой поиск проведён назад и вперёд относительно исторического ядра; дальнейшее насыщение предметной области не заявляется. Незакрытые доступы и права сохранены как задачи проверки, а не скрыты за общими порталами.</w:t>
      </w:r>
    </w:p>
    <w:sectPr w:rsidR="00FC693F" w:rsidRPr="0006063C" w:rsidSect="00034616">
      <w:headerReference w:type="default" r:id="rId9"/>
      <w:footerReference w:type="default" r:id="rId10"/>
      <w:pgSz w:w="11909" w:h="16834"/>
      <w:pgMar w:top="1037" w:right="1080" w:bottom="1008"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T2-04 · 04.09.2026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TREE OF SOPHIA  /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DejaVu Sans" w:hAnsi="DejaVu Sans"/>
      <w:color w:val="2331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DejaVu Sans" w:hAnsi="DejaVu Sans"/>
      <w:b/>
      <w:bCs/>
      <w:color w:val="123D48"/>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DejaVu Sans" w:hAnsi="DejaVu Sans"/>
      <w:b/>
      <w:bCs/>
      <w:color w:val="123D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DejaVu Sans" w:hAnsi="DejaVu Sans"/>
      <w:b/>
      <w:color w:val="123D4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DejaVu Sans" w:hAnsi="DejaVu Sans"/>
      <w:b w:val="0"/>
      <w:i/>
      <w:iCs/>
      <w:color w:val="5667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pPr>
    <w:rPr>
      <w:rFonts w:ascii="DejaVu Sans" w:hAnsi="DejaVu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566775"/>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igilib.aua.am/book/252/" TargetMode="External"/><Relationship Id="rId12" Type="http://schemas.openxmlformats.org/officeDocument/2006/relationships/hyperlink" Target="https://digilib.aua.am/book/162/" TargetMode="External"/><Relationship Id="rId13" Type="http://schemas.openxmlformats.org/officeDocument/2006/relationships/hyperlink" Target="https://digilib.aua.am/book/2600/" TargetMode="External"/><Relationship Id="rId14" Type="http://schemas.openxmlformats.org/officeDocument/2006/relationships/hyperlink" Target="https://www.cambridge.org/core/journals/classical-quarterly/article/abs/on-aristotles-peri-hermeneias-16a118-the-case-of-an-anonymous-armenian-commentary/E306BE75B930ECCE4A447BB6B10D66BF" TargetMode="External"/><Relationship Id="rId15" Type="http://schemas.openxmlformats.org/officeDocument/2006/relationships/hyperlink" Target="https://digilib.aua.am/book/68/68/602/&#1358;&#1377;&#1405;&#1398; &#1400;&#1408;&#1402;&#1387;&#1405;&#1400;&#1410;&#1385;&#1381;&#1377;&#1398; &#1391;&#1381;&#1398;&#1377;&#1409; &#1387;&#1410;&#1408;&#1400;&#1409;" TargetMode="External"/><Relationship Id="rId16" Type="http://schemas.openxmlformats.org/officeDocument/2006/relationships/hyperlink" Target="https://discovery.ucl.ac.uk/id/eprint/10213558/" TargetMode="External"/><Relationship Id="rId17" Type="http://schemas.openxmlformats.org/officeDocument/2006/relationships/hyperlink" Target="https://digilib.aua.am/en/%D4%B1%D5%86%D4%B1%D5%86%D4%BB%D4%B1%20%D5%87%D4%BB%D5%90%D4%B1%D4%BF%D4%B1%D5%91%D4%BB/library/57" TargetMode="External"/><Relationship Id="rId18" Type="http://schemas.openxmlformats.org/officeDocument/2006/relationships/hyperlink" Target="https://digilib.aua.am/book/177/&#1337;&#1394;&#1385;&#1381;&#1408;" TargetMode="External"/><Relationship Id="rId19" Type="http://schemas.openxmlformats.org/officeDocument/2006/relationships/hyperlink" Target="https://raw.githubusercontent.com/OpenGreekAndLatin/First1KGreek/master/data/tlg0086/tlg006/tlg0086.tlg006.1st1K-grc1.xml" TargetMode="External"/><Relationship Id="rId20" Type="http://schemas.openxmlformats.org/officeDocument/2006/relationships/hyperlink" Target="https://books.google.com/books/about/A_collation_with_the_ancient_Armenian_ve.html?id=5g8Gx6Hd6hUC" TargetMode="External"/><Relationship Id="rId21" Type="http://schemas.openxmlformats.org/officeDocument/2006/relationships/hyperlink" Target="https://find.library.upenn.edu/catalog/9978083814103681" TargetMode="External"/><Relationship Id="rId22" Type="http://schemas.openxmlformats.org/officeDocument/2006/relationships/hyperlink" Target="https://www.lesbelleslettres.com/livre/9782251004532/progymnasmata" TargetMode="External"/><Relationship Id="rId23" Type="http://schemas.openxmlformats.org/officeDocument/2006/relationships/hyperlink" Target="https://journals.rcsi.science/0373-658X/article/view/294728" TargetMode="External"/><Relationship Id="rId24" Type="http://schemas.openxmlformats.org/officeDocument/2006/relationships/hyperlink" Target="https://www.cambridge.org/core/journals/harvard-theological-review/article/abs/armenian-canon-lists-iithe-stichometry-of-anania-of-shirak-c-615-c-690-ce/421C7D14EDBDAB46CC679C2EECF4D882" TargetMode="External"/><Relationship Id="rId25" Type="http://schemas.openxmlformats.org/officeDocument/2006/relationships/hyperlink" Target="https://www.cambridge.org/core/journals/harvard-theological-review/article/abs/armenian-canon-lists-iiithe-lists-of-mechitar-of-ayrivank-c-1285-ce/77C3632514DB0AFFEA810AD6B82F24B8" TargetMode="External"/><Relationship Id="rId26" Type="http://schemas.openxmlformats.org/officeDocument/2006/relationships/hyperlink" Target="https://www.cambridge.org/core/journals/harvard-theological-review/article/abs/armenian-canon-lists-ivthe-list-of-gregory-of-tatew-14th-century/549FA7C411E0B0338C479589937027EC" TargetMode="External"/><Relationship Id="rId27" Type="http://schemas.openxmlformats.org/officeDocument/2006/relationships/hyperlink" Target="https://www.cambridge.org/core/journals/harvard-theological-review/article/abs/armenian-canon-lists-vii-the-poetic-list-of-arakel-of-siwnik-d-1409/CE6E011B2653D55FC4D12837E8B978F5" TargetMode="External"/><Relationship Id="rId28" Type="http://schemas.openxmlformats.org/officeDocument/2006/relationships/hyperlink" Target="https://arar.sci.am/dlibra/publication/390199/edition/360981/content" TargetMode="External"/><Relationship Id="rId29" Type="http://schemas.openxmlformats.org/officeDocument/2006/relationships/hyperlink" Target="https://www.loc.gov/item/2003550072/" TargetMode="External"/><Relationship Id="rId30" Type="http://schemas.openxmlformats.org/officeDocument/2006/relationships/hyperlink" Target="https://loc.gov/exhibits/armenian-literary-tradition/exhibition-items.html#obj1" TargetMode="External"/><Relationship Id="rId31" Type="http://schemas.openxmlformats.org/officeDocument/2006/relationships/hyperlink" Target="https://loc.gov/exhibits/armenian-literary-tradition/exhibition-items.html#obj2" TargetMode="External"/><Relationship Id="rId32" Type="http://schemas.openxmlformats.org/officeDocument/2006/relationships/hyperlink" Target="https://loc.gov/exhibits/armenian-literary-tradition/exhibition-items.html#obj5" TargetMode="External"/><Relationship Id="rId33" Type="http://schemas.openxmlformats.org/officeDocument/2006/relationships/hyperlink" Target="https://loc.gov/exhibits/armenian-literary-tradition/exhibition-items.html#obj24" TargetMode="External"/><Relationship Id="rId34" Type="http://schemas.openxmlformats.org/officeDocument/2006/relationships/hyperlink" Target="https://loc.gov/exhibits/armenian-literary-tradition/exhibition-items.html#obj25" TargetMode="External"/><Relationship Id="rId35" Type="http://schemas.openxmlformats.org/officeDocument/2006/relationships/hyperlink" Target="https://loc.gov/exhibits/armenian-literary-tradition/exhibition-items.html#obj26" TargetMode="External"/><Relationship Id="rId36" Type="http://schemas.openxmlformats.org/officeDocument/2006/relationships/hyperlink" Target="https://arxiv.org/abs/2404.15945" TargetMode="External"/><Relationship Id="rId37" Type="http://schemas.openxmlformats.org/officeDocument/2006/relationships/hyperlink" Target="https://github.com/UniversalDependencies/UD_Classical_Armenian-CAVaL" TargetMode="External"/><Relationship Id="rId38" Type="http://schemas.openxmlformats.org/officeDocument/2006/relationships/hyperlink" Target="https://www.ccel.org/ccel/irenaeus/demonstr.html" TargetMode="External"/><Relationship Id="rId39" Type="http://schemas.openxmlformats.org/officeDocument/2006/relationships/hyperlink" Target="https://www.tertullian.org/rpearse/eusebius/eusebius_chron_german.htm" TargetMode="External"/><Relationship Id="rId40" Type="http://schemas.openxmlformats.org/officeDocument/2006/relationships/hyperlink" Target="https://www.brepols.net/products/IS-9782503569864-1" TargetMode="External"/><Relationship Id="rId41" Type="http://schemas.openxmlformats.org/officeDocument/2006/relationships/hyperlink" Target="https://digilib.aua.am/book/252/257/3771/" TargetMode="External"/><Relationship Id="rId42" Type="http://schemas.openxmlformats.org/officeDocument/2006/relationships/hyperlink" Target="https://digilib.aua.am/book/252/257/3801/" TargetMode="External"/><Relationship Id="rId43" Type="http://schemas.openxmlformats.org/officeDocument/2006/relationships/hyperlink" Target="https://books.apple.com/us/book/the-life-of-mashtots-by-his-disciple-koriwn/id6444530532" TargetMode="External"/><Relationship Id="rId44" Type="http://schemas.openxmlformats.org/officeDocument/2006/relationships/hyperlink" Target="https://bkv.unifr.ch/de/works/-19x/versions/wider-die-irrlehren-bkv/divisions/3" TargetMode="External"/><Relationship Id="rId45" Type="http://schemas.openxmlformats.org/officeDocument/2006/relationships/hyperlink" Target="https://www.kennys.ie/shop/a-treatise-on-god-written-in-armenian-by-eznik-of-kolb-floruit-c-430-c-450-an-english-translation-with-introduction-and-notes-blanchard-mj-young-rd-9789042900134" TargetMode="External"/><Relationship Id="rId46" Type="http://schemas.openxmlformats.org/officeDocument/2006/relationships/hyperlink" Target="https://digilib.aua.am/book/2602/" TargetMode="External"/><Relationship Id="rId47" Type="http://schemas.openxmlformats.org/officeDocument/2006/relationships/hyperlink" Target="https://digilib.aua.am/book/2601/" TargetMode="External"/><Relationship Id="rId48" Type="http://schemas.openxmlformats.org/officeDocument/2006/relationships/hyperlink" Target="https://digilib.aua.am/book/2603/" TargetMode="External"/><Relationship Id="rId49" Type="http://schemas.openxmlformats.org/officeDocument/2006/relationships/hyperlink" Target="https://brill.com/display/book/9789004189843/Bej.9789004187191.i-222_002.pdf" TargetMode="External"/><Relationship Id="rId50" Type="http://schemas.openxmlformats.org/officeDocument/2006/relationships/hyperlink" Target="https://ccel.org/ccel/philo/works/works.iv.i.html" TargetMode="External"/><Relationship Id="rId51" Type="http://schemas.openxmlformats.org/officeDocument/2006/relationships/hyperlink" Target="https://www.nli.org.il/en/books/NNL_ALEPH990021251620205171/NLI" TargetMode="External"/><Relationship Id="rId52" Type="http://schemas.openxmlformats.org/officeDocument/2006/relationships/hyperlink" Target="https://catalogue.etoncollege.com/B44656" TargetMode="External"/><Relationship Id="rId53" Type="http://schemas.openxmlformats.org/officeDocument/2006/relationships/hyperlink" Target="https://www.attalus.org/translate/eusebius.html" TargetMode="External"/><Relationship Id="rId54" Type="http://schemas.openxmlformats.org/officeDocument/2006/relationships/hyperlink" Target="https://journals.ysu.am/bulletin-ysu-philology/en/article/view/vol14_no2_2023_pp075-082" TargetMode="External"/><Relationship Id="rId55" Type="http://schemas.openxmlformats.org/officeDocument/2006/relationships/hyperlink" Target="https://www.matenadaran.am/ftp/MH/MH-hator-2.pdf" TargetMode="External"/><Relationship Id="rId56" Type="http://schemas.openxmlformats.org/officeDocument/2006/relationships/hyperlink" Target="https://www.matenadaran.am/ftp/MH/MH-hator-4.pdf" TargetMode="External"/><Relationship Id="rId57" Type="http://schemas.openxmlformats.org/officeDocument/2006/relationships/hyperlink" Target="https://www.matenadaran.am/ftp/MH/MH-hator-5.pdf" TargetMode="External"/><Relationship Id="rId58" Type="http://schemas.openxmlformats.org/officeDocument/2006/relationships/hyperlink" Target="https://zenodo.org/records/14841249" TargetMode="External"/><Relationship Id="rId59" Type="http://schemas.openxmlformats.org/officeDocument/2006/relationships/hyperlink" Target="https://github.com/CVidalG/Index-of-Armenian-Manuscripts" TargetMode="External"/><Relationship Id="rId60" Type="http://schemas.openxmlformats.org/officeDocument/2006/relationships/hyperlink" Target="https://hmml.org/collections/repositories/turkey/armenian-patriarchate-of-istanbul--azgayin-matenadar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T2-04</dc:title>
  <dc:subject>Армянская переводная книжность и философско-богословская лексика</dc:subject>
  <dc:creator>ToS / Древо Софии</dc:creator>
  <cp:keywords/>
  <dc:description>generated by python-docx</dc:description>
  <cp:lastModifiedBy/>
  <cp:revision>1</cp:revision>
  <dcterms:created xsi:type="dcterms:W3CDTF">2013-12-23T23:15:00Z</dcterms:created>
  <dcterms:modified xsi:type="dcterms:W3CDTF">2013-12-23T23:15:00Z</dcterms:modified>
  <cp:category/>
</cp:coreProperties>
</file>