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T2-34 — Навья-ньяя и индийский</w:t>
        <w:br/>
        <w:t>аналитический поворот</w:t>
      </w:r>
    </w:p>
    <w:p>
      <w:pPr>
        <w:pStyle w:val="Caption"/>
      </w:pPr>
      <w:r>
        <w:t>Исследовательский пакет • версия проверки 04 сентября 2026</w:t>
      </w:r>
    </w:p>
    <w:p>
      <w:pPr>
        <w:pStyle w:val="Heading1"/>
      </w:pPr>
      <w:r>
        <w:t>1. Паспорт</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before="60"/>
            </w:pPr>
            <w:r>
              <w:rPr>
                <w:sz w:val="18"/>
              </w:rPr>
              <w:t>Параметр</w:t>
            </w:r>
          </w:p>
        </w:tc>
        <w:tc>
          <w:tcPr>
            <w:tcW w:type="dxa" w:w="4904"/>
          </w:tcPr>
          <w:p>
            <w:pPr>
              <w:spacing w:after="80" w:before="60"/>
            </w:pPr>
            <w:r>
              <w:rPr>
                <w:sz w:val="18"/>
              </w:rPr>
              <w:t>Значение</w:t>
            </w:r>
          </w:p>
        </w:tc>
      </w:tr>
      <w:tr>
        <w:trPr>
          <w:cantSplit/>
        </w:trPr>
        <w:tc>
          <w:tcPr>
            <w:tcW w:type="dxa" w:w="4904"/>
          </w:tcPr>
          <w:p>
            <w:pPr>
              <w:spacing w:after="80" w:before="60"/>
            </w:pPr>
            <w:r>
              <w:rPr>
                <w:sz w:val="18"/>
              </w:rPr>
              <w:t>Мастер-строка</w:t>
            </w:r>
          </w:p>
        </w:tc>
        <w:tc>
          <w:tcPr>
            <w:tcW w:type="dxa" w:w="4904"/>
          </w:tcPr>
          <w:p>
            <w:pPr>
              <w:spacing w:after="80" w:before="60"/>
            </w:pPr>
            <w:r>
              <w:rPr>
                <w:sz w:val="18"/>
              </w:rPr>
              <w:t>T2-34, Таблица II; исходный статус A, уверенность DR 5/5. Не изменены.</w:t>
            </w:r>
          </w:p>
        </w:tc>
      </w:tr>
      <w:tr>
        <w:trPr>
          <w:cantSplit/>
        </w:trPr>
        <w:tc>
          <w:tcPr>
            <w:tcW w:type="dxa" w:w="4904"/>
          </w:tcPr>
          <w:p>
            <w:pPr>
              <w:spacing w:after="80" w:before="60"/>
            </w:pPr>
            <w:r>
              <w:rPr>
                <w:sz w:val="18"/>
              </w:rPr>
              <w:t>Исходный документ</w:t>
            </w:r>
          </w:p>
        </w:tc>
        <w:tc>
          <w:tcPr>
            <w:tcW w:type="dxa" w:w="4904"/>
          </w:tcPr>
          <w:p>
            <w:pPr>
              <w:spacing w:after="80" w:before="60"/>
            </w:pPr>
            <w:r>
              <w:rPr>
                <w:sz w:val="18"/>
              </w:rPr>
              <w:t>ToS Deep Research_ T2-34 — Навья-ньяя и индийский аналитический поворот(1).docx</w:t>
            </w:r>
          </w:p>
        </w:tc>
      </w:tr>
      <w:tr>
        <w:trPr>
          <w:cantSplit/>
        </w:trPr>
        <w:tc>
          <w:tcPr>
            <w:tcW w:type="dxa" w:w="4904"/>
          </w:tcPr>
          <w:p>
            <w:pPr>
              <w:spacing w:after="80" w:before="60"/>
            </w:pPr>
            <w:r>
              <w:rPr>
                <w:sz w:val="18"/>
              </w:rPr>
              <w:t>Исторические границы</w:t>
            </w:r>
          </w:p>
        </w:tc>
        <w:tc>
          <w:tcPr>
            <w:tcW w:type="dxa" w:w="4904"/>
          </w:tcPr>
          <w:p>
            <w:pPr>
              <w:spacing w:after="80" w:before="60"/>
            </w:pPr>
            <w:r>
              <w:rPr>
                <w:sz w:val="18"/>
              </w:rPr>
              <w:t>Формирование: XI–XIV вв.; фиксация: XIII–XV вв.; комментарий: XIV–XVI вв. Фокус DR: около 1300–1500.</w:t>
            </w:r>
          </w:p>
        </w:tc>
      </w:tr>
      <w:tr>
        <w:trPr>
          <w:cantSplit/>
        </w:trPr>
        <w:tc>
          <w:tcPr>
            <w:tcW w:type="dxa" w:w="4904"/>
          </w:tcPr>
          <w:p>
            <w:pPr>
              <w:spacing w:after="80" w:before="60"/>
            </w:pPr>
            <w:r>
              <w:rPr>
                <w:sz w:val="18"/>
              </w:rPr>
              <w:t>Объект поиска</w:t>
            </w:r>
          </w:p>
        </w:tc>
        <w:tc>
          <w:tcPr>
            <w:tcW w:type="dxa" w:w="4904"/>
          </w:tcPr>
          <w:p>
            <w:pPr>
              <w:spacing w:after="80" w:before="60"/>
            </w:pPr>
            <w:r>
              <w:rPr>
                <w:sz w:val="18"/>
              </w:rPr>
              <w:t>Tattvacintāmaṇi Gaṅgeśa, его четыре khaṇḍa, ранние комментарии и непосредственно связанные линии передачи.</w:t>
            </w:r>
          </w:p>
        </w:tc>
      </w:tr>
      <w:tr>
        <w:trPr>
          <w:cantSplit/>
        </w:trPr>
        <w:tc>
          <w:tcPr>
            <w:tcW w:type="dxa" w:w="4904"/>
          </w:tcPr>
          <w:p>
            <w:pPr>
              <w:spacing w:after="80" w:before="60"/>
            </w:pPr>
            <w:r>
              <w:rPr>
                <w:sz w:val="18"/>
              </w:rPr>
              <w:t>Поставка</w:t>
            </w:r>
          </w:p>
        </w:tc>
        <w:tc>
          <w:tcPr>
            <w:tcW w:type="dxa" w:w="4904"/>
          </w:tcPr>
          <w:p>
            <w:pPr>
              <w:spacing w:after="80" w:before="60"/>
            </w:pPr>
            <w:r>
              <w:rPr>
                <w:sz w:val="18"/>
              </w:rPr>
              <w:t>68 записей registry, 24 записи gaps; отдельный XLSX с 32 заданными полями и настоящий отчёт.</w:t>
            </w:r>
          </w:p>
        </w:tc>
      </w:tr>
    </w:tbl>
    <w:p>
      <w:r>
        <w:t>Из исходного DR извлечены произведения, комментаторы, исторические издания, рукописные шифры и библиографические указатели. DR использован как карта; его ограничения на последующие подисследования не стали запретом на поиск поздних первичных текстов. Граф, YAML, новые мастер-строки и переоценка статуса не создавались.</w:t>
      </w:r>
    </w:p>
    <w:p>
      <w:r>
        <w:t>Основные поисковые языки — русский и английский; санскритские заглавия проверялись в IAST, упрощённой транслитерации и деванагари. Использованы также японский каталог CiNii и карточки изданий на хинди и бенгальском. Это не равнозначно исчерпывающему поиску всей библиографии на этих языках.</w:t>
      </w:r>
    </w:p>
    <w:p>
      <w:r>
        <w:t>Искались оригинальные тексты, конкретные издания и переводы, рукописные свидетели, сканы, TEI/XML и способы получения данных. Доступ подтверждался по страницам библиотек, университетов, цифровых проектов, издателей и официальных магазинов; идентификация — по каталогам, титульным сведениям и специализированной библиографии. Для прав использованы item-level уведомления, заголовки e-text, лицензированный PDF и применимые условия репозиториев.</w:t>
      </w:r>
    </w:p>
    <w:p>
      <w:pPr>
        <w:pStyle w:val="Heading2"/>
      </w:pPr>
      <w:r>
        <w:t>Главный практический результат</w:t>
      </w:r>
    </w:p>
    <w:p>
      <w:r>
        <w:t>Читаемое ядро найдено: старые санскритские тома и полный современный английский перевод. Наиболее пригодный для повторного использования слой — десять конкретных e-texts GRETIL с CC BY-NC-SA 4.0, один TEI SARIT с CC BY-SA 3.0 и выбранный первичный раздел в книге Williams 2024 с CC BY 4.0. Эти разрешения не распространяются на все комментарии, все рукописи или весь Tattvacintāmaṇi.</w:t>
      </w:r>
    </w:p>
    <w:p>
      <w:pPr>
        <w:pStyle w:val="Caption"/>
      </w:pPr>
      <w:r>
        <w:t xml:space="preserve">Источники и записи: </w:t>
      </w:r>
      <w:hyperlink r:id="rId11">
        <w:r>
          <w:rPr>
            <w:color w:val="176D83"/>
            <w:u w:val="single"/>
          </w:rPr>
          <w:t>R001</w:t>
        </w:r>
      </w:hyperlink>
      <w:r>
        <w:t xml:space="preserve">  ·  </w:t>
      </w:r>
      <w:hyperlink r:id="rId12">
        <w:r>
          <w:rPr>
            <w:color w:val="176D83"/>
            <w:u w:val="single"/>
          </w:rPr>
          <w:t>R002</w:t>
        </w:r>
      </w:hyperlink>
      <w:r>
        <w:t xml:space="preserve">  ·  </w:t>
      </w:r>
      <w:hyperlink r:id="rId13">
        <w:r>
          <w:rPr>
            <w:color w:val="176D83"/>
            <w:u w:val="single"/>
          </w:rPr>
          <w:t>R003</w:t>
        </w:r>
      </w:hyperlink>
      <w:r>
        <w:t xml:space="preserve">  ·  </w:t>
      </w:r>
      <w:hyperlink r:id="rId14">
        <w:r>
          <w:rPr>
            <w:color w:val="176D83"/>
            <w:u w:val="single"/>
          </w:rPr>
          <w:t>R035</w:t>
        </w:r>
      </w:hyperlink>
      <w:r>
        <w:t xml:space="preserve">  ·  </w:t>
      </w:r>
      <w:hyperlink r:id="rId15">
        <w:r>
          <w:rPr>
            <w:color w:val="176D83"/>
            <w:u w:val="single"/>
          </w:rPr>
          <w:t>R059</w:t>
        </w:r>
      </w:hyperlink>
    </w:p>
    <w:p>
      <w:pPr>
        <w:pStyle w:val="Heading1"/>
        <w:pageBreakBefore/>
      </w:pPr>
      <w:r>
        <w:t>2. Охват корпуса</w:t>
      </w:r>
    </w:p>
    <w:p>
      <w:pPr>
        <w:pStyle w:val="Heading2"/>
      </w:pPr>
      <w:r>
        <w:t>Что было в DR и что добавил веб-поиск</w:t>
      </w:r>
    </w:p>
    <w:p>
      <w:r>
        <w:t>Исходное ядро — Tattvacintāmaṇi: Pratyakṣa, Anumāna, Upamāna и Śabda — сохранено как одно произведение с четырьмя частями. Указанные в DR Āloka Pakṣadhara/Jayadeva, Prakāśa Rucidatta и Dīdhiti Raghunātha получили отдельные каталожные, печатные либо рукописные входы. Учтены издания Tarkavāgīśa и Tatacharya, перевод Phillips, UPenn Item 2587 и BL IO San 1894b.</w:t>
      </w:r>
    </w:p>
    <w:p>
      <w:r>
        <w:t>Веб-поиск добавил Pragalbhī к Upamānakhaṇḍa; отдельное издание Śabdacintāmaṇiprakāśa; многослойные Jāgadīśī и Gādādharī; сокращение Maṇikaṇa; Kiraṇāvalīprakāśa Vardhamāna; Padārthatattvanirūpaṇa с поздним комментарием; Nañvāda и Ākhyātaśaktivāda; семантические Vyutpattivāda, Śaktivāda и Śabdaśaktiprakāśikā; учебники Tarkasaṃgraha и Bhāṣāpariccheda с автокомментариями.</w:t>
      </w:r>
    </w:p>
    <w:p>
      <w:r>
        <w:t>Для Tattvacintāmaṇi найдены также специализированные научные входы: Prāmāṇya/jñapti у Mohanty, Abhāvavāda у Matilal, теория vyāpti у Goekoop, Īśvaravāda у Vattanky, Yogarūḍhivāda у Dash, Dhātuvāda в открытой журнальной публикации Wada. Такие публикации включены как издания или переводы первичного материала, а не как обычная вторичная литература.</w:t>
      </w:r>
    </w:p>
    <w:p>
      <w:pPr>
        <w:pStyle w:val="Caption"/>
      </w:pPr>
      <w:r>
        <w:t xml:space="preserve">Источники и записи: </w:t>
      </w:r>
      <w:hyperlink r:id="rId16">
        <w:r>
          <w:rPr>
            <w:color w:val="176D83"/>
            <w:u w:val="single"/>
          </w:rPr>
          <w:t>R008</w:t>
        </w:r>
      </w:hyperlink>
      <w:r>
        <w:t xml:space="preserve">  ·  </w:t>
      </w:r>
      <w:hyperlink r:id="rId17">
        <w:r>
          <w:rPr>
            <w:color w:val="176D83"/>
            <w:u w:val="single"/>
          </w:rPr>
          <w:t>R020</w:t>
        </w:r>
      </w:hyperlink>
      <w:r>
        <w:t xml:space="preserve">  ·  </w:t>
      </w:r>
      <w:hyperlink r:id="rId18">
        <w:r>
          <w:rPr>
            <w:color w:val="176D83"/>
            <w:u w:val="single"/>
          </w:rPr>
          <w:t>R026</w:t>
        </w:r>
      </w:hyperlink>
      <w:r>
        <w:t xml:space="preserve">  ·  </w:t>
      </w:r>
      <w:hyperlink r:id="rId19">
        <w:r>
          <w:rPr>
            <w:color w:val="176D83"/>
            <w:u w:val="single"/>
          </w:rPr>
          <w:t>R027</w:t>
        </w:r>
      </w:hyperlink>
      <w:r>
        <w:t xml:space="preserve">  ·  </w:t>
      </w:r>
      <w:hyperlink r:id="rId20">
        <w:r>
          <w:rPr>
            <w:color w:val="176D83"/>
            <w:u w:val="single"/>
          </w:rPr>
          <w:t>R032</w:t>
        </w:r>
      </w:hyperlink>
      <w:r>
        <w:t xml:space="preserve">  ·  </w:t>
      </w:r>
      <w:hyperlink r:id="rId21">
        <w:r>
          <w:rPr>
            <w:color w:val="176D83"/>
            <w:u w:val="single"/>
          </w:rPr>
          <w:t>R042</w:t>
        </w:r>
      </w:hyperlink>
      <w:r>
        <w:t xml:space="preserve">  ·  </w:t>
      </w:r>
      <w:hyperlink r:id="rId22">
        <w:r>
          <w:rPr>
            <w:color w:val="176D83"/>
            <w:u w:val="single"/>
          </w:rPr>
          <w:t>R045</w:t>
        </w:r>
      </w:hyperlink>
      <w:r>
        <w:t xml:space="preserve">  ·  </w:t>
      </w:r>
      <w:hyperlink r:id="rId23">
        <w:r>
          <w:rPr>
            <w:color w:val="176D83"/>
            <w:u w:val="single"/>
          </w:rPr>
          <w:t>R046</w:t>
        </w:r>
      </w:hyperlink>
      <w:r>
        <w:t xml:space="preserve">  ·  </w:t>
      </w:r>
      <w:hyperlink r:id="rId24">
        <w:r>
          <w:rPr>
            <w:color w:val="176D83"/>
            <w:u w:val="single"/>
          </w:rPr>
          <w:t>R048</w:t>
        </w:r>
      </w:hyperlink>
      <w:r>
        <w:t xml:space="preserve">  ·  </w:t>
      </w:r>
      <w:hyperlink r:id="rId25">
        <w:r>
          <w:rPr>
            <w:color w:val="176D83"/>
            <w:u w:val="single"/>
          </w:rPr>
          <w:t>R051</w:t>
        </w:r>
      </w:hyperlink>
      <w:r>
        <w:t xml:space="preserve">  ·  </w:t>
      </w:r>
      <w:hyperlink r:id="rId26">
        <w:r>
          <w:rPr>
            <w:color w:val="176D83"/>
            <w:u w:val="single"/>
          </w:rPr>
          <w:t>R052</w:t>
        </w:r>
      </w:hyperlink>
      <w:r>
        <w:t xml:space="preserve">  ·  </w:t>
      </w:r>
      <w:hyperlink r:id="rId27">
        <w:r>
          <w:rPr>
            <w:color w:val="176D83"/>
            <w:u w:val="single"/>
          </w:rPr>
          <w:t>R054</w:t>
        </w:r>
      </w:hyperlink>
      <w:r>
        <w:t xml:space="preserve">  ·  </w:t>
      </w:r>
      <w:hyperlink r:id="rId28">
        <w:r>
          <w:rPr>
            <w:color w:val="176D83"/>
            <w:u w:val="single"/>
          </w:rPr>
          <w:t>R055</w:t>
        </w:r>
      </w:hyperlink>
    </w:p>
    <w:p>
      <w:pPr>
        <w:pStyle w:val="Heading2"/>
      </w:pPr>
      <w:r>
        <w:t>Количественная картина</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before="60"/>
            </w:pPr>
            <w:r>
              <w:rPr>
                <w:sz w:val="18"/>
              </w:rPr>
              <w:t>Что посчитано</w:t>
            </w:r>
          </w:p>
        </w:tc>
        <w:tc>
          <w:tcPr>
            <w:tcW w:type="dxa" w:w="4904"/>
          </w:tcPr>
          <w:p>
            <w:pPr>
              <w:spacing w:after="80" w:before="60"/>
            </w:pPr>
            <w:r>
              <w:rPr>
                <w:sz w:val="18"/>
              </w:rPr>
              <w:t>Результат и предел вывода</w:t>
            </w:r>
          </w:p>
        </w:tc>
      </w:tr>
      <w:tr>
        <w:trPr>
          <w:cantSplit/>
        </w:trPr>
        <w:tc>
          <w:tcPr>
            <w:tcW w:type="dxa" w:w="4904"/>
          </w:tcPr>
          <w:p>
            <w:pPr>
              <w:spacing w:after="80" w:before="60"/>
            </w:pPr>
            <w:r>
              <w:rPr>
                <w:sz w:val="18"/>
              </w:rPr>
              <w:t>Записи реестра</w:t>
            </w:r>
          </w:p>
        </w:tc>
        <w:tc>
          <w:tcPr>
            <w:tcW w:type="dxa" w:w="4904"/>
          </w:tcPr>
          <w:p>
            <w:pPr>
              <w:spacing w:after="80" w:before="60"/>
            </w:pPr>
            <w:r>
              <w:rPr>
                <w:sz w:val="18"/>
              </w:rPr>
              <w:t>68: 64 предметные записи, 2 инфраструктурные и 2 вторично-навигационные.</w:t>
            </w:r>
          </w:p>
        </w:tc>
      </w:tr>
      <w:tr>
        <w:trPr>
          <w:cantSplit/>
        </w:trPr>
        <w:tc>
          <w:tcPr>
            <w:tcW w:type="dxa" w:w="4904"/>
          </w:tcPr>
          <w:p>
            <w:pPr>
              <w:spacing w:after="80" w:before="60"/>
            </w:pPr>
            <w:r>
              <w:rPr>
                <w:sz w:val="18"/>
              </w:rPr>
              <w:t>Произведения и комментарии</w:t>
            </w:r>
          </w:p>
        </w:tc>
        <w:tc>
          <w:tcPr>
            <w:tcW w:type="dxa" w:w="4904"/>
          </w:tcPr>
          <w:p>
            <w:pPr>
              <w:spacing w:after="80" w:before="60"/>
            </w:pPr>
            <w:r>
              <w:rPr>
                <w:sz w:val="18"/>
              </w:rPr>
              <w:t>Около 40 отдельно названных текстов, включая комментарии внутри составных изданий. Это не 68 произведений; четыре khaṇḍa TCM не посчитаны как четыре независимых сочинения.</w:t>
            </w:r>
          </w:p>
        </w:tc>
      </w:tr>
      <w:tr>
        <w:trPr>
          <w:cantSplit/>
        </w:trPr>
        <w:tc>
          <w:tcPr>
            <w:tcW w:type="dxa" w:w="4904"/>
          </w:tcPr>
          <w:p>
            <w:pPr>
              <w:spacing w:after="80" w:before="60"/>
            </w:pPr>
            <w:r>
              <w:rPr>
                <w:sz w:val="18"/>
              </w:rPr>
              <w:t>Работа с доступом</w:t>
            </w:r>
          </w:p>
        </w:tc>
        <w:tc>
          <w:tcPr>
            <w:tcW w:type="dxa" w:w="4904"/>
          </w:tcPr>
          <w:p>
            <w:pPr>
              <w:spacing w:after="80" w:before="60"/>
            </w:pPr>
            <w:r>
              <w:rPr>
                <w:sz w:val="18"/>
              </w:rPr>
              <w:t>35 записей имеют FREE_READ, 21 — FREE_DOWNLOAD; группы пересекаются и включают инфраструктуру. Предложенная загрузка не всегда успешно прошла инструментальную проверку.</w:t>
            </w:r>
          </w:p>
        </w:tc>
      </w:tr>
      <w:tr>
        <w:trPr>
          <w:cantSplit/>
        </w:trPr>
        <w:tc>
          <w:tcPr>
            <w:tcW w:type="dxa" w:w="4904"/>
          </w:tcPr>
          <w:p>
            <w:pPr>
              <w:spacing w:after="80" w:before="60"/>
            </w:pPr>
            <w:r>
              <w:rPr>
                <w:sz w:val="18"/>
              </w:rPr>
              <w:t>Повторное использование</w:t>
            </w:r>
          </w:p>
        </w:tc>
        <w:tc>
          <w:tcPr>
            <w:tcW w:type="dxa" w:w="4904"/>
          </w:tcPr>
          <w:p>
            <w:pPr>
              <w:spacing w:after="80" w:before="60"/>
            </w:pPr>
            <w:r>
              <w:rPr>
                <w:sz w:val="18"/>
              </w:rPr>
              <w:t>12 предметных текстовых объектов имеют подтверждённую CC-основу; ещё одна CC BY-запись относится только к тексту каталога BL.</w:t>
            </w:r>
          </w:p>
        </w:tc>
      </w:tr>
      <w:tr>
        <w:trPr>
          <w:cantSplit/>
        </w:trPr>
        <w:tc>
          <w:tcPr>
            <w:tcW w:type="dxa" w:w="4904"/>
          </w:tcPr>
          <w:p>
            <w:pPr>
              <w:spacing w:after="80" w:before="60"/>
            </w:pPr>
            <w:r>
              <w:rPr>
                <w:sz w:val="18"/>
              </w:rPr>
              <w:t>Незавершённые проверки</w:t>
            </w:r>
          </w:p>
        </w:tc>
        <w:tc>
          <w:tcPr>
            <w:tcW w:type="dxa" w:w="4904"/>
          </w:tcPr>
          <w:p>
            <w:pPr>
              <w:spacing w:after="80" w:before="60"/>
            </w:pPr>
            <w:r>
              <w:rPr>
                <w:sz w:val="18"/>
              </w:rPr>
              <w:t>24 записи gaps: конкретные свидетели, отсутствующие тома, специальные переводы, спорные атрибуции и дальнейшие направления.</w:t>
            </w:r>
          </w:p>
        </w:tc>
      </w:tr>
    </w:tbl>
    <w:p>
      <w:r>
        <w:t>Полная колляция каждой страницы старопечатных комплектов не выполнена. Поэтому количество найденных ссылок не служит показателем текстологической полноты. R010 — сохранённый, но не открывшийся рукописный адрес, а не подтверждённый работающий просмотр.</w:t>
      </w:r>
    </w:p>
    <w:p>
      <w:r>
        <w:t>Распределение релевантности: core — 22; antecedent — 13; continuation — 13; same_corpus_or_tradition — 7; commentary_or_reception — 5; transmission_or_preservation — 4; infrastructure — 2; secondary_navigation — 2. Категории supporting и boundary не заполнялись искусственно: поздняя дата сама по себе не превращает прямой комментарий в «пограничный» объект.</w:t>
      </w:r>
    </w:p>
    <w:p>
      <w:pPr>
        <w:pStyle w:val="Heading1"/>
        <w:pageBreakBefore/>
      </w:pPr>
      <w:r>
        <w:t>2. Охват корпуса — открытая хронология</w:t>
      </w:r>
    </w:p>
    <w:p>
      <w:pPr>
        <w:pStyle w:val="Heading2"/>
      </w:pPr>
      <w:r>
        <w:t>Поиск назад: какие тексты и почему</w:t>
      </w:r>
    </w:p>
    <w:p>
      <w:r>
        <w:t>Ближайший входящий автор — Udayana. Nyāyakusumāñjali доступен как первый stavaka в GRETIL и как старое издание с переводом Cowell и комментарием Haridāsa; Nyāyavārttikatātparyapariśuddhi — как ограниченный электронный раздел; Ātmatattvaviveka — через старую санскритскую печать; Kiraṇāvalī — через университетское издание с хинди-комментарием. Это конкретные источники той Nyāya–Vaiśeṣika аналитики, которой наследует Gaṅgeśa, а не произвольная ретроспектива индийской мысли.</w:t>
      </w:r>
    </w:p>
    <w:p>
      <w:pPr>
        <w:pStyle w:val="Caption"/>
      </w:pPr>
      <w:r>
        <w:t xml:space="preserve">Источники и записи: </w:t>
      </w:r>
      <w:hyperlink r:id="rId29">
        <w:r>
          <w:rPr>
            <w:color w:val="176D83"/>
            <w:u w:val="single"/>
          </w:rPr>
          <w:t>R013</w:t>
        </w:r>
      </w:hyperlink>
      <w:r>
        <w:t xml:space="preserve">  ·  </w:t>
      </w:r>
      <w:hyperlink r:id="rId30">
        <w:r>
          <w:rPr>
            <w:color w:val="176D83"/>
            <w:u w:val="single"/>
          </w:rPr>
          <w:t>R014</w:t>
        </w:r>
      </w:hyperlink>
      <w:r>
        <w:t xml:space="preserve">  ·  </w:t>
      </w:r>
      <w:hyperlink r:id="rId31">
        <w:r>
          <w:rPr>
            <w:color w:val="176D83"/>
            <w:u w:val="single"/>
          </w:rPr>
          <w:t>R060</w:t>
        </w:r>
      </w:hyperlink>
      <w:r>
        <w:t xml:space="preserve">  ·  </w:t>
      </w:r>
      <w:hyperlink r:id="rId32">
        <w:r>
          <w:rPr>
            <w:color w:val="176D83"/>
            <w:u w:val="single"/>
          </w:rPr>
          <w:t>R061</w:t>
        </w:r>
      </w:hyperlink>
      <w:r>
        <w:t xml:space="preserve">  ·  </w:t>
      </w:r>
      <w:hyperlink r:id="rId33">
        <w:r>
          <w:rPr>
            <w:color w:val="176D83"/>
            <w:u w:val="single"/>
          </w:rPr>
          <w:t>R062</w:t>
        </w:r>
      </w:hyperlink>
    </w:p>
    <w:p>
      <w:r>
        <w:t>Nyāyasūtra с Nyāyabhāṣya, Vācaspati Miśra с Nyāyavārttikatātparyaṭīkā, Vaiśeṣikasūtra и Padārthadharmasaṃgraha включены как текстовая основа эпистемологической и категориальной традиции. Для Praśastapāda найдены два различающихся цифровых слоя: GRETIL и SARIT. Издание, послужившее базой транскрипции, может содержать другие комментарии; это не означает, что они присутствуют в самом e-text.</w:t>
      </w:r>
    </w:p>
    <w:p>
      <w:pPr>
        <w:pStyle w:val="Caption"/>
      </w:pPr>
      <w:r>
        <w:t xml:space="preserve">Источники и записи: </w:t>
      </w:r>
      <w:hyperlink r:id="rId34">
        <w:r>
          <w:rPr>
            <w:color w:val="176D83"/>
            <w:u w:val="single"/>
          </w:rPr>
          <w:t>R016</w:t>
        </w:r>
      </w:hyperlink>
      <w:r>
        <w:t xml:space="preserve">  ·  </w:t>
      </w:r>
      <w:hyperlink r:id="rId35">
        <w:r>
          <w:rPr>
            <w:color w:val="176D83"/>
            <w:u w:val="single"/>
          </w:rPr>
          <w:t>R017</w:t>
        </w:r>
      </w:hyperlink>
      <w:r>
        <w:t xml:space="preserve">  ·  </w:t>
      </w:r>
      <w:hyperlink r:id="rId36">
        <w:r>
          <w:rPr>
            <w:color w:val="176D83"/>
            <w:u w:val="single"/>
          </w:rPr>
          <w:t>R018</w:t>
        </w:r>
      </w:hyperlink>
      <w:r>
        <w:t xml:space="preserve">  ·  </w:t>
      </w:r>
      <w:hyperlink r:id="rId37">
        <w:r>
          <w:rPr>
            <w:color w:val="176D83"/>
            <w:u w:val="single"/>
          </w:rPr>
          <w:t>R019</w:t>
        </w:r>
      </w:hyperlink>
      <w:r>
        <w:t xml:space="preserve">  ·  </w:t>
      </w:r>
      <w:hyperlink r:id="rId14">
        <w:r>
          <w:rPr>
            <w:color w:val="176D83"/>
            <w:u w:val="single"/>
          </w:rPr>
          <w:t>R035</w:t>
        </w:r>
      </w:hyperlink>
    </w:p>
    <w:p>
      <w:r>
        <w:t>Śaśadhara представлен Nyāyasiddhāntadīpa: каталогом издания с Ṭippana Guṇaratna и конкретным изданием/переводом первых пяти vāda. Его место до или рядом с Gaṅgeśa оставлено хронологически осторожным. Maṇḍana Miśra, Bhāvanāviveka, включён не как весь корпус Mīmāṃsā, а в связи с обсуждаемой у Wada предысторией семантики глагольного корня. Остальные возможные буддийские и мимансакские входы вынесены в gaps до более точной привязки разделов.</w:t>
      </w:r>
    </w:p>
    <w:p>
      <w:pPr>
        <w:pStyle w:val="Caption"/>
      </w:pPr>
      <w:r>
        <w:t xml:space="preserve">Источники и записи: </w:t>
      </w:r>
      <w:hyperlink r:id="rId17">
        <w:r>
          <w:rPr>
            <w:color w:val="176D83"/>
            <w:u w:val="single"/>
          </w:rPr>
          <w:t>R020</w:t>
        </w:r>
      </w:hyperlink>
      <w:r>
        <w:t xml:space="preserve">  ·  </w:t>
      </w:r>
      <w:hyperlink r:id="rId38">
        <w:r>
          <w:rPr>
            <w:color w:val="176D83"/>
            <w:u w:val="single"/>
          </w:rPr>
          <w:t>R034</w:t>
        </w:r>
      </w:hyperlink>
      <w:r>
        <w:t xml:space="preserve">  ·  </w:t>
      </w:r>
      <w:hyperlink r:id="rId39">
        <w:r>
          <w:rPr>
            <w:color w:val="176D83"/>
            <w:u w:val="single"/>
          </w:rPr>
          <w:t>R044</w:t>
        </w:r>
      </w:hyperlink>
      <w:r>
        <w:t xml:space="preserve">  ·  </w:t>
      </w:r>
      <w:hyperlink r:id="rId22">
        <w:r>
          <w:rPr>
            <w:color w:val="176D83"/>
            <w:u w:val="single"/>
          </w:rPr>
          <w:t>R045</w:t>
        </w:r>
      </w:hyperlink>
    </w:p>
    <w:p>
      <w:pPr>
        <w:pStyle w:val="Heading2"/>
      </w:pPr>
      <w:r>
        <w:t>Поиск вперёд: прямые продолжения, не «соседи»</w:t>
      </w:r>
    </w:p>
    <w:p>
      <w:r>
        <w:t>Raghunātha, Jagadīśa и Gadādhara входят в реестр независимо от того, что значительная часть их работы относится к XVI–XVII вв. Основание — прямой комментарий к TCM/Dīdhiti и развитие той же семантической линии. Padārthatattvanirūpaṇa — самостоятельное продолжение проекта Raghunātha; комментарий Raghudeva фиксирует дальнейшую рецепцию. Vyutpattivāda и Śaktivāda Gadādhara, Śabdaśaktiprakāśikā Jagadīśa — самостоятельные члены этой текстовой школы.</w:t>
      </w:r>
    </w:p>
    <w:p>
      <w:pPr>
        <w:pStyle w:val="Caption"/>
      </w:pPr>
      <w:r>
        <w:t xml:space="preserve">Источники и записи: </w:t>
      </w:r>
      <w:hyperlink r:id="rId40">
        <w:r>
          <w:rPr>
            <w:color w:val="176D83"/>
            <w:u w:val="single"/>
          </w:rPr>
          <w:t>R021</w:t>
        </w:r>
      </w:hyperlink>
      <w:r>
        <w:t xml:space="preserve">  ·  </w:t>
      </w:r>
      <w:hyperlink r:id="rId41">
        <w:r>
          <w:rPr>
            <w:color w:val="176D83"/>
            <w:u w:val="single"/>
          </w:rPr>
          <w:t>R022</w:t>
        </w:r>
      </w:hyperlink>
      <w:r>
        <w:t xml:space="preserve">  ·  </w:t>
      </w:r>
      <w:hyperlink r:id="rId42">
        <w:r>
          <w:rPr>
            <w:color w:val="176D83"/>
            <w:u w:val="single"/>
          </w:rPr>
          <w:t>R023</w:t>
        </w:r>
      </w:hyperlink>
      <w:r>
        <w:t xml:space="preserve">  ·  </w:t>
      </w:r>
      <w:hyperlink r:id="rId43">
        <w:r>
          <w:rPr>
            <w:color w:val="176D83"/>
            <w:u w:val="single"/>
          </w:rPr>
          <w:t>R036</w:t>
        </w:r>
      </w:hyperlink>
      <w:r>
        <w:t xml:space="preserve">  ·  </w:t>
      </w:r>
      <w:hyperlink r:id="rId44">
        <w:r>
          <w:rPr>
            <w:color w:val="176D83"/>
            <w:u w:val="single"/>
          </w:rPr>
          <w:t>R040</w:t>
        </w:r>
      </w:hyperlink>
      <w:r>
        <w:t xml:space="preserve">  ·  </w:t>
      </w:r>
      <w:hyperlink r:id="rId45">
        <w:r>
          <w:rPr>
            <w:color w:val="176D83"/>
            <w:u w:val="single"/>
          </w:rPr>
          <w:t>R043</w:t>
        </w:r>
      </w:hyperlink>
      <w:r>
        <w:t xml:space="preserve">  ·  </w:t>
      </w:r>
      <w:hyperlink r:id="rId46">
        <w:r>
          <w:rPr>
            <w:color w:val="176D83"/>
            <w:u w:val="single"/>
          </w:rPr>
          <w:t>R049</w:t>
        </w:r>
      </w:hyperlink>
      <w:r>
        <w:t xml:space="preserve">  ·  </w:t>
      </w:r>
      <w:hyperlink r:id="rId47">
        <w:r>
          <w:rPr>
            <w:color w:val="176D83"/>
            <w:u w:val="single"/>
          </w:rPr>
          <w:t>R050</w:t>
        </w:r>
      </w:hyperlink>
      <w:r>
        <w:t xml:space="preserve">  ·  </w:t>
      </w:r>
      <w:hyperlink r:id="rId48">
        <w:r>
          <w:rPr>
            <w:color w:val="176D83"/>
            <w:u w:val="single"/>
          </w:rPr>
          <w:t>R056</w:t>
        </w:r>
      </w:hyperlink>
    </w:p>
    <w:p>
      <w:r>
        <w:t>Maṇikaṇa сохраняет TCM в сокращённой учебной форме. Tarkasaṃgraha–Dīpikā и Bhāṣāpariccheda–Siddhāntamuktāvalī передают аналитическую традицию в учебном жанре, но не являются переводами TCM. Современные переводы и старые печатные издания — отдельный слой сохранения: их поздняя дата не меняет дату оригинала.</w:t>
      </w:r>
    </w:p>
    <w:p>
      <w:pPr>
        <w:pStyle w:val="Caption"/>
      </w:pPr>
      <w:r>
        <w:t xml:space="preserve">Источники и записи: </w:t>
      </w:r>
      <w:hyperlink r:id="rId49">
        <w:r>
          <w:rPr>
            <w:color w:val="176D83"/>
            <w:u w:val="single"/>
          </w:rPr>
          <w:t>R011</w:t>
        </w:r>
      </w:hyperlink>
      <w:r>
        <w:t xml:space="preserve">  ·  </w:t>
      </w:r>
      <w:hyperlink r:id="rId50">
        <w:r>
          <w:rPr>
            <w:color w:val="176D83"/>
            <w:u w:val="single"/>
          </w:rPr>
          <w:t>R012</w:t>
        </w:r>
      </w:hyperlink>
      <w:r>
        <w:t xml:space="preserve">  ·  </w:t>
      </w:r>
      <w:hyperlink r:id="rId51">
        <w:r>
          <w:rPr>
            <w:color w:val="176D83"/>
            <w:u w:val="single"/>
          </w:rPr>
          <w:t>R033</w:t>
        </w:r>
      </w:hyperlink>
      <w:r>
        <w:t xml:space="preserve">  ·  </w:t>
      </w:r>
      <w:hyperlink r:id="rId27">
        <w:r>
          <w:rPr>
            <w:color w:val="176D83"/>
            <w:u w:val="single"/>
          </w:rPr>
          <w:t>R054</w:t>
        </w:r>
      </w:hyperlink>
      <w:r>
        <w:t xml:space="preserve">  ·  </w:t>
      </w:r>
      <w:hyperlink r:id="rId52">
        <w:r>
          <w:rPr>
            <w:color w:val="176D83"/>
            <w:u w:val="single"/>
          </w:rPr>
          <w:t>R057</w:t>
        </w:r>
      </w:hyperlink>
      <w:r>
        <w:t xml:space="preserve">  ·  </w:t>
      </w:r>
      <w:hyperlink r:id="rId53">
        <w:r>
          <w:rPr>
            <w:color w:val="176D83"/>
            <w:u w:val="single"/>
          </w:rPr>
          <w:t>R058</w:t>
        </w:r>
      </w:hyperlink>
      <w:r>
        <w:t xml:space="preserve">  ·  </w:t>
      </w:r>
      <w:hyperlink r:id="rId54">
        <w:r>
          <w:rPr>
            <w:color w:val="176D83"/>
            <w:u w:val="single"/>
          </w:rPr>
          <w:t>R063</w:t>
        </w:r>
      </w:hyperlink>
    </w:p>
    <w:p>
      <w:r>
        <w:t>Для межшкольной рецепции включены Tarkatāṇḍava Vyāsatīrtha с Nyāyadīpa Rāghavendra и выбранный раздел Nyāyāmṛta в издании Williams. Их связь с Gaṅgeśa конкретна: критическое усвоение его аргументации, а не только принадлежность к санскритской философии. Поэтика, право и поздняя грамматика не превращены в безграничное расширение: для них нужны точные целевые тексты и места, зафиксированные в gaps.</w:t>
      </w:r>
    </w:p>
    <w:p>
      <w:pPr>
        <w:pStyle w:val="Caption"/>
      </w:pPr>
      <w:r>
        <w:t xml:space="preserve">Источники и записи: </w:t>
      </w:r>
      <w:hyperlink r:id="rId55">
        <w:r>
          <w:rPr>
            <w:color w:val="176D83"/>
            <w:u w:val="single"/>
          </w:rPr>
          <w:t>R015</w:t>
        </w:r>
      </w:hyperlink>
      <w:r>
        <w:t xml:space="preserve">  ·  </w:t>
      </w:r>
      <w:hyperlink r:id="rId15">
        <w:r>
          <w:rPr>
            <w:color w:val="176D83"/>
            <w:u w:val="single"/>
          </w:rPr>
          <w:t>R059</w:t>
        </w:r>
      </w:hyperlink>
    </w:p>
    <w:p>
      <w:pPr>
        <w:pStyle w:val="Heading1"/>
        <w:pageBreakBefore/>
      </w:pPr>
      <w:r>
        <w:t>3. Лучшие пути доступа</w:t>
      </w:r>
    </w:p>
    <w:p>
      <w:pPr>
        <w:pStyle w:val="Heading2"/>
      </w:pPr>
      <w:r>
        <w:t>Tattvacintāmaṇi: оригинал и полный перевод</w:t>
      </w:r>
    </w:p>
    <w:p>
      <w:r>
        <w:t>Для чтения старого санскритского текста основной вход — комплект Bibliotheca Indica в HathiTrust: R003–007. Различные оцифрованные переплёты сохранены отдельно, поскольку представляют разные части; для каждой указан свой цифровой идентификатор. Дополнительно доступны отдельные старые издания Anumāna и Upamāna — R024–025. Надпись Full view подтверждает режим доступа каталога, но не служит лицензией на зеркалирование.</w:t>
      </w:r>
    </w:p>
    <w:p>
      <w:r>
        <w:t>Для скачивания исторических сканов полезны институционально происходящие экземпляры Internet Archive: Toronto в R029–030 и DLI/State Central Library Hyderabad в R031. Они отделены от пользовательских загрузок современных книг. Из-за неоднозначных библиотечных меток не было попытки вывести точную часть текста только из имени файла. Ошибки OCR и предупреждение о повреждённых JP2-заголовках сохранены.</w:t>
      </w:r>
    </w:p>
    <w:p>
      <w:pPr>
        <w:pStyle w:val="Caption"/>
      </w:pPr>
      <w:r>
        <w:t xml:space="preserve">Источники и записи: </w:t>
      </w:r>
      <w:hyperlink r:id="rId13">
        <w:r>
          <w:rPr>
            <w:color w:val="176D83"/>
            <w:u w:val="single"/>
          </w:rPr>
          <w:t>R003</w:t>
        </w:r>
      </w:hyperlink>
      <w:r>
        <w:t xml:space="preserve">  ·  </w:t>
      </w:r>
      <w:hyperlink r:id="rId56">
        <w:r>
          <w:rPr>
            <w:color w:val="176D83"/>
            <w:u w:val="single"/>
          </w:rPr>
          <w:t>R004</w:t>
        </w:r>
      </w:hyperlink>
      <w:r>
        <w:t xml:space="preserve">  ·  </w:t>
      </w:r>
      <w:hyperlink r:id="rId57">
        <w:r>
          <w:rPr>
            <w:color w:val="176D83"/>
            <w:u w:val="single"/>
          </w:rPr>
          <w:t>R005</w:t>
        </w:r>
      </w:hyperlink>
      <w:r>
        <w:t xml:space="preserve">  ·  </w:t>
      </w:r>
      <w:hyperlink r:id="rId58">
        <w:r>
          <w:rPr>
            <w:color w:val="176D83"/>
            <w:u w:val="single"/>
          </w:rPr>
          <w:t>R006</w:t>
        </w:r>
      </w:hyperlink>
      <w:r>
        <w:t xml:space="preserve">  ·  </w:t>
      </w:r>
      <w:hyperlink r:id="rId59">
        <w:r>
          <w:rPr>
            <w:color w:val="176D83"/>
            <w:u w:val="single"/>
          </w:rPr>
          <w:t>R007</w:t>
        </w:r>
      </w:hyperlink>
      <w:r>
        <w:t xml:space="preserve">  ·  </w:t>
      </w:r>
      <w:hyperlink r:id="rId60">
        <w:r>
          <w:rPr>
            <w:color w:val="176D83"/>
            <w:u w:val="single"/>
          </w:rPr>
          <w:t>R024</w:t>
        </w:r>
      </w:hyperlink>
      <w:r>
        <w:t xml:space="preserve">  ·  </w:t>
      </w:r>
      <w:hyperlink r:id="rId61">
        <w:r>
          <w:rPr>
            <w:color w:val="176D83"/>
            <w:u w:val="single"/>
          </w:rPr>
          <w:t>R025</w:t>
        </w:r>
      </w:hyperlink>
      <w:r>
        <w:t xml:space="preserve">  ·  </w:t>
      </w:r>
      <w:hyperlink r:id="rId62">
        <w:r>
          <w:rPr>
            <w:color w:val="176D83"/>
            <w:u w:val="single"/>
          </w:rPr>
          <w:t>R029</w:t>
        </w:r>
      </w:hyperlink>
      <w:r>
        <w:t xml:space="preserve">  ·  </w:t>
      </w:r>
      <w:hyperlink r:id="rId63">
        <w:r>
          <w:rPr>
            <w:color w:val="176D83"/>
            <w:u w:val="single"/>
          </w:rPr>
          <w:t>R030</w:t>
        </w:r>
      </w:hyperlink>
      <w:r>
        <w:t xml:space="preserve">  ·  </w:t>
      </w:r>
      <w:hyperlink r:id="rId64">
        <w:r>
          <w:rPr>
            <w:color w:val="176D83"/>
            <w:u w:val="single"/>
          </w:rPr>
          <w:t>R031</w:t>
        </w:r>
      </w:hyperlink>
    </w:p>
    <w:p>
      <w:r>
        <w:t>Для единого современного английского чтения всех четырёх khaṇḍa — Stephen H. Phillips, Jewel of Reflection on the Truth about Epistemology, три тома, Bloomsbury, 2020 (R002). Это главный полный переводной маршрут, но он защищён. Официальная карточка покупки и институционального доступа сохранена; свободная полная копия не заявлена. В реестре нет проверенного полного старого публичнодоменного английского перевода TCM.</w:t>
      </w:r>
    </w:p>
    <w:p>
      <w:pPr>
        <w:pStyle w:val="Caption"/>
      </w:pPr>
      <w:r>
        <w:t xml:space="preserve">Источники и записи: </w:t>
      </w:r>
      <w:hyperlink r:id="rId12">
        <w:r>
          <w:rPr>
            <w:color w:val="176D83"/>
            <w:u w:val="single"/>
          </w:rPr>
          <w:t>R002</w:t>
        </w:r>
      </w:hyperlink>
    </w:p>
    <w:p>
      <w:r>
        <w:t>Для быстрого санскритского HTML-чтения доступны четыре части Sanskrit Wikisource (R064). Это не Wikipedia. Однако исходный университетский PDF не открылся, редакция не идентифицирована окончательно, а комплектность не сверена. Поэтому версия не объявлена ни критически проверенной, ни безусловно пригодной для зеркалирования.</w:t>
      </w:r>
    </w:p>
    <w:p>
      <w:r>
        <w:t>Для машинной обработки и собственного перевода конкретной доступной части — GRETIL Śabdakhaṇḍa (R001). Это неполный, не вычитанный электронный текст; источник предупреждает о недостаточной сегментации слов. Его CC BY-NC-SA 4.0 полезна, но разрешение относится к этому слою, а не ко всему произведению. Поиск и embeddings должны сохранять связь с конкретной версией и границами её покрытия.</w:t>
      </w:r>
    </w:p>
    <w:p>
      <w:pPr>
        <w:pStyle w:val="Caption"/>
      </w:pPr>
      <w:r>
        <w:t xml:space="preserve">Источники и записи: </w:t>
      </w:r>
      <w:hyperlink r:id="rId11">
        <w:r>
          <w:rPr>
            <w:color w:val="176D83"/>
            <w:u w:val="single"/>
          </w:rPr>
          <w:t>R001</w:t>
        </w:r>
      </w:hyperlink>
      <w:r>
        <w:t xml:space="preserve">  ·  </w:t>
      </w:r>
      <w:hyperlink r:id="rId65">
        <w:r>
          <w:rPr>
            <w:color w:val="176D83"/>
            <w:u w:val="single"/>
          </w:rPr>
          <w:t>R064</w:t>
        </w:r>
      </w:hyperlink>
    </w:p>
    <w:p>
      <w:pPr>
        <w:pStyle w:val="Heading2"/>
      </w:pPr>
      <w:r>
        <w:t>Специализированные переводы частей</w:t>
      </w:r>
    </w:p>
    <w:p>
      <w:r>
        <w:t>Wada, Dhātuvāda (R045), — практически полезный бесплатный официальный PDF с переводом первичного раздела. Право повторного размещения не установлено: читать и скачать можно, публиковать собственное зеркало без основания нельзя. Соседние части серии Wada ещё требуют поиска.</w:t>
      </w:r>
    </w:p>
    <w:p>
      <w:r>
        <w:t>Для восприятия — Phillips/Tatacharya, Epistemology of Perception (R028); для vyāpti — Goekoop (R032); для отрицания — Matilal (R042); для достоверности — Mohanty (R046); для теистического аргумента — Vattanky (R051); для Yogarūḍhi — Dash (R052). Эти пути в основном ограничены каталогом, поиском, preview или покупкой. Saha–Mukhopadhyay (R053) — санскритское издание с английским предисловием, а не английский перевод всего Śabdakhaṇḍa.</w:t>
      </w:r>
    </w:p>
    <w:p>
      <w:pPr>
        <w:pStyle w:val="Caption"/>
      </w:pPr>
      <w:r>
        <w:t xml:space="preserve">Источники и записи: </w:t>
      </w:r>
      <w:hyperlink r:id="rId66">
        <w:r>
          <w:rPr>
            <w:color w:val="176D83"/>
            <w:u w:val="single"/>
          </w:rPr>
          <w:t>R028</w:t>
        </w:r>
      </w:hyperlink>
      <w:r>
        <w:t xml:space="preserve">  ·  </w:t>
      </w:r>
      <w:hyperlink r:id="rId20">
        <w:r>
          <w:rPr>
            <w:color w:val="176D83"/>
            <w:u w:val="single"/>
          </w:rPr>
          <w:t>R032</w:t>
        </w:r>
      </w:hyperlink>
      <w:r>
        <w:t xml:space="preserve">  ·  </w:t>
      </w:r>
      <w:hyperlink r:id="rId21">
        <w:r>
          <w:rPr>
            <w:color w:val="176D83"/>
            <w:u w:val="single"/>
          </w:rPr>
          <w:t>R042</w:t>
        </w:r>
      </w:hyperlink>
      <w:r>
        <w:t xml:space="preserve">  ·  </w:t>
      </w:r>
      <w:hyperlink r:id="rId22">
        <w:r>
          <w:rPr>
            <w:color w:val="176D83"/>
            <w:u w:val="single"/>
          </w:rPr>
          <w:t>R045</w:t>
        </w:r>
      </w:hyperlink>
      <w:r>
        <w:t xml:space="preserve">  ·  </w:t>
      </w:r>
      <w:hyperlink r:id="rId23">
        <w:r>
          <w:rPr>
            <w:color w:val="176D83"/>
            <w:u w:val="single"/>
          </w:rPr>
          <w:t>R046</w:t>
        </w:r>
      </w:hyperlink>
      <w:r>
        <w:t xml:space="preserve">  ·  </w:t>
      </w:r>
      <w:hyperlink r:id="rId25">
        <w:r>
          <w:rPr>
            <w:color w:val="176D83"/>
            <w:u w:val="single"/>
          </w:rPr>
          <w:t>R051</w:t>
        </w:r>
      </w:hyperlink>
      <w:r>
        <w:t xml:space="preserve">  ·  </w:t>
      </w:r>
      <w:hyperlink r:id="rId26">
        <w:r>
          <w:rPr>
            <w:color w:val="176D83"/>
            <w:u w:val="single"/>
          </w:rPr>
          <w:t>R052</w:t>
        </w:r>
      </w:hyperlink>
      <w:r>
        <w:t xml:space="preserve">  ·  </w:t>
      </w:r>
      <w:hyperlink r:id="rId67">
        <w:r>
          <w:rPr>
            <w:color w:val="176D83"/>
            <w:u w:val="single"/>
          </w:rPr>
          <w:t>R053</w:t>
        </w:r>
      </w:hyperlink>
    </w:p>
    <w:p>
      <w:pPr>
        <w:pStyle w:val="Heading1"/>
        <w:pageBreakBefore/>
      </w:pPr>
      <w:r>
        <w:t>3. Лучшие пути доступа — комментарии и ореол</w:t>
      </w:r>
    </w:p>
    <w:p>
      <w:pPr>
        <w:pStyle w:val="Heading2"/>
      </w:pPr>
      <w:r>
        <w:t>Ранняя и поздняя комментаторская линия</w:t>
      </w:r>
    </w:p>
    <w:p>
      <w:r>
        <w:t>Āloka–Darpaṇa: лучшая подтверждённая точка идентификации — CiNii R008. Для Prakāśa полезны многослойное издание Tatacharya R027 и отдельный Śabdacintāmaṇiprakāśa R055. В этих случаях библиографическая определённость выше цифровой доступности: полного свободного файла именно указанных изданий не подтверждено.</w:t>
      </w:r>
    </w:p>
    <w:p>
      <w:r>
        <w:t>Dīdhiti и её поздние ветви: R021 даёт печатный комплекс TCM–Dīdhiti–Vivṛti, R023 — том с Jāgadīśī; R022 сохраняет ограниченный доступ к Gādādharī. Это не полные цифровые критические корпуса всех комментариев. Для самостоятельной метафизики Raghunātha сохранены перевод Potter R049 и бенгальское издание с Raghudeva R050. Для языковой аналитики — R036–043 и R056.</w:t>
      </w:r>
    </w:p>
    <w:p>
      <w:pPr>
        <w:pStyle w:val="Caption"/>
      </w:pPr>
      <w:r>
        <w:t xml:space="preserve">Источники и записи: </w:t>
      </w:r>
      <w:hyperlink r:id="rId16">
        <w:r>
          <w:rPr>
            <w:color w:val="176D83"/>
            <w:u w:val="single"/>
          </w:rPr>
          <w:t>R008</w:t>
        </w:r>
      </w:hyperlink>
      <w:r>
        <w:t xml:space="preserve">  ·  </w:t>
      </w:r>
      <w:hyperlink r:id="rId40">
        <w:r>
          <w:rPr>
            <w:color w:val="176D83"/>
            <w:u w:val="single"/>
          </w:rPr>
          <w:t>R021</w:t>
        </w:r>
      </w:hyperlink>
      <w:r>
        <w:t xml:space="preserve">  ·  </w:t>
      </w:r>
      <w:hyperlink r:id="rId41">
        <w:r>
          <w:rPr>
            <w:color w:val="176D83"/>
            <w:u w:val="single"/>
          </w:rPr>
          <w:t>R022</w:t>
        </w:r>
      </w:hyperlink>
      <w:r>
        <w:t xml:space="preserve">  ·  </w:t>
      </w:r>
      <w:hyperlink r:id="rId42">
        <w:r>
          <w:rPr>
            <w:color w:val="176D83"/>
            <w:u w:val="single"/>
          </w:rPr>
          <w:t>R023</w:t>
        </w:r>
      </w:hyperlink>
      <w:r>
        <w:t xml:space="preserve">  ·  </w:t>
      </w:r>
      <w:hyperlink r:id="rId19">
        <w:r>
          <w:rPr>
            <w:color w:val="176D83"/>
            <w:u w:val="single"/>
          </w:rPr>
          <w:t>R027</w:t>
        </w:r>
      </w:hyperlink>
      <w:r>
        <w:t xml:space="preserve">  ·  </w:t>
      </w:r>
      <w:hyperlink r:id="rId43">
        <w:r>
          <w:rPr>
            <w:color w:val="176D83"/>
            <w:u w:val="single"/>
          </w:rPr>
          <w:t>R036</w:t>
        </w:r>
      </w:hyperlink>
      <w:r>
        <w:t xml:space="preserve">  ·  </w:t>
      </w:r>
      <w:hyperlink r:id="rId68">
        <w:r>
          <w:rPr>
            <w:color w:val="176D83"/>
            <w:u w:val="single"/>
          </w:rPr>
          <w:t>R037</w:t>
        </w:r>
      </w:hyperlink>
      <w:r>
        <w:t xml:space="preserve">  ·  </w:t>
      </w:r>
      <w:hyperlink r:id="rId69">
        <w:r>
          <w:rPr>
            <w:color w:val="176D83"/>
            <w:u w:val="single"/>
          </w:rPr>
          <w:t>R038</w:t>
        </w:r>
      </w:hyperlink>
      <w:r>
        <w:t xml:space="preserve">  ·  </w:t>
      </w:r>
      <w:hyperlink r:id="rId70">
        <w:r>
          <w:rPr>
            <w:color w:val="176D83"/>
            <w:u w:val="single"/>
          </w:rPr>
          <w:t>R039</w:t>
        </w:r>
      </w:hyperlink>
      <w:r>
        <w:t xml:space="preserve">  ·  </w:t>
      </w:r>
      <w:hyperlink r:id="rId44">
        <w:r>
          <w:rPr>
            <w:color w:val="176D83"/>
            <w:u w:val="single"/>
          </w:rPr>
          <w:t>R040</w:t>
        </w:r>
      </w:hyperlink>
      <w:r>
        <w:t xml:space="preserve">  ·  </w:t>
      </w:r>
      <w:hyperlink r:id="rId45">
        <w:r>
          <w:rPr>
            <w:color w:val="176D83"/>
            <w:u w:val="single"/>
          </w:rPr>
          <w:t>R043</w:t>
        </w:r>
      </w:hyperlink>
      <w:r>
        <w:t xml:space="preserve">  ·  </w:t>
      </w:r>
      <w:hyperlink r:id="rId46">
        <w:r>
          <w:rPr>
            <w:color w:val="176D83"/>
            <w:u w:val="single"/>
          </w:rPr>
          <w:t>R049</w:t>
        </w:r>
      </w:hyperlink>
      <w:r>
        <w:t xml:space="preserve">  ·  </w:t>
      </w:r>
      <w:hyperlink r:id="rId47">
        <w:r>
          <w:rPr>
            <w:color w:val="176D83"/>
            <w:u w:val="single"/>
          </w:rPr>
          <w:t>R050</w:t>
        </w:r>
      </w:hyperlink>
      <w:r>
        <w:t xml:space="preserve">  ·  </w:t>
      </w:r>
      <w:hyperlink r:id="rId28">
        <w:r>
          <w:rPr>
            <w:color w:val="176D83"/>
            <w:u w:val="single"/>
          </w:rPr>
          <w:t>R055</w:t>
        </w:r>
      </w:hyperlink>
      <w:r>
        <w:t xml:space="preserve">  ·  </w:t>
      </w:r>
      <w:hyperlink r:id="rId48">
        <w:r>
          <w:rPr>
            <w:color w:val="176D83"/>
            <w:u w:val="single"/>
          </w:rPr>
          <w:t>R056</w:t>
        </w:r>
      </w:hyperlink>
    </w:p>
    <w:p>
      <w:pPr>
        <w:pStyle w:val="Heading2"/>
      </w:pPr>
      <w:r>
        <w:t>Учебные тексты и языки перевода</w:t>
      </w:r>
    </w:p>
    <w:p>
      <w:r>
        <w:t>Tarkasaṃgraha: лучший открытый оригинал для поиска — R011; более многослойная, но требующая контроля комплектности транскрипция — R012. Старый печатный маршрут Athalye/Bodas 1897 предлагает Google Books PDF/EPUB (R063), однако скачивание инструментом прервалось на перенаправлении. Современный перевод Virupakshananda найден в официальном магазине (R058), но помечен Out of stock.</w:t>
      </w:r>
    </w:p>
    <w:p>
      <w:r>
        <w:t>Русский маршрут — Е. П. Островская, 1989 (R033). Институциональный файл содержит только 16-страничный фрагмент с вводным/справочным материалом; он не даёт полного русского текста Tarkasaṃgraha и Dīpikā. Полный русский перевод TCM в этом поиске не установлен. Для Bhāṣāpariccheda и Siddhāntamuktāvalī официальный магазин предлагает санскрит и английский перевод Madhavananda (R057). Хинди и бенгальские издания представлены отдельными записями, без приписывания им свободной лицензии.</w:t>
      </w:r>
    </w:p>
    <w:p>
      <w:pPr>
        <w:pStyle w:val="Caption"/>
      </w:pPr>
      <w:r>
        <w:t xml:space="preserve">Источники и записи: </w:t>
      </w:r>
      <w:hyperlink r:id="rId49">
        <w:r>
          <w:rPr>
            <w:color w:val="176D83"/>
            <w:u w:val="single"/>
          </w:rPr>
          <w:t>R011</w:t>
        </w:r>
      </w:hyperlink>
      <w:r>
        <w:t xml:space="preserve">  ·  </w:t>
      </w:r>
      <w:hyperlink r:id="rId50">
        <w:r>
          <w:rPr>
            <w:color w:val="176D83"/>
            <w:u w:val="single"/>
          </w:rPr>
          <w:t>R012</w:t>
        </w:r>
      </w:hyperlink>
      <w:r>
        <w:t xml:space="preserve">  ·  </w:t>
      </w:r>
      <w:hyperlink r:id="rId51">
        <w:r>
          <w:rPr>
            <w:color w:val="176D83"/>
            <w:u w:val="single"/>
          </w:rPr>
          <w:t>R033</w:t>
        </w:r>
      </w:hyperlink>
      <w:r>
        <w:t xml:space="preserve">  ·  </w:t>
      </w:r>
      <w:hyperlink r:id="rId70">
        <w:r>
          <w:rPr>
            <w:color w:val="176D83"/>
            <w:u w:val="single"/>
          </w:rPr>
          <w:t>R039</w:t>
        </w:r>
      </w:hyperlink>
      <w:r>
        <w:t xml:space="preserve">  ·  </w:t>
      </w:r>
      <w:hyperlink r:id="rId47">
        <w:r>
          <w:rPr>
            <w:color w:val="176D83"/>
            <w:u w:val="single"/>
          </w:rPr>
          <w:t>R050</w:t>
        </w:r>
      </w:hyperlink>
      <w:r>
        <w:t xml:space="preserve">  ·  </w:t>
      </w:r>
      <w:hyperlink r:id="rId48">
        <w:r>
          <w:rPr>
            <w:color w:val="176D83"/>
            <w:u w:val="single"/>
          </w:rPr>
          <w:t>R056</w:t>
        </w:r>
      </w:hyperlink>
      <w:r>
        <w:t xml:space="preserve">  ·  </w:t>
      </w:r>
      <w:hyperlink r:id="rId52">
        <w:r>
          <w:rPr>
            <w:color w:val="176D83"/>
            <w:u w:val="single"/>
          </w:rPr>
          <w:t>R057</w:t>
        </w:r>
      </w:hyperlink>
      <w:r>
        <w:t xml:space="preserve">  ·  </w:t>
      </w:r>
      <w:hyperlink r:id="rId53">
        <w:r>
          <w:rPr>
            <w:color w:val="176D83"/>
            <w:u w:val="single"/>
          </w:rPr>
          <w:t>R058</w:t>
        </w:r>
      </w:hyperlink>
      <w:r>
        <w:t xml:space="preserve">  ·  </w:t>
      </w:r>
      <w:hyperlink r:id="rId54">
        <w:r>
          <w:rPr>
            <w:color w:val="176D83"/>
            <w:u w:val="single"/>
          </w:rPr>
          <w:t>R063</w:t>
        </w:r>
      </w:hyperlink>
    </w:p>
    <w:p>
      <w:pPr>
        <w:pStyle w:val="Heading2"/>
      </w:pPr>
      <w:r>
        <w:t>Предшественники и межшкольная рецепция</w:t>
      </w:r>
    </w:p>
    <w:p>
      <w:r>
        <w:t>Старый английский Nyāyakusumāñjali Cowell 1864 (R060) — полезный исторический переводной вход, но его состав нельзя приравнивать ко всей авторской прозе Udayana без проверки. Nyāyasiddhāntadīpa (R034) доступен в научном санскритско-английском издании первых пяти vāda; вся книга содержит больше разделов. Отсутствие бесплатной версии не стало причиной исключить официальный путь покупки.</w:t>
      </w:r>
    </w:p>
    <w:p>
      <w:r>
        <w:t>Наиболее свободный современный первичный перевод в хронологическом ореоле — Williams 2024 (R059): полный PDF книги, CC BY 4.0, санскрит и английский перевод Prathamamithyātvabhaṅga из Nyāyāmṛta. Первичный текст находится в гл. 9, pp. 233–304; связь с Gaṅgeśa обсуждается в гл. 7. Можно работать с лицензированным изданием и переводить представленный оригинальный раздел, но нельзя считать это доступом ко всему Nyāyāmṛta.</w:t>
      </w:r>
    </w:p>
    <w:p>
      <w:pPr>
        <w:pStyle w:val="Caption"/>
      </w:pPr>
      <w:r>
        <w:t xml:space="preserve">Источники и записи: </w:t>
      </w:r>
      <w:hyperlink r:id="rId38">
        <w:r>
          <w:rPr>
            <w:color w:val="176D83"/>
            <w:u w:val="single"/>
          </w:rPr>
          <w:t>R034</w:t>
        </w:r>
      </w:hyperlink>
      <w:r>
        <w:t xml:space="preserve">  ·  </w:t>
      </w:r>
      <w:hyperlink r:id="rId15">
        <w:r>
          <w:rPr>
            <w:color w:val="176D83"/>
            <w:u w:val="single"/>
          </w:rPr>
          <w:t>R059</w:t>
        </w:r>
      </w:hyperlink>
      <w:r>
        <w:t xml:space="preserve">  ·  </w:t>
      </w:r>
      <w:hyperlink r:id="rId31">
        <w:r>
          <w:rPr>
            <w:color w:val="176D83"/>
            <w:u w:val="single"/>
          </w:rPr>
          <w:t>R060</w:t>
        </w:r>
      </w:hyperlink>
    </w:p>
    <w:p>
      <w:pPr>
        <w:pStyle w:val="Heading1"/>
        <w:pageBreakBefore/>
      </w:pPr>
      <w:r>
        <w:t>4. Карта прав и практического использования</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before="60"/>
            </w:pPr>
            <w:r>
              <w:rPr>
                <w:sz w:val="18"/>
              </w:rPr>
              <w:t>Группа</w:t>
            </w:r>
          </w:p>
        </w:tc>
        <w:tc>
          <w:tcPr>
            <w:tcW w:type="dxa" w:w="4904"/>
          </w:tcPr>
          <w:p>
            <w:pPr>
              <w:spacing w:after="80" w:before="60"/>
            </w:pPr>
            <w:r>
              <w:rPr>
                <w:sz w:val="18"/>
              </w:rPr>
              <w:t>Практическая рекомендация ToS</w:t>
            </w:r>
          </w:p>
        </w:tc>
      </w:tr>
      <w:tr>
        <w:trPr>
          <w:cantSplit/>
        </w:trPr>
        <w:tc>
          <w:tcPr>
            <w:tcW w:type="dxa" w:w="4904"/>
          </w:tcPr>
          <w:p>
            <w:pPr>
              <w:spacing w:after="80" w:before="60"/>
            </w:pPr>
            <w:r>
              <w:rPr>
                <w:sz w:val="18"/>
              </w:rPr>
              <w:t>GRETIL: 10 конкретных e-texts</w:t>
            </w:r>
          </w:p>
        </w:tc>
        <w:tc>
          <w:tcPr>
            <w:tcW w:type="dxa" w:w="4904"/>
          </w:tcPr>
          <w:p>
            <w:pPr>
              <w:spacing w:after="80" w:before="60"/>
            </w:pPr>
            <w:r>
              <w:rPr>
                <w:sz w:val="18"/>
              </w:rPr>
              <w:t>R001, R011–019: CC BY-NC-SA 4.0. Некоммерческое зеркало, атрибуция, сохранение уведомлений; распространяемые переработки — с ShareAlike. Объём каждого файла проверять отдельно.</w:t>
            </w:r>
          </w:p>
        </w:tc>
      </w:tr>
      <w:tr>
        <w:trPr>
          <w:cantSplit/>
        </w:trPr>
        <w:tc>
          <w:tcPr>
            <w:tcW w:type="dxa" w:w="4904"/>
          </w:tcPr>
          <w:p>
            <w:pPr>
              <w:spacing w:after="80" w:before="60"/>
            </w:pPr>
            <w:r>
              <w:rPr>
                <w:sz w:val="18"/>
              </w:rPr>
              <w:t>SARIT: один проверенный TEI</w:t>
            </w:r>
          </w:p>
        </w:tc>
        <w:tc>
          <w:tcPr>
            <w:tcW w:type="dxa" w:w="4904"/>
          </w:tcPr>
          <w:p>
            <w:pPr>
              <w:spacing w:after="80" w:before="60"/>
            </w:pPr>
            <w:r>
              <w:rPr>
                <w:sz w:val="18"/>
              </w:rPr>
              <w:t>R035: CC BY-SA 3.0 Unported. Машиночитаемый Padārthadharmasaṃgraha; не переносить права на все файлы SARIT или на скан исходного издания.</w:t>
            </w:r>
          </w:p>
        </w:tc>
      </w:tr>
      <w:tr>
        <w:trPr>
          <w:cantSplit/>
        </w:trPr>
        <w:tc>
          <w:tcPr>
            <w:tcW w:type="dxa" w:w="4904"/>
          </w:tcPr>
          <w:p>
            <w:pPr>
              <w:spacing w:after="80" w:before="60"/>
            </w:pPr>
            <w:r>
              <w:rPr>
                <w:sz w:val="18"/>
              </w:rPr>
              <w:t>Williams / FWF</w:t>
            </w:r>
          </w:p>
        </w:tc>
        <w:tc>
          <w:tcPr>
            <w:tcW w:type="dxa" w:w="4904"/>
          </w:tcPr>
          <w:p>
            <w:pPr>
              <w:spacing w:after="80" w:before="60"/>
            </w:pPr>
            <w:r>
              <w:rPr>
                <w:sz w:val="18"/>
              </w:rPr>
              <w:t>R059: CC BY 4.0. Повторное размещение, обработка и адаптация лицензированной книги с атрибуцией и отметкой изменений. Первичный корпус представлен избранным разделом.</w:t>
            </w:r>
          </w:p>
        </w:tc>
      </w:tr>
      <w:tr>
        <w:trPr>
          <w:cantSplit/>
        </w:trPr>
        <w:tc>
          <w:tcPr>
            <w:tcW w:type="dxa" w:w="4904"/>
          </w:tcPr>
          <w:p>
            <w:pPr>
              <w:spacing w:after="80" w:before="60"/>
            </w:pPr>
            <w:r>
              <w:rPr>
                <w:sz w:val="18"/>
              </w:rPr>
              <w:t>British Library</w:t>
            </w:r>
          </w:p>
        </w:tc>
        <w:tc>
          <w:tcPr>
            <w:tcW w:type="dxa" w:w="4904"/>
          </w:tcPr>
          <w:p>
            <w:pPr>
              <w:spacing w:after="80" w:before="60"/>
            </w:pPr>
            <w:r>
              <w:rPr>
                <w:sz w:val="18"/>
              </w:rPr>
              <w:t>R009: CC BY 4.0 только на текст каталога. Изображения рукописи не обнаружены; разрешение на метаданные не является разрешением на фотографии.</w:t>
            </w:r>
          </w:p>
        </w:tc>
      </w:tr>
      <w:tr>
        <w:trPr>
          <w:cantSplit/>
        </w:trPr>
        <w:tc>
          <w:tcPr>
            <w:tcW w:type="dxa" w:w="4904"/>
          </w:tcPr>
          <w:p>
            <w:pPr>
              <w:spacing w:after="80" w:before="60"/>
            </w:pPr>
            <w:r>
              <w:rPr>
                <w:sz w:val="18"/>
              </w:rPr>
              <w:t>Старые сканы</w:t>
            </w:r>
          </w:p>
        </w:tc>
        <w:tc>
          <w:tcPr>
            <w:tcW w:type="dxa" w:w="4904"/>
          </w:tcPr>
          <w:p>
            <w:pPr>
              <w:spacing w:after="80" w:before="60"/>
            </w:pPr>
            <w:r>
              <w:rPr>
                <w:sz w:val="18"/>
              </w:rPr>
              <w:t>R003–007, R024–025, R029–031, R036, R060–061, R063: чтение/загрузка по указанным режимам; перед зеркалированием нужны проверка цифрового слоя и юрисдикции.</w:t>
            </w:r>
          </w:p>
        </w:tc>
      </w:tr>
      <w:tr>
        <w:trPr>
          <w:cantSplit/>
        </w:trPr>
        <w:tc>
          <w:tcPr>
            <w:tcW w:type="dxa" w:w="4904"/>
          </w:tcPr>
          <w:p>
            <w:pPr>
              <w:spacing w:after="80" w:before="60"/>
            </w:pPr>
            <w:r>
              <w:rPr>
                <w:sz w:val="18"/>
              </w:rPr>
              <w:t>Современные защищённые слои</w:t>
            </w:r>
          </w:p>
        </w:tc>
        <w:tc>
          <w:tcPr>
            <w:tcW w:type="dxa" w:w="4904"/>
          </w:tcPr>
          <w:p>
            <w:pPr>
              <w:spacing w:after="80" w:before="60"/>
            </w:pPr>
            <w:r>
              <w:rPr>
                <w:sz w:val="18"/>
              </w:rPr>
              <w:t>Сохранить ссылку, карточку, официальный preview, покупку или библиотечный маршрут. Без разрешения не размещать полный перевод, аппарат или реконструированный текст.</w:t>
            </w:r>
          </w:p>
        </w:tc>
      </w:tr>
    </w:tbl>
    <w:p>
      <w:r>
        <w:t>Локальная исследовательская копия, OCR, публичная полнотекстовая индексация и embeddings — разные действия. В реестре нет общего правила «раз можно скачать, можно всё». У открытых e-texts OCR обычно не нужен: уже имеется текст. FULLTEXT_INDEX_OK и EMBEDDINGS_OK выданы в пределах конкретной лицензии, а не как отдельная безусловная привилегия проекта.</w:t>
      </w:r>
    </w:p>
    <w:p>
      <w:r>
        <w:t>Для NC-SA-материалов коммерческий характер нельзя определять только отсутствием продажи книг. Изменение бизнес-модели, платный сервис доступа или использование третьей стороной потребуют повторной оценки. ShareAlike особенно важно учитывать при распространении исправленного текста, переводов и иных адаптаций. Для embeddings не следует автоматически обещать, что любой публикуемый индекс освобождён от условий исходной лицензии.</w:t>
      </w:r>
    </w:p>
    <w:p>
      <w:r>
        <w:t>Для собственного перевода самая ясная основа — конкретный оригинальный текст R035 и санскритский раздел R059, а также перечисленные открыто лицензированные транскрипции GRETIL. Это не разрешение переводить отсутствующие части, использовать защищённый современный перевод как посредник или копировать научный аппарат. Для полной TCM-транскрипции на базе нескольких старопечатных сканов нужен отдельный контроль редакций и прав.</w:t>
      </w:r>
    </w:p>
    <w:p>
      <w:r>
        <w:t>В проверенном наборе не установлены предметные лицензии CC BY-ND или CC BY-NC-ND. Поэтому искусственная группа «только неизменённое распространение» и теги UNCHANGED_ONLY не добавлены. Не подтверждён и активный маршрут Controlled Digital Lending: R047 оставлен ограниченным preview/метаданными. Наличие интерфейса выдачи или технического LCP-маркера недостаточно.</w:t>
      </w:r>
    </w:p>
    <w:p>
      <w:pPr>
        <w:pStyle w:val="Caption"/>
      </w:pPr>
      <w:r>
        <w:t xml:space="preserve">Источники и записи: </w:t>
      </w:r>
      <w:hyperlink r:id="rId11">
        <w:r>
          <w:rPr>
            <w:color w:val="176D83"/>
            <w:u w:val="single"/>
          </w:rPr>
          <w:t>R001</w:t>
        </w:r>
      </w:hyperlink>
      <w:r>
        <w:t xml:space="preserve">  ·  </w:t>
      </w:r>
      <w:hyperlink r:id="rId71">
        <w:r>
          <w:rPr>
            <w:color w:val="176D83"/>
            <w:u w:val="single"/>
          </w:rPr>
          <w:t>R009</w:t>
        </w:r>
      </w:hyperlink>
      <w:r>
        <w:t xml:space="preserve">  ·  </w:t>
      </w:r>
      <w:hyperlink r:id="rId49">
        <w:r>
          <w:rPr>
            <w:color w:val="176D83"/>
            <w:u w:val="single"/>
          </w:rPr>
          <w:t>R011</w:t>
        </w:r>
      </w:hyperlink>
      <w:r>
        <w:t xml:space="preserve">  ·  </w:t>
      </w:r>
      <w:hyperlink r:id="rId14">
        <w:r>
          <w:rPr>
            <w:color w:val="176D83"/>
            <w:u w:val="single"/>
          </w:rPr>
          <w:t>R035</w:t>
        </w:r>
      </w:hyperlink>
      <w:r>
        <w:t xml:space="preserve">  ·  </w:t>
      </w:r>
      <w:hyperlink r:id="rId72">
        <w:r>
          <w:rPr>
            <w:color w:val="176D83"/>
            <w:u w:val="single"/>
          </w:rPr>
          <w:t>R047</w:t>
        </w:r>
      </w:hyperlink>
      <w:r>
        <w:t xml:space="preserve">  ·  </w:t>
      </w:r>
      <w:hyperlink r:id="rId15">
        <w:r>
          <w:rPr>
            <w:color w:val="176D83"/>
            <w:u w:val="single"/>
          </w:rPr>
          <w:t>R059</w:t>
        </w:r>
      </w:hyperlink>
      <w:r>
        <w:t xml:space="preserve">  ·  </w:t>
      </w:r>
      <w:hyperlink r:id="rId73">
        <w:r>
          <w:rPr>
            <w:color w:val="176D83"/>
            <w:u w:val="single"/>
          </w:rPr>
          <w:t>R065</w:t>
        </w:r>
      </w:hyperlink>
      <w:r>
        <w:t xml:space="preserve">  ·  </w:t>
      </w:r>
      <w:hyperlink r:id="rId74">
        <w:r>
          <w:rPr>
            <w:color w:val="176D83"/>
            <w:u w:val="single"/>
          </w:rPr>
          <w:t>R066</w:t>
        </w:r>
      </w:hyperlink>
    </w:p>
    <w:p>
      <w:pPr>
        <w:pStyle w:val="Heading1"/>
        <w:pageBreakBefore/>
      </w:pPr>
      <w:r>
        <w:t>5. Характерные правовые и библиографические тонкости</w:t>
      </w:r>
    </w:p>
    <w:p>
      <w:pPr>
        <w:pStyle w:val="Heading2"/>
      </w:pPr>
      <w:r>
        <w:t>Древний текст и современная редакция — разные слои</w:t>
      </w:r>
    </w:p>
    <w:p>
      <w:r>
        <w:t>Для Gaṅgeśa и исторических комментаторов истечение имущественной охраны оригинала не устраняет права переводчика, редактора, автора реконструкции, комментария или цифровой транскрипции. В частности, Phillips 2020, Goekoop, Matilal, Vattanky, Dash, Bhatta и современные хинди/бенгальские издания не объявлены свободными по возрасту санскритского оригинала. Формулировка free translation в описании Mohanty означает характер перевода, а не бесплатный доступ или свободную лицензию.</w:t>
      </w:r>
    </w:p>
    <w:p>
      <w:pPr>
        <w:pStyle w:val="Caption"/>
      </w:pPr>
      <w:r>
        <w:t xml:space="preserve">Источники и записи: </w:t>
      </w:r>
      <w:hyperlink r:id="rId12">
        <w:r>
          <w:rPr>
            <w:color w:val="176D83"/>
            <w:u w:val="single"/>
          </w:rPr>
          <w:t>R002</w:t>
        </w:r>
      </w:hyperlink>
      <w:r>
        <w:t xml:space="preserve">  ·  </w:t>
      </w:r>
      <w:hyperlink r:id="rId20">
        <w:r>
          <w:rPr>
            <w:color w:val="176D83"/>
            <w:u w:val="single"/>
          </w:rPr>
          <w:t>R032</w:t>
        </w:r>
      </w:hyperlink>
      <w:r>
        <w:t xml:space="preserve">  ·  </w:t>
      </w:r>
      <w:hyperlink r:id="rId70">
        <w:r>
          <w:rPr>
            <w:color w:val="176D83"/>
            <w:u w:val="single"/>
          </w:rPr>
          <w:t>R039</w:t>
        </w:r>
      </w:hyperlink>
      <w:r>
        <w:t xml:space="preserve">  ·  </w:t>
      </w:r>
      <w:hyperlink r:id="rId44">
        <w:r>
          <w:rPr>
            <w:color w:val="176D83"/>
            <w:u w:val="single"/>
          </w:rPr>
          <w:t>R040</w:t>
        </w:r>
      </w:hyperlink>
      <w:r>
        <w:t xml:space="preserve">  ·  </w:t>
      </w:r>
      <w:hyperlink r:id="rId21">
        <w:r>
          <w:rPr>
            <w:color w:val="176D83"/>
            <w:u w:val="single"/>
          </w:rPr>
          <w:t>R042</w:t>
        </w:r>
      </w:hyperlink>
      <w:r>
        <w:t xml:space="preserve">  ·  </w:t>
      </w:r>
      <w:hyperlink r:id="rId23">
        <w:r>
          <w:rPr>
            <w:color w:val="176D83"/>
            <w:u w:val="single"/>
          </w:rPr>
          <w:t>R046</w:t>
        </w:r>
      </w:hyperlink>
      <w:r>
        <w:t xml:space="preserve">  ·  </w:t>
      </w:r>
      <w:hyperlink r:id="rId25">
        <w:r>
          <w:rPr>
            <w:color w:val="176D83"/>
            <w:u w:val="single"/>
          </w:rPr>
          <w:t>R051</w:t>
        </w:r>
      </w:hyperlink>
      <w:r>
        <w:t xml:space="preserve">  ·  </w:t>
      </w:r>
      <w:hyperlink r:id="rId26">
        <w:r>
          <w:rPr>
            <w:color w:val="176D83"/>
            <w:u w:val="single"/>
          </w:rPr>
          <w:t>R052</w:t>
        </w:r>
      </w:hyperlink>
    </w:p>
    <w:p>
      <w:pPr>
        <w:pStyle w:val="Heading2"/>
      </w:pPr>
      <w:r>
        <w:t>Заявление платформы не всегда удостоверяет все права</w:t>
      </w:r>
    </w:p>
    <w:p>
      <w:r>
        <w:t>Старые Toronto-сканы имеют отметку NOT_IN_COPYRIGHT с американской юрисдикционной привязкой; DLI использует OUT_OF_COPYRIGHT, но это не CC-лицензия и не заключение для всех стран. HathiTrust Full view — режим просмотра. Google Books Download — предложение получения файла. Ни одна из этих меток сама по себе не даёт ToS безусловного разрешения на публикацию зеркала.</w:t>
      </w:r>
    </w:p>
    <w:p>
      <w:r>
        <w:t>Пользовательская загрузка современной книги с CC0 не была признана открытым изданием без доказательства полномочий загрузчика. В gaps отдельно сохранён случай Ingalls: произведение важно, однако найденная пользовательская отметка не удостоверяет законность распространения. Сомнительные свободные копии не заменяют официальную покупку или библиотечную карточку.</w:t>
      </w:r>
    </w:p>
    <w:p>
      <w:pPr>
        <w:pStyle w:val="Caption"/>
      </w:pPr>
      <w:r>
        <w:t xml:space="preserve">Источники и записи: </w:t>
      </w:r>
      <w:hyperlink r:id="rId62">
        <w:r>
          <w:rPr>
            <w:color w:val="176D83"/>
            <w:u w:val="single"/>
          </w:rPr>
          <w:t>R029</w:t>
        </w:r>
      </w:hyperlink>
      <w:r>
        <w:t xml:space="preserve">  ·  </w:t>
      </w:r>
      <w:hyperlink r:id="rId63">
        <w:r>
          <w:rPr>
            <w:color w:val="176D83"/>
            <w:u w:val="single"/>
          </w:rPr>
          <w:t>R030</w:t>
        </w:r>
      </w:hyperlink>
      <w:r>
        <w:t xml:space="preserve">  ·  </w:t>
      </w:r>
      <w:hyperlink r:id="rId64">
        <w:r>
          <w:rPr>
            <w:color w:val="176D83"/>
            <w:u w:val="single"/>
          </w:rPr>
          <w:t>R031</w:t>
        </w:r>
      </w:hyperlink>
      <w:r>
        <w:t xml:space="preserve">  ·  </w:t>
      </w:r>
      <w:hyperlink r:id="rId72">
        <w:r>
          <w:rPr>
            <w:color w:val="176D83"/>
            <w:u w:val="single"/>
          </w:rPr>
          <w:t>R047</w:t>
        </w:r>
      </w:hyperlink>
      <w:r>
        <w:t xml:space="preserve">  ·  </w:t>
      </w:r>
      <w:hyperlink r:id="rId54">
        <w:r>
          <w:rPr>
            <w:color w:val="176D83"/>
            <w:u w:val="single"/>
          </w:rPr>
          <w:t>R063</w:t>
        </w:r>
      </w:hyperlink>
    </w:p>
    <w:p>
      <w:pPr>
        <w:pStyle w:val="Heading2"/>
      </w:pPr>
      <w:r>
        <w:t>Полнота файла, полнота произведения и полнота серии</w:t>
      </w:r>
    </w:p>
    <w:p>
      <w:r>
        <w:t>Полностью открытая страница может представлять лишь фрагмент. R001 — неполный Śabdakhaṇḍa; R013 — первый stavaka; R014 — ограниченная часть Pariśuddhi; R015 — первый pariccheda; R034 — первые пять vāda; R059 — выбранный раздел Nyāyāmṛta. Для них собственный перевод, зеркало или индекс ограничены именно доступным слоем.</w:t>
      </w:r>
    </w:p>
    <w:p>
      <w:r>
        <w:t>Группировать форматы одной версии полезно, но смешивать языки или редакции нельзя. Поэтому санскритский текст R053 с английским предисловием не записан как английский перевод; русский PDF R033 не записан как полный перевод; один открытый том Jāgadīśī не превращён в весь комментарий. Метки IA «1 pt. 2» и «3 pt. 4» требуют сверки с титулами, а не догадки по имени цифрового файла.</w:t>
      </w:r>
    </w:p>
    <w:p>
      <w:pPr>
        <w:pStyle w:val="Caption"/>
      </w:pPr>
      <w:r>
        <w:t xml:space="preserve">Источники и записи: </w:t>
      </w:r>
      <w:hyperlink r:id="rId11">
        <w:r>
          <w:rPr>
            <w:color w:val="176D83"/>
            <w:u w:val="single"/>
          </w:rPr>
          <w:t>R001</w:t>
        </w:r>
      </w:hyperlink>
      <w:r>
        <w:t xml:space="preserve">  ·  </w:t>
      </w:r>
      <w:hyperlink r:id="rId29">
        <w:r>
          <w:rPr>
            <w:color w:val="176D83"/>
            <w:u w:val="single"/>
          </w:rPr>
          <w:t>R013</w:t>
        </w:r>
      </w:hyperlink>
      <w:r>
        <w:t xml:space="preserve">  ·  </w:t>
      </w:r>
      <w:hyperlink r:id="rId30">
        <w:r>
          <w:rPr>
            <w:color w:val="176D83"/>
            <w:u w:val="single"/>
          </w:rPr>
          <w:t>R014</w:t>
        </w:r>
      </w:hyperlink>
      <w:r>
        <w:t xml:space="preserve">  ·  </w:t>
      </w:r>
      <w:hyperlink r:id="rId55">
        <w:r>
          <w:rPr>
            <w:color w:val="176D83"/>
            <w:u w:val="single"/>
          </w:rPr>
          <w:t>R015</w:t>
        </w:r>
      </w:hyperlink>
      <w:r>
        <w:t xml:space="preserve">  ·  </w:t>
      </w:r>
      <w:hyperlink r:id="rId42">
        <w:r>
          <w:rPr>
            <w:color w:val="176D83"/>
            <w:u w:val="single"/>
          </w:rPr>
          <w:t>R023</w:t>
        </w:r>
      </w:hyperlink>
      <w:r>
        <w:t xml:space="preserve">  ·  </w:t>
      </w:r>
      <w:hyperlink r:id="rId62">
        <w:r>
          <w:rPr>
            <w:color w:val="176D83"/>
            <w:u w:val="single"/>
          </w:rPr>
          <w:t>R029</w:t>
        </w:r>
      </w:hyperlink>
      <w:r>
        <w:t xml:space="preserve">  ·  </w:t>
      </w:r>
      <w:hyperlink r:id="rId63">
        <w:r>
          <w:rPr>
            <w:color w:val="176D83"/>
            <w:u w:val="single"/>
          </w:rPr>
          <w:t>R030</w:t>
        </w:r>
      </w:hyperlink>
      <w:r>
        <w:t xml:space="preserve">  ·  </w:t>
      </w:r>
      <w:hyperlink r:id="rId51">
        <w:r>
          <w:rPr>
            <w:color w:val="176D83"/>
            <w:u w:val="single"/>
          </w:rPr>
          <w:t>R033</w:t>
        </w:r>
      </w:hyperlink>
      <w:r>
        <w:t xml:space="preserve">  ·  </w:t>
      </w:r>
      <w:hyperlink r:id="rId38">
        <w:r>
          <w:rPr>
            <w:color w:val="176D83"/>
            <w:u w:val="single"/>
          </w:rPr>
          <w:t>R034</w:t>
        </w:r>
      </w:hyperlink>
      <w:r>
        <w:t xml:space="preserve">  ·  </w:t>
      </w:r>
      <w:hyperlink r:id="rId67">
        <w:r>
          <w:rPr>
            <w:color w:val="176D83"/>
            <w:u w:val="single"/>
          </w:rPr>
          <w:t>R053</w:t>
        </w:r>
      </w:hyperlink>
      <w:r>
        <w:t xml:space="preserve">  ·  </w:t>
      </w:r>
      <w:hyperlink r:id="rId15">
        <w:r>
          <w:rPr>
            <w:color w:val="176D83"/>
            <w:u w:val="single"/>
          </w:rPr>
          <w:t>R059</w:t>
        </w:r>
      </w:hyperlink>
    </w:p>
    <w:p>
      <w:pPr>
        <w:pStyle w:val="Heading2"/>
      </w:pPr>
      <w:r>
        <w:t>Рукопись не совпадает с датой сочинения</w:t>
      </w:r>
    </w:p>
    <w:p>
      <w:r>
        <w:t>У BL IO San 1894b каталог уточняет объём: два отдельных листа Anumānakhaṇḍa, а не полный Tattvacintāmaṇi. Диапазон 1780–1820 — дата позднего свидетеля. UPenn Item 2587 не переобозначен как автограф или ранний список: его данные из DR требуют новой проверки после восстановления доступа. Ранние региональные письменности и древнейшие сохранившиеся свидетели в этом пакете не реконструированы.</w:t>
      </w:r>
    </w:p>
    <w:p>
      <w:pPr>
        <w:pStyle w:val="Caption"/>
      </w:pPr>
      <w:r>
        <w:t xml:space="preserve">Источники и записи: </w:t>
      </w:r>
      <w:hyperlink r:id="rId71">
        <w:r>
          <w:rPr>
            <w:color w:val="176D83"/>
            <w:u w:val="single"/>
          </w:rPr>
          <w:t>R009</w:t>
        </w:r>
      </w:hyperlink>
      <w:r>
        <w:t xml:space="preserve">  ·  </w:t>
      </w:r>
      <w:hyperlink r:id="rId75">
        <w:r>
          <w:rPr>
            <w:color w:val="176D83"/>
            <w:u w:val="single"/>
          </w:rPr>
          <w:t>R010</w:t>
        </w:r>
      </w:hyperlink>
    </w:p>
    <w:p>
      <w:pPr>
        <w:pStyle w:val="Heading1"/>
        <w:pageBreakBefore/>
      </w:pPr>
      <w:r>
        <w:t>6. Пробелы и дальнейший поиск</w:t>
      </w:r>
    </w:p>
    <w:p>
      <w:pPr>
        <w:spacing w:line="247" w:lineRule="auto" w:after="80"/>
      </w:pPr>
      <w:r>
        <w:t>Поиск дал законные входы ко всем основным именованным корпусным центрам DR, но не исчерпал многовековое дерево комментариев. Завершённое ядро сохранено; время оставшейся работы перенесено в конкретные gaps, а не замаскировано утверждением об отсутствии текстов. Веб-проверка означает открытие страницы или файла с указанной глубиной, не постраничную текстологическую экспертизу.</w:t>
      </w:r>
    </w:p>
    <w:p>
      <w:pPr>
        <w:pStyle w:val="Heading2"/>
      </w:pPr>
      <w:r>
        <w:t>Что осталось недоступным или непроверенным</w:t>
      </w:r>
    </w:p>
    <w:p>
      <w:pPr>
        <w:spacing w:line="247" w:lineRule="auto" w:after="80"/>
      </w:pPr>
      <w:r>
        <w:t>Рукописи: не открылись Colenda Item 2587, несколько найденных OPenn item-level страниц и Cambridge Add. 2153. Для BL найдено описание, но не изображения. Из поисковых сниппетов OPenn не перенесены PDM, CC0 или разрешения на OCR. Неудача инструмента не доказывает, что страницы недоступны всем посетителям.</w:t>
      </w:r>
    </w:p>
    <w:p>
      <w:pPr>
        <w:spacing w:line="247" w:lineRule="auto" w:after="80"/>
      </w:pPr>
      <w:r>
        <w:t>Издания: полные цифровые Āloka–Darpaṇa и ряд ветвей Prakāśa остаются за каталожными входами. Для Gādādharī/Jāgadīśī не собран полный комплект. Современные переводы частей TCM доступны преимущественно через ограниченный поиск, покупку или библиотечное обнаружение; активная выдача конкретного цифрового экземпляра не подтверждена. Virupakshananda и текущий тираж Mohanty имеют ограничения наличия.</w:t>
      </w:r>
    </w:p>
    <w:p>
      <w:pPr>
        <w:spacing w:line="247" w:lineRule="auto" w:after="80"/>
      </w:pPr>
      <w:r>
        <w:t>Качество и права: требуется сверить комплектность BI/Toronto/DLI, OCR и пагинацию; установить исходную редакцию Wikisource; уточнить лицензионные заголовки дополнительных SARIT-файлов. Автоматически переносить лицензию проверенного Padārthadharmasaṃgraha на репозиторий целиком нельзя.</w:t>
      </w:r>
    </w:p>
    <w:p>
      <w:pPr>
        <w:spacing w:line="247" w:lineRule="auto" w:after="80"/>
      </w:pPr>
      <w:r>
        <w:t>Слабые кандидаты: пользовательская CC0-копия Ingalls исключена из рекомендуемых загрузок; не подтверждённая достаточно конкретно связь Śrīharṣa оставлена как unverified_candidate. Tarkabhāṣā требует разведения Keśava Miśra и буддийского Mokṣākaragupta. Ни один итоговый URL не ведёт на Wikipedia. Если кандидат не подтверждён сильным источником, он не повышен до установленного предмета registry.</w:t>
      </w:r>
    </w:p>
    <w:p>
      <w:pPr>
        <w:pStyle w:val="Heading2"/>
      </w:pPr>
      <w:r>
        <w:t>Восемь целевых направлений</w:t>
      </w:r>
    </w:p>
    <w:p>
      <w:pPr>
        <w:spacing w:line="247" w:lineRule="auto" w:after="80"/>
      </w:pPr>
      <w:r>
        <w:rPr>
          <w:b/>
        </w:rPr>
        <w:t xml:space="preserve">Рукописи и IIIF. </w:t>
      </w:r>
      <w:r>
        <w:t>Восстановить item-level просмотр UPenn/OPenn и Cambridge; отдельно зафиксировать факсимиле, лицензию изображений, метаданные и фактический объём. Приоритет G002–G007, G011.</w:t>
      </w:r>
    </w:p>
    <w:p>
      <w:pPr>
        <w:spacing w:line="247" w:lineRule="auto" w:after="80"/>
      </w:pPr>
      <w:r>
        <w:rPr>
          <w:b/>
        </w:rPr>
        <w:t xml:space="preserve">Комплектность TCM. </w:t>
      </w:r>
      <w:r>
        <w:t>Проверить начало и конец каждого khaṇḍa, титулы и старопечатные тома; устранить неоднозначные привязки IA. Начать с G001, не с загрузки общего портала.</w:t>
      </w:r>
    </w:p>
    <w:p>
      <w:pPr>
        <w:spacing w:line="247" w:lineRule="auto" w:after="80"/>
      </w:pPr>
      <w:r>
        <w:rPr>
          <w:b/>
        </w:rPr>
        <w:t xml:space="preserve">Ранние комментарии. </w:t>
      </w:r>
      <w:r>
        <w:t>Идентифицировать отдельные Āloka, Darpaṇa, Māthurī/Rahasya, Prakāśa, Nyāyaśikhāmaṇi; развести комментарии Vardhamāna к Udayana и предполагаемые комментарии к TCM. G008–G010.</w:t>
      </w:r>
    </w:p>
    <w:p>
      <w:pPr>
        <w:spacing w:line="247" w:lineRule="auto" w:after="80"/>
      </w:pPr>
      <w:r>
        <w:rPr>
          <w:b/>
        </w:rPr>
        <w:t xml:space="preserve">Поздние прямые продолжения. </w:t>
      </w:r>
      <w:r>
        <w:t>Добрать Gādādharī, Jāgadīśī, Dīdhitiprakāśa, Prasāriṇī и Kroḍapattrasaṅgraha по точным томам и изданиям. G012–G013.</w:t>
      </w:r>
    </w:p>
    <w:p>
      <w:pPr>
        <w:spacing w:line="247" w:lineRule="auto" w:after="80"/>
      </w:pPr>
      <w:r>
        <w:rPr>
          <w:b/>
        </w:rPr>
        <w:t xml:space="preserve">Специализированные переводы. </w:t>
      </w:r>
      <w:r>
        <w:t>Проверить Pakṣatā, Upādhi, Vyāptigraha, Vidhi, Apūrva и всю переводческую серию Wada; отделить новые части от переизданий. G014–G016.</w:t>
      </w:r>
    </w:p>
    <w:p>
      <w:pPr>
        <w:spacing w:line="247" w:lineRule="auto" w:after="80"/>
      </w:pPr>
      <w:r>
        <w:rPr>
          <w:b/>
        </w:rPr>
        <w:t xml:space="preserve">Учебные и терминологические тексты. </w:t>
      </w:r>
      <w:r>
        <w:t>Завершить законные пути к Ingalls, Keśava/Tuxen, Janakīnātha, Laugākṣi и Śivāditya. Состав первичного текста проверять, не доверяя агрегаторскому описанию. G017–G019.</w:t>
      </w:r>
    </w:p>
    <w:p>
      <w:pPr>
        <w:spacing w:line="247" w:lineRule="auto" w:after="80"/>
      </w:pPr>
      <w:r>
        <w:rPr>
          <w:b/>
        </w:rPr>
        <w:t xml:space="preserve">Полемические входы и межшкольная рецепция. </w:t>
      </w:r>
      <w:r>
        <w:t>Для Kumārila, Dharmakīrti, Jayanta, возможного Śrīharṣa и поздних грамматиков установить конкретное место связи, затем подбирать доступ. Не разворачивать весь буддийский или ведантийский канон. G020–G022.</w:t>
      </w:r>
    </w:p>
    <w:p>
      <w:pPr>
        <w:spacing w:line="247" w:lineRule="auto" w:after="80"/>
      </w:pPr>
      <w:r>
        <w:rPr>
          <w:b/>
        </w:rPr>
        <w:t xml:space="preserve">Русский и библиотечный доступ. </w:t>
      </w:r>
      <w:r>
        <w:t>Проверить полный законный текст Островской, наличие частичных русских переводов Gaṅgeśa и реальные условия выдачи защищённых переводов. G023–G024.</w:t>
      </w:r>
    </w:p>
    <w:p>
      <w:pPr>
        <w:pStyle w:val="Heading1"/>
        <w:pageBreakBefore/>
      </w:pPr>
      <w:r>
        <w:t>7. Итоговая оценка</w:t>
      </w:r>
    </w:p>
    <w:p>
      <w:r>
        <w:t>Корпус покрыт хорошо на уровне центрального произведения, основных комментарийных ветвей и практически полезных изданий; хуже — на уровне полного состава многотомных сверхкомментариев и материальной рукописной традиции. Все четыре pramāṇa-раздела TCM получили пути доступа, но не каждый из них имеет проверенный открыто лицензированный полный электронный оригинал.</w:t>
      </w:r>
    </w:p>
    <w:p>
      <w:r>
        <w:t>Оригиналы доступны прежде всего через старопечатные сканы и открытые санскритские транскрипции. Переводной слой наиболее развит на английском: есть полный современный перевод, специализированные переводы разделов и учебные тексты. Русский полный первичный доступ в этом запуске не установлен; бенгальский и хинди представлены конкретными, главным образом защищёнными изданиями.</w:t>
      </w:r>
    </w:p>
    <w:p>
      <w:r>
        <w:t>Наиболее свободный практически готовый слой — R035 (CC BY-SA 3.0), R059 (CC BY 4.0) и десять GRETIL e-texts при соблюдении NC-SA. Главные ограничения сосредоточены в современных переводах, аппарате, неясных правах сканов, неполных электронных текстах и неоткрывшихся рукописных карточках. Публичная карточка и внешняя ссылка остаются полезными даже там, где зеркало недопустимо.</w:t>
      </w:r>
    </w:p>
    <w:p>
      <w:r>
        <w:t>Пакет пригоден для передачи Codex как исследовательский реестр: простой уникальный record_id, сохранённый tos_row_id, отдельные поля версии, свидетеля, доступа, полноты и четырёх уровней прав. Не требуется угадывать, означает ли доступная ссылка полный текст или лишь каталог. При автоматическом импорте необходимо учитывать verification_status, rights_scope и coverage вместе с tos_use; RIGHTS_REVIEW_REQUIRED не позволяет расширять положительные теги за пределы доказанного слоя.</w:t>
      </w:r>
    </w:p>
    <w:p>
      <w:r>
        <w:t>Это не готовое юридическое разрешение на публикацию всего корпуса и не полный критический каталог Navya-Nyāya. Следующий безопасный шаг внутри проекта — использовать установленные ссылки и лицензированные слои, сохраняя конкретные пробелы для последующей проверки. Мастер-строка T2-34 и исходный статус A остаются неизменными.</w:t>
      </w:r>
    </w:p>
    <w:p>
      <w:pPr>
        <w:pStyle w:val="Heading2"/>
      </w:pPr>
      <w:r>
        <w:t>Ключ к источникам и проверке</w:t>
      </w:r>
    </w:p>
    <w:p>
      <w:r>
        <w:t>Полные URL, идентификаторы, сведения об издании, права и ограничения находятся в XLSX. Все обозначения Rxxx в отчёте — короткая форма T2-34-Rxxx; Gxxx — T2-34-Gxxx на листе gaps. Нажимаемые ссылки ведут к тем же внешним предметным страницам, а не к поисковой выдаче.</w:t>
      </w:r>
    </w:p>
    <w:p>
      <w:pPr>
        <w:pStyle w:val="Caption"/>
      </w:pPr>
      <w:r>
        <w:t xml:space="preserve">Полный современный перевод и старые оригиналы: </w:t>
      </w:r>
      <w:hyperlink r:id="rId12">
        <w:r>
          <w:rPr>
            <w:color w:val="176D83"/>
            <w:u w:val="single"/>
          </w:rPr>
          <w:t>R002</w:t>
        </w:r>
      </w:hyperlink>
      <w:r>
        <w:t xml:space="preserve"> · </w:t>
      </w:r>
      <w:hyperlink r:id="rId13">
        <w:r>
          <w:rPr>
            <w:color w:val="176D83"/>
            <w:u w:val="single"/>
          </w:rPr>
          <w:t>R003</w:t>
        </w:r>
      </w:hyperlink>
      <w:r>
        <w:t xml:space="preserve"> · </w:t>
      </w:r>
      <w:hyperlink r:id="rId56">
        <w:r>
          <w:rPr>
            <w:color w:val="176D83"/>
            <w:u w:val="single"/>
          </w:rPr>
          <w:t>R004</w:t>
        </w:r>
      </w:hyperlink>
      <w:r>
        <w:t xml:space="preserve"> · </w:t>
      </w:r>
      <w:hyperlink r:id="rId57">
        <w:r>
          <w:rPr>
            <w:color w:val="176D83"/>
            <w:u w:val="single"/>
          </w:rPr>
          <w:t>R005</w:t>
        </w:r>
      </w:hyperlink>
      <w:r>
        <w:t xml:space="preserve"> · </w:t>
      </w:r>
      <w:hyperlink r:id="rId58">
        <w:r>
          <w:rPr>
            <w:color w:val="176D83"/>
            <w:u w:val="single"/>
          </w:rPr>
          <w:t>R006</w:t>
        </w:r>
      </w:hyperlink>
      <w:r>
        <w:t xml:space="preserve"> · </w:t>
      </w:r>
      <w:hyperlink r:id="rId59">
        <w:r>
          <w:rPr>
            <w:color w:val="176D83"/>
            <w:u w:val="single"/>
          </w:rPr>
          <w:t>R007</w:t>
        </w:r>
      </w:hyperlink>
    </w:p>
    <w:p>
      <w:pPr>
        <w:pStyle w:val="Caption"/>
      </w:pPr>
      <w:r>
        <w:t xml:space="preserve">Ранние комментарии и конкретный рукописный каталог: </w:t>
      </w:r>
      <w:hyperlink r:id="rId16">
        <w:r>
          <w:rPr>
            <w:color w:val="176D83"/>
            <w:u w:val="single"/>
          </w:rPr>
          <w:t>R008</w:t>
        </w:r>
      </w:hyperlink>
      <w:r>
        <w:t xml:space="preserve"> · </w:t>
      </w:r>
      <w:hyperlink r:id="rId71">
        <w:r>
          <w:rPr>
            <w:color w:val="176D83"/>
            <w:u w:val="single"/>
          </w:rPr>
          <w:t>R009</w:t>
        </w:r>
      </w:hyperlink>
      <w:r>
        <w:t xml:space="preserve"> · </w:t>
      </w:r>
      <w:hyperlink r:id="rId19">
        <w:r>
          <w:rPr>
            <w:color w:val="176D83"/>
            <w:u w:val="single"/>
          </w:rPr>
          <w:t>R027</w:t>
        </w:r>
      </w:hyperlink>
      <w:r>
        <w:t xml:space="preserve"> · </w:t>
      </w:r>
      <w:hyperlink r:id="rId28">
        <w:r>
          <w:rPr>
            <w:color w:val="176D83"/>
            <w:u w:val="single"/>
          </w:rPr>
          <w:t>R055</w:t>
        </w:r>
      </w:hyperlink>
    </w:p>
    <w:p>
      <w:pPr>
        <w:pStyle w:val="Caption"/>
      </w:pPr>
      <w:r>
        <w:t xml:space="preserve">Поздняя аналитическая линия: </w:t>
      </w:r>
      <w:hyperlink r:id="rId40">
        <w:r>
          <w:rPr>
            <w:color w:val="176D83"/>
            <w:u w:val="single"/>
          </w:rPr>
          <w:t>R021</w:t>
        </w:r>
      </w:hyperlink>
      <w:r>
        <w:t xml:space="preserve"> · </w:t>
      </w:r>
      <w:hyperlink r:id="rId42">
        <w:r>
          <w:rPr>
            <w:color w:val="176D83"/>
            <w:u w:val="single"/>
          </w:rPr>
          <w:t>R023</w:t>
        </w:r>
      </w:hyperlink>
      <w:r>
        <w:t xml:space="preserve"> · </w:t>
      </w:r>
      <w:hyperlink r:id="rId43">
        <w:r>
          <w:rPr>
            <w:color w:val="176D83"/>
            <w:u w:val="single"/>
          </w:rPr>
          <w:t>R036</w:t>
        </w:r>
      </w:hyperlink>
      <w:r>
        <w:t xml:space="preserve"> · </w:t>
      </w:r>
      <w:hyperlink r:id="rId44">
        <w:r>
          <w:rPr>
            <w:color w:val="176D83"/>
            <w:u w:val="single"/>
          </w:rPr>
          <w:t>R040</w:t>
        </w:r>
      </w:hyperlink>
      <w:r>
        <w:t xml:space="preserve"> · </w:t>
      </w:r>
      <w:hyperlink r:id="rId46">
        <w:r>
          <w:rPr>
            <w:color w:val="176D83"/>
            <w:u w:val="single"/>
          </w:rPr>
          <w:t>R049</w:t>
        </w:r>
      </w:hyperlink>
      <w:r>
        <w:t xml:space="preserve"> · </w:t>
      </w:r>
      <w:hyperlink r:id="rId48">
        <w:r>
          <w:rPr>
            <w:color w:val="176D83"/>
            <w:u w:val="single"/>
          </w:rPr>
          <w:t>R056</w:t>
        </w:r>
      </w:hyperlink>
    </w:p>
    <w:p>
      <w:pPr>
        <w:pStyle w:val="Caption"/>
      </w:pPr>
      <w:r>
        <w:t xml:space="preserve">Лицензированные первичные тексты: </w:t>
      </w:r>
      <w:hyperlink r:id="rId11">
        <w:r>
          <w:rPr>
            <w:color w:val="176D83"/>
            <w:u w:val="single"/>
          </w:rPr>
          <w:t>R001</w:t>
        </w:r>
      </w:hyperlink>
      <w:r>
        <w:t xml:space="preserve"> · </w:t>
      </w:r>
      <w:hyperlink r:id="rId49">
        <w:r>
          <w:rPr>
            <w:color w:val="176D83"/>
            <w:u w:val="single"/>
          </w:rPr>
          <w:t>R011</w:t>
        </w:r>
      </w:hyperlink>
      <w:r>
        <w:t xml:space="preserve"> · </w:t>
      </w:r>
      <w:hyperlink r:id="rId14">
        <w:r>
          <w:rPr>
            <w:color w:val="176D83"/>
            <w:u w:val="single"/>
          </w:rPr>
          <w:t>R035</w:t>
        </w:r>
      </w:hyperlink>
      <w:r>
        <w:t xml:space="preserve"> · </w:t>
      </w:r>
      <w:hyperlink r:id="rId15">
        <w:r>
          <w:rPr>
            <w:color w:val="176D83"/>
            <w:u w:val="single"/>
          </w:rPr>
          <w:t>R059</w:t>
        </w:r>
      </w:hyperlink>
    </w:p>
    <w:p>
      <w:pPr>
        <w:pStyle w:val="Caption"/>
      </w:pPr>
      <w:r>
        <w:t xml:space="preserve">Частичный перевод и русский фрагмент: </w:t>
      </w:r>
      <w:hyperlink r:id="rId22">
        <w:r>
          <w:rPr>
            <w:color w:val="176D83"/>
            <w:u w:val="single"/>
          </w:rPr>
          <w:t>R045</w:t>
        </w:r>
      </w:hyperlink>
      <w:r>
        <w:t xml:space="preserve"> · </w:t>
      </w:r>
      <w:hyperlink r:id="rId51">
        <w:r>
          <w:rPr>
            <w:color w:val="176D83"/>
            <w:u w:val="single"/>
          </w:rPr>
          <w:t>R033</w:t>
        </w:r>
      </w:hyperlink>
    </w:p>
    <w:p>
      <w:pPr>
        <w:pStyle w:val="Caption"/>
      </w:pPr>
      <w:r>
        <w:t xml:space="preserve">Исторический перевод и учебные издания: </w:t>
      </w:r>
      <w:hyperlink r:id="rId31">
        <w:r>
          <w:rPr>
            <w:color w:val="176D83"/>
            <w:u w:val="single"/>
          </w:rPr>
          <w:t>R060</w:t>
        </w:r>
      </w:hyperlink>
      <w:r>
        <w:t xml:space="preserve"> · </w:t>
      </w:r>
      <w:hyperlink r:id="rId52">
        <w:r>
          <w:rPr>
            <w:color w:val="176D83"/>
            <w:u w:val="single"/>
          </w:rPr>
          <w:t>R057</w:t>
        </w:r>
      </w:hyperlink>
      <w:r>
        <w:t xml:space="preserve"> · </w:t>
      </w:r>
      <w:hyperlink r:id="rId54">
        <w:r>
          <w:rPr>
            <w:color w:val="176D83"/>
            <w:u w:val="single"/>
          </w:rPr>
          <w:t>R063</w:t>
        </w:r>
      </w:hyperlink>
    </w:p>
    <w:p>
      <w:pPr>
        <w:pStyle w:val="Caption"/>
      </w:pPr>
      <w:r>
        <w:t xml:space="preserve">Библиографическая навигация: </w:t>
      </w:r>
      <w:hyperlink r:id="rId76">
        <w:r>
          <w:rPr>
            <w:color w:val="176D83"/>
            <w:u w:val="single"/>
          </w:rPr>
          <w:t>R067</w:t>
        </w:r>
      </w:hyperlink>
      <w:r>
        <w:t xml:space="preserve"> · </w:t>
      </w:r>
      <w:hyperlink r:id="rId77">
        <w:r>
          <w:rPr>
            <w:color w:val="176D83"/>
            <w:u w:val="single"/>
          </w:rPr>
          <w:t>R068</w:t>
        </w:r>
      </w:hyperlink>
    </w:p>
    <w:p>
      <w:pPr>
        <w:pStyle w:val="Caption"/>
      </w:pPr>
      <w:r>
        <w:t>Дата всех проверок: 2026-09-04. Покупки, регистрации, обращения к правообладателям и публикация материалов от имени пользователя не выполнялись.</w:t>
      </w:r>
    </w:p>
    <w:sectPr w:rsidR="00FC693F" w:rsidRPr="0006063C" w:rsidSect="00034616">
      <w:headerReference w:type="default" r:id="rId9"/>
      <w:footerReference w:type="default" r:id="rId10"/>
      <w:pgSz w:w="11906" w:h="16838"/>
      <w:pgMar w:top="964" w:right="1020"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Проверено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color w:val="53717B"/>
        <w:sz w:val="16"/>
      </w:rPr>
      <w:t>TREE OF SOPHIA  /  CORPUS &amp; RIGHTS                                      T2-34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173E5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DejaVu Sans" w:hAnsi="DejaVu Sans"/>
      <w:b/>
      <w:bCs/>
      <w:color w:val="173E5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DejaVu Sans" w:hAnsi="DejaVu Sans"/>
      <w:b/>
      <w:bCs/>
      <w:color w:val="17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DejaVu Sans" w:hAnsi="DejaVu Sans"/>
      <w:color w:val="173E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DejaVu Sans" w:hAnsi="DejaVu Sans"/>
      <w:i/>
      <w:iCs/>
      <w:color w:val="173E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DejaVu Sans" w:hAnsi="DejaVu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5866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etil.sub.uni-goettingen.de/gretil/corpustei/transformations/html/sa_gAGgeza-tattvacintAmaNizabdakhANDa.htm" TargetMode="External"/><Relationship Id="rId12" Type="http://schemas.openxmlformats.org/officeDocument/2006/relationships/hyperlink" Target="https://www.bloomsbury.com/us/jewel-of-reflection-on-the-truth-about-epistemology-9781350066533/" TargetMode="External"/><Relationship Id="rId13" Type="http://schemas.openxmlformats.org/officeDocument/2006/relationships/hyperlink" Target="https://babel.hathitrust.org/cgi/pt?id=hvd.32044025030503" TargetMode="External"/><Relationship Id="rId14" Type="http://schemas.openxmlformats.org/officeDocument/2006/relationships/hyperlink" Target="https://github.com/sarit/SARIT-corpus/blob/master/prasastapada-padarthadharmasangraha.xml" TargetMode="External"/><Relationship Id="rId15" Type="http://schemas.openxmlformats.org/officeDocument/2006/relationships/hyperlink" Target="https://e-book.fwf.ac.at/detail/o:1954" TargetMode="External"/><Relationship Id="rId16" Type="http://schemas.openxmlformats.org/officeDocument/2006/relationships/hyperlink" Target="https://ci.nii.ac.jp/ncid/BA38604887" TargetMode="External"/><Relationship Id="rId17" Type="http://schemas.openxmlformats.org/officeDocument/2006/relationships/hyperlink" Target="https://ci.nii.ac.jp/ncid/BA03940108?l=en" TargetMode="External"/><Relationship Id="rId18" Type="http://schemas.openxmlformats.org/officeDocument/2006/relationships/hyperlink" Target="https://catalog.hathitrust.org/Record/000612711" TargetMode="External"/><Relationship Id="rId19" Type="http://schemas.openxmlformats.org/officeDocument/2006/relationships/hyperlink" Target="https://catalog.hathitrust.org/Record/001380005" TargetMode="External"/><Relationship Id="rId20" Type="http://schemas.openxmlformats.org/officeDocument/2006/relationships/hyperlink" Target="https://link.springer.com/book/10.1007/978-94-010-3511-8" TargetMode="External"/><Relationship Id="rId21" Type="http://schemas.openxmlformats.org/officeDocument/2006/relationships/hyperlink" Target="https://catalog.hathitrust.org/Record/001380023" TargetMode="External"/><Relationship Id="rId22" Type="http://schemas.openxmlformats.org/officeDocument/2006/relationships/hyperlink" Target="https://www.asiainstitutetorino.it/indologica/volumes/vol41_42/IT_41_42_10_WADA.pdf" TargetMode="External"/><Relationship Id="rId23" Type="http://schemas.openxmlformats.org/officeDocument/2006/relationships/hyperlink" Target="https://www.mlbd.in/products/gangesas-theory-of-truth-jitendranath-mohanty-9788120806184-8120806182" TargetMode="External"/><Relationship Id="rId24" Type="http://schemas.openxmlformats.org/officeDocument/2006/relationships/hyperlink" Target="https://archive.org/details/dli.ernet.325584" TargetMode="External"/><Relationship Id="rId25" Type="http://schemas.openxmlformats.org/officeDocument/2006/relationships/hyperlink" Target="https://catalog.hathitrust.org/Record/000659116" TargetMode="External"/><Relationship Id="rId26" Type="http://schemas.openxmlformats.org/officeDocument/2006/relationships/hyperlink" Target="https://catalog.hathitrust.org/Record/002738740" TargetMode="External"/><Relationship Id="rId27" Type="http://schemas.openxmlformats.org/officeDocument/2006/relationships/hyperlink" Target="https://catalog.hathitrust.org/Record/001380004" TargetMode="External"/><Relationship Id="rId28" Type="http://schemas.openxmlformats.org/officeDocument/2006/relationships/hyperlink" Target="https://catalog.hathitrust.org/Record/002796235" TargetMode="External"/><Relationship Id="rId29" Type="http://schemas.openxmlformats.org/officeDocument/2006/relationships/hyperlink" Target="https://gretil.sub.uni-goettingen.de/gretil/corpustei/transformations/html/sa_udayana-nyAyakusumAJjali.htm" TargetMode="External"/><Relationship Id="rId30" Type="http://schemas.openxmlformats.org/officeDocument/2006/relationships/hyperlink" Target="https://gretil.sub.uni-goettingen.de/gretil/corpustei/transformations/html/sa_udayana-nyAyavArttikatAtparyaparizuddhi-1.htm" TargetMode="External"/><Relationship Id="rId31" Type="http://schemas.openxmlformats.org/officeDocument/2006/relationships/hyperlink" Target="https://catalog.hathitrust.org/Record/007673787" TargetMode="External"/><Relationship Id="rId32" Type="http://schemas.openxmlformats.org/officeDocument/2006/relationships/hyperlink" Target="https://catalog.hathitrust.org/Record/102684757" TargetMode="External"/><Relationship Id="rId33" Type="http://schemas.openxmlformats.org/officeDocument/2006/relationships/hyperlink" Target="https://catalog.hathitrust.org/Record/010046018" TargetMode="External"/><Relationship Id="rId34" Type="http://schemas.openxmlformats.org/officeDocument/2006/relationships/hyperlink" Target="https://gretil.sub.uni-goettingen.de/gretil/corpustei/transformations/html/sa_gautama-nyAyasUtra-comm.htm" TargetMode="External"/><Relationship Id="rId35" Type="http://schemas.openxmlformats.org/officeDocument/2006/relationships/hyperlink" Target="https://gretil.sub.uni-goettingen.de/gretil/corpustei/transformations/html/sa_gautama-nyAyasUtra-comm2.htm" TargetMode="External"/><Relationship Id="rId36" Type="http://schemas.openxmlformats.org/officeDocument/2006/relationships/hyperlink" Target="https://gretil.sub.uni-goettingen.de/gretil/corpustei/transformations/html/sa_kaNAda-vaizeSikasUtra.htm" TargetMode="External"/><Relationship Id="rId37" Type="http://schemas.openxmlformats.org/officeDocument/2006/relationships/hyperlink" Target="https://gretil.sub.uni-goettingen.de/gretil/corpustei/transformations/html/sa_prazastapAda-pAdArthadharmasaMgraha.htm" TargetMode="External"/><Relationship Id="rId38" Type="http://schemas.openxmlformats.org/officeDocument/2006/relationships/hyperlink" Target="https://www.exoticindiaart.com/book/details/nyayasiddhantadipah-of-sasadhara-containing-text-english-translation-and-critical-study-of-first-five-vadas-nap475/" TargetMode="External"/><Relationship Id="rId39" Type="http://schemas.openxmlformats.org/officeDocument/2006/relationships/hyperlink" Target="https://catalog.hathitrust.org/Record/002932621" TargetMode="External"/><Relationship Id="rId40" Type="http://schemas.openxmlformats.org/officeDocument/2006/relationships/hyperlink" Target="https://catalog.hathitrust.org/Record/009021716" TargetMode="External"/><Relationship Id="rId41" Type="http://schemas.openxmlformats.org/officeDocument/2006/relationships/hyperlink" Target="https://catalog.hathitrust.org/Record/100621930" TargetMode="External"/><Relationship Id="rId42" Type="http://schemas.openxmlformats.org/officeDocument/2006/relationships/hyperlink" Target="https://catalog.hathitrust.org/Record/100621931" TargetMode="External"/><Relationship Id="rId43" Type="http://schemas.openxmlformats.org/officeDocument/2006/relationships/hyperlink" Target="https://catalog.hathitrust.org/Record/102670193" TargetMode="External"/><Relationship Id="rId44" Type="http://schemas.openxmlformats.org/officeDocument/2006/relationships/hyperlink" Target="https://catalog.hathitrust.org/Record/002934860" TargetMode="External"/><Relationship Id="rId45" Type="http://schemas.openxmlformats.org/officeDocument/2006/relationships/hyperlink" Target="https://catalog.hathitrust.org/Record/010327315" TargetMode="External"/><Relationship Id="rId46" Type="http://schemas.openxmlformats.org/officeDocument/2006/relationships/hyperlink" Target="https://catalog.hathitrust.org/Record/001380026" TargetMode="External"/><Relationship Id="rId47" Type="http://schemas.openxmlformats.org/officeDocument/2006/relationships/hyperlink" Target="https://catalog.hathitrust.org/Record/001380027" TargetMode="External"/><Relationship Id="rId48" Type="http://schemas.openxmlformats.org/officeDocument/2006/relationships/hyperlink" Target="https://catalog.hathitrust.org/Record/001094099" TargetMode="External"/><Relationship Id="rId49" Type="http://schemas.openxmlformats.org/officeDocument/2006/relationships/hyperlink" Target="https://gretil.sub.uni-goettingen.de/gretil/corpustei/transformations/html/sa_annaMbhatta-tarkasaMgraha.htm" TargetMode="External"/><Relationship Id="rId50" Type="http://schemas.openxmlformats.org/officeDocument/2006/relationships/hyperlink" Target="https://gretil.sub.uni-goettingen.de/gretil/corpustei/transformations/html/sa_annaMbhaTTa-tarkasaMgraha-comm.htm" TargetMode="External"/><Relationship Id="rId51" Type="http://schemas.openxmlformats.org/officeDocument/2006/relationships/hyperlink" Target="https://www.orientalstudies.ru/rus/index.php?Itemid=75&amp;option=com_publications&amp;pub=278" TargetMode="External"/><Relationship Id="rId52" Type="http://schemas.openxmlformats.org/officeDocument/2006/relationships/hyperlink" Target="https://shop.advaitaashrama.org/products/bhasha-pariccheda-of-vishwanath-nyayapanchanan/1237499000010258645" TargetMode="External"/><Relationship Id="rId53" Type="http://schemas.openxmlformats.org/officeDocument/2006/relationships/hyperlink" Target="https://shop.advaitaashrama.org/products/tarka-sangraha-with-the-dipika-of-annambhatta-and-notes/1237499000010771035" TargetMode="External"/><Relationship Id="rId54" Type="http://schemas.openxmlformats.org/officeDocument/2006/relationships/hyperlink" Target="https://books.google.com/books/about/Tarka_Sangraha.html?id=L18tAAAAYAAJ" TargetMode="External"/><Relationship Id="rId55" Type="http://schemas.openxmlformats.org/officeDocument/2006/relationships/hyperlink" Target="https://gretil.sub.uni-goettingen.de/gretil/corpustei/transformations/html/sa_vyAsatIrtha-tarkatANDava-comm.htm" TargetMode="External"/><Relationship Id="rId56" Type="http://schemas.openxmlformats.org/officeDocument/2006/relationships/hyperlink" Target="https://babel.hathitrust.org/cgi/pt?id=hvd.32044025030487" TargetMode="External"/><Relationship Id="rId57" Type="http://schemas.openxmlformats.org/officeDocument/2006/relationships/hyperlink" Target="https://babel.hathitrust.org/cgi/pt?id=hvd.32044025030495" TargetMode="External"/><Relationship Id="rId58" Type="http://schemas.openxmlformats.org/officeDocument/2006/relationships/hyperlink" Target="https://babel.hathitrust.org/cgi/pt?id=hvd.32044025030461" TargetMode="External"/><Relationship Id="rId59" Type="http://schemas.openxmlformats.org/officeDocument/2006/relationships/hyperlink" Target="https://babel.hathitrust.org/cgi/pt?id=hvd.32044025030453" TargetMode="External"/><Relationship Id="rId60" Type="http://schemas.openxmlformats.org/officeDocument/2006/relationships/hyperlink" Target="https://catalog.hathitrust.org/Record/102681273" TargetMode="External"/><Relationship Id="rId61" Type="http://schemas.openxmlformats.org/officeDocument/2006/relationships/hyperlink" Target="https://catalog.hathitrust.org/Record/102683550" TargetMode="External"/><Relationship Id="rId62" Type="http://schemas.openxmlformats.org/officeDocument/2006/relationships/hyperlink" Target="https://archive.org/details/tattvachipt201ganguoft" TargetMode="External"/><Relationship Id="rId63" Type="http://schemas.openxmlformats.org/officeDocument/2006/relationships/hyperlink" Target="https://archive.org/details/tattvachipt403ganguoft" TargetMode="External"/><Relationship Id="rId64" Type="http://schemas.openxmlformats.org/officeDocument/2006/relationships/hyperlink" Target="https://archive.org/details/in.ernet.dli.2015.369567" TargetMode="External"/><Relationship Id="rId65" Type="http://schemas.openxmlformats.org/officeDocument/2006/relationships/hyperlink" Target="https://sa.wikisource.org/wiki/&#2340;&#2340;&#2381;&#2340;&#2381;&#2357;&#2330;&#2367;&#2344;&#2381;&#2340;&#2366;&#2350;&#2339;&#2367;&#2307;" TargetMode="External"/><Relationship Id="rId66" Type="http://schemas.openxmlformats.org/officeDocument/2006/relationships/hyperlink" Target="https://catalog.hathitrust.org/Record/004937363" TargetMode="External"/><Relationship Id="rId67" Type="http://schemas.openxmlformats.org/officeDocument/2006/relationships/hyperlink" Target="https://catalog.hathitrust.org/Record/002985361" TargetMode="External"/><Relationship Id="rId68" Type="http://schemas.openxmlformats.org/officeDocument/2006/relationships/hyperlink" Target="https://catalog.hathitrust.org/Record/002488753" TargetMode="External"/><Relationship Id="rId69" Type="http://schemas.openxmlformats.org/officeDocument/2006/relationships/hyperlink" Target="https://catalog.hathitrust.org/Record/003591221" TargetMode="External"/><Relationship Id="rId70" Type="http://schemas.openxmlformats.org/officeDocument/2006/relationships/hyperlink" Target="https://catalog.hathitrust.org/Record/003779906" TargetMode="External"/><Relationship Id="rId71" Type="http://schemas.openxmlformats.org/officeDocument/2006/relationships/hyperlink" Target="https://searcharchives.bl.uk/catalog/032-003720071" TargetMode="External"/><Relationship Id="rId72" Type="http://schemas.openxmlformats.org/officeDocument/2006/relationships/hyperlink" Target="https://archive.org/details/gadadharassaktiv0001gada" TargetMode="External"/><Relationship Id="rId73" Type="http://schemas.openxmlformats.org/officeDocument/2006/relationships/hyperlink" Target="https://gretil.sub.uni-goettingen.de/gretil.html" TargetMode="External"/><Relationship Id="rId74" Type="http://schemas.openxmlformats.org/officeDocument/2006/relationships/hyperlink" Target="https://github.com/sarit/SARIT-corpus" TargetMode="External"/><Relationship Id="rId75" Type="http://schemas.openxmlformats.org/officeDocument/2006/relationships/hyperlink" Target="https://colenda.library.upenn.edu/catalog/81431-p3zc5c" TargetMode="External"/><Relationship Id="rId76" Type="http://schemas.openxmlformats.org/officeDocument/2006/relationships/hyperlink" Target="https://plato.stanford.edu/entries/gangesa/" TargetMode="External"/><Relationship Id="rId77" Type="http://schemas.openxmlformats.org/officeDocument/2006/relationships/hyperlink" Target="https://plato.stanford.edu/entries/early-moder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T2-34</dc:title>
  <dc:subject>Навья-ньяя и индийский аналитический поворот: корпус и законные пути доступа</dc:subject>
  <dc:creator>Tree of Sophia</dc:creator>
  <cp:keywords>T2-34, Navya-Nyāya, Tattvacintāmaṇi, access, rights</cp:keywords>
  <dc:description>generated by python-docx</dc:description>
  <cp:lastModifiedBy/>
  <cp:revision>1</cp:revision>
  <dcterms:created xsi:type="dcterms:W3CDTF">2013-12-23T23:15:00Z</dcterms:created>
  <dcterms:modified xsi:type="dcterms:W3CDTF">2013-12-23T23:15:00Z</dcterms:modified>
  <cp:category/>
</cp:coreProperties>
</file>