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center"/>
      </w:pPr>
      <w:r>
        <w:rPr>
          <w:rFonts w:ascii="Noto Sans" w:hAnsi="Noto Sans" w:eastAsia="Noto Sans" w:cs="Noto Sans"/>
          <w:b/>
          <w:color w:val="D89528"/>
          <w:sz w:val="21"/>
        </w:rPr>
        <w:t>ДРЕВО СОФИИ · ToS</w:t>
      </w:r>
    </w:p>
    <w:p>
      <w:pPr>
        <w:pStyle w:val="Title"/>
        <w:spacing w:before="560"/>
        <w:jc w:val="center"/>
      </w:pPr>
      <w:r>
        <w:rPr>
          <w:rFonts w:ascii="Noto Serif" w:hAnsi="Noto Serif" w:eastAsia="Noto Serif" w:cs="Noto Serif"/>
          <w:b/>
          <w:color w:val="083842"/>
          <w:sz w:val="54"/>
        </w:rPr>
        <w:t>ToS Corpus &amp; Rights Registry</w:t>
      </w:r>
    </w:p>
    <w:p>
      <w:pPr>
        <w:pStyle w:val="Subtitle"/>
        <w:jc w:val="center"/>
      </w:pPr>
      <w:r>
        <w:rPr>
          <w:rFonts w:ascii="Noto Sans" w:hAnsi="Noto Sans" w:eastAsia="Noto Sans" w:cs="Noto Sans"/>
          <w:b w:val="0"/>
          <w:color w:val="5B6573"/>
          <w:sz w:val="30"/>
        </w:rPr>
        <w:t>A47 — America — Epi-Olmec / Cascajal frontier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6912"/>
            <w:shd w:fill="0B4F5C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5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83842"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ID строки</w:t>
            </w:r>
          </w:p>
        </w:tc>
        <w:tc>
          <w:tcPr>
            <w:tcW w:type="dxa" w:w="25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83842"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Исходный статус</w:t>
            </w:r>
          </w:p>
        </w:tc>
        <w:tc>
          <w:tcPr>
            <w:tcW w:type="dxa" w:w="25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83842"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Исходная уверенность</w:t>
            </w:r>
          </w:p>
        </w:tc>
      </w:tr>
      <w:tr>
        <w:tc>
          <w:tcPr>
            <w:tcW w:type="dxa" w:w="25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DDEFF2"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083842"/>
                <w:sz w:val="32"/>
              </w:rPr>
              <w:t>A47</w:t>
            </w:r>
          </w:p>
        </w:tc>
        <w:tc>
          <w:tcPr>
            <w:tcW w:type="dxa" w:w="25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4DD"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083842"/>
                <w:sz w:val="32"/>
              </w:rPr>
              <w:t>C</w:t>
            </w:r>
          </w:p>
        </w:tc>
        <w:tc>
          <w:tcPr>
            <w:tcW w:type="dxa" w:w="259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DDEFF2"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083842"/>
                <w:sz w:val="32"/>
              </w:rPr>
              <w:t>2 / 5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DEFF2"/>
            <w:tcBorders>
              <w:top w:sz="8" w:val="single" w:color="0B4F5C"/>
              <w:left w:sz="18" w:val="single" w:color="0B4F5C"/>
              <w:bottom w:sz="8" w:val="single" w:color="0B4F5C"/>
              <w:right w:sz="8" w:val="single" w:color="0B4F5C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" w:hAnsi="Noto Sans" w:eastAsia="Noto Sans" w:cs="Noto Sans"/>
                <w:b/>
                <w:color w:val="083842"/>
                <w:sz w:val="21"/>
              </w:rPr>
              <w:t>Главный вывод</w:t>
            </w:r>
          </w:p>
          <w:p>
            <w:pPr>
              <w:spacing w:after="0" w:line="269" w:lineRule="auto"/>
            </w:pPr>
            <w:r>
              <w:rPr>
                <w:rFonts w:ascii="Noto Sans" w:hAnsi="Noto Sans" w:eastAsia="Noto Sans" w:cs="Noto Sans"/>
                <w:b w:val="0"/>
                <w:color w:val="1F2937"/>
                <w:sz w:val="19"/>
              </w:rPr>
              <w:t>Корпус A47 хорошо доступен как археолого-эпиграфический frontier, но не как читаемый философский корпус. Лучший свободный слой дают несколько открыто лицензированных фотографий и старые публичнодоменные публикации; основной научный и музейный слой остаётся link-only, платным либо свободно читаемым без доказанного права зеркалирования.</w:t>
            </w:r>
          </w:p>
        </w:tc>
      </w:tr>
    </w:tbl>
    <w:p>
      <w:pPr>
        <w:spacing w:after="0"/>
      </w:pPr>
    </w:p>
    <w:p>
      <w:pPr>
        <w:spacing w:before="200"/>
        <w:jc w:val="center"/>
      </w:pPr>
      <w:r>
        <w:rPr>
          <w:rFonts w:ascii="Noto Sans" w:hAnsi="Noto Sans" w:eastAsia="Noto Sans" w:cs="Noto Sans"/>
          <w:b/>
          <w:color w:val="083842"/>
          <w:sz w:val="20"/>
        </w:rPr>
        <w:t>Проверено: 4 сентября 2026 года</w:t>
      </w:r>
    </w:p>
    <w:p>
      <w:pPr>
        <w:jc w:val="center"/>
      </w:pPr>
      <w:r>
        <w:rPr>
          <w:rFonts w:ascii="Noto Sans" w:hAnsi="Noto Sans" w:eastAsia="Noto Sans" w:cs="Noto Sans"/>
          <w:color w:val="5B6573"/>
          <w:sz w:val="19"/>
        </w:rPr>
        <w:t>Сопутствующий реестр: ToS_Corpus_Rights_A47_registry.xlsx</w:t>
      </w:r>
    </w:p>
    <w:p>
      <w:pPr>
        <w:jc w:val="center"/>
      </w:pPr>
      <w:r>
        <w:rPr>
          <w:rFonts w:ascii="Noto Sans" w:hAnsi="Noto Sans" w:eastAsia="Noto Sans" w:cs="Noto Sans"/>
          <w:i/>
          <w:color w:val="5B6573"/>
          <w:sz w:val="17"/>
        </w:rPr>
        <w:t>Исследовательский реестр, не юридическое заключение</w:t>
      </w:r>
    </w:p>
    <w:p>
      <w:pPr>
        <w:spacing w:after="160"/>
      </w:pPr>
    </w:p>
    <w:p>
      <w:pPr>
        <w:jc w:val="left"/>
      </w:pPr>
      <w:r>
        <w:rPr>
          <w:rFonts w:ascii="Noto Serif" w:hAnsi="Noto Serif" w:eastAsia="Noto Serif" w:cs="Noto Serif"/>
          <w:b/>
          <w:color w:val="083842"/>
          <w:sz w:val="24"/>
        </w:rPr>
        <w:t>Структура отчёта</w:t>
      </w:r>
    </w:p>
    <w:p>
      <w:pPr>
        <w:spacing w:after="20"/>
        <w:ind w:left="283"/>
      </w:pPr>
      <w:r>
        <w:rPr>
          <w:rFonts w:ascii="Noto Sans" w:hAnsi="Noto Sans" w:eastAsia="Noto Sans" w:cs="Noto Sans"/>
          <w:color w:val="1F2937"/>
          <w:sz w:val="19"/>
        </w:rPr>
        <w:t>1. Паспорт</w:t>
      </w:r>
    </w:p>
    <w:p>
      <w:pPr>
        <w:spacing w:after="20"/>
        <w:ind w:left="283"/>
      </w:pPr>
      <w:r>
        <w:rPr>
          <w:rFonts w:ascii="Noto Sans" w:hAnsi="Noto Sans" w:eastAsia="Noto Sans" w:cs="Noto Sans"/>
          <w:color w:val="1F2937"/>
          <w:sz w:val="19"/>
        </w:rPr>
        <w:t>2. Охват корпуса</w:t>
      </w:r>
    </w:p>
    <w:p>
      <w:pPr>
        <w:spacing w:after="20"/>
        <w:ind w:left="283"/>
      </w:pPr>
      <w:r>
        <w:rPr>
          <w:rFonts w:ascii="Noto Sans" w:hAnsi="Noto Sans" w:eastAsia="Noto Sans" w:cs="Noto Sans"/>
          <w:color w:val="1F2937"/>
          <w:sz w:val="19"/>
        </w:rPr>
        <w:t>3. Лучшие пути доступа</w:t>
      </w:r>
    </w:p>
    <w:p>
      <w:pPr>
        <w:spacing w:after="20"/>
        <w:ind w:left="283"/>
      </w:pPr>
      <w:r>
        <w:rPr>
          <w:rFonts w:ascii="Noto Sans" w:hAnsi="Noto Sans" w:eastAsia="Noto Sans" w:cs="Noto Sans"/>
          <w:color w:val="1F2937"/>
          <w:sz w:val="19"/>
        </w:rPr>
        <w:t>4. Карта прав и практического использования</w:t>
      </w:r>
    </w:p>
    <w:p>
      <w:pPr>
        <w:spacing w:after="20"/>
        <w:ind w:left="283"/>
      </w:pPr>
      <w:r>
        <w:rPr>
          <w:rFonts w:ascii="Noto Sans" w:hAnsi="Noto Sans" w:eastAsia="Noto Sans" w:cs="Noto Sans"/>
          <w:color w:val="1F2937"/>
          <w:sz w:val="19"/>
        </w:rPr>
        <w:t>5. Характерные правовые тонкости</w:t>
      </w:r>
    </w:p>
    <w:p>
      <w:pPr>
        <w:spacing w:after="20"/>
        <w:ind w:left="283"/>
      </w:pPr>
      <w:r>
        <w:rPr>
          <w:rFonts w:ascii="Noto Sans" w:hAnsi="Noto Sans" w:eastAsia="Noto Sans" w:cs="Noto Sans"/>
          <w:color w:val="1F2937"/>
          <w:sz w:val="19"/>
        </w:rPr>
        <w:t>6. Пробелы и дальнейший поиск</w:t>
      </w:r>
    </w:p>
    <w:p>
      <w:pPr>
        <w:spacing w:after="20"/>
        <w:ind w:left="283"/>
      </w:pPr>
      <w:r>
        <w:rPr>
          <w:rFonts w:ascii="Noto Sans" w:hAnsi="Noto Sans" w:eastAsia="Noto Sans" w:cs="Noto Sans"/>
          <w:color w:val="1F2937"/>
          <w:sz w:val="19"/>
        </w:rPr>
        <w:t>7. Итоговая оценка</w:t>
      </w:r>
    </w:p>
    <w:p>
      <w:r>
        <w:br w:type="page"/>
      </w:r>
    </w:p>
    <w:p>
      <w:pPr>
        <w:pStyle w:val="Heading1"/>
        <w:pageBreakBefore w:val="0"/>
      </w:pPr>
      <w:r>
        <w:rPr>
          <w:rFonts w:ascii="Noto Serif" w:hAnsi="Noto Serif" w:eastAsia="Noto Serif" w:cs="Noto Serif"/>
          <w:b/>
          <w:color w:val="083842"/>
          <w:sz w:val="36"/>
        </w:rPr>
        <w:t>1. Паспорт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376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ID и название</w:t>
            </w:r>
          </w:p>
        </w:tc>
        <w:tc>
          <w:tcPr>
            <w:tcW w:type="dxa" w:w="71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A47 — America — Epi-Olmec / Cascajal frontier</w:t>
            </w:r>
          </w:p>
        </w:tc>
      </w:tr>
      <w:tr>
        <w:trPr>
          <w:cantSplit/>
        </w:trPr>
        <w:tc>
          <w:tcPr>
            <w:tcW w:type="dxa" w:w="2376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Исходный статус</w:t>
            </w:r>
          </w:p>
        </w:tc>
        <w:tc>
          <w:tcPr>
            <w:tcW w:type="dxa" w:w="7128"/>
            <w:shd w:fill="F4F7F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C — письменные/знаковые и архивные объекты есть, но собственно философский корпус не реконструируется</w:t>
            </w:r>
          </w:p>
        </w:tc>
      </w:tr>
      <w:tr>
        <w:trPr>
          <w:cantSplit/>
        </w:trPr>
        <w:tc>
          <w:tcPr>
            <w:tcW w:type="dxa" w:w="2376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Исходная уверенность</w:t>
            </w:r>
          </w:p>
        </w:tc>
        <w:tc>
          <w:tcPr>
            <w:tcW w:type="dxa" w:w="71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2 / 5</w:t>
            </w:r>
          </w:p>
        </w:tc>
      </w:tr>
      <w:tr>
        <w:trPr>
          <w:cantSplit/>
        </w:trPr>
        <w:tc>
          <w:tcPr>
            <w:tcW w:type="dxa" w:w="2376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Исходный DR</w:t>
            </w:r>
          </w:p>
        </w:tc>
        <w:tc>
          <w:tcPr>
            <w:tcW w:type="dxa" w:w="7128"/>
            <w:shd w:fill="F4F7F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ToS Deep Research_ A47 — America — Epi-Olmec _ Cascajal frontier(1).docx</w:t>
            </w:r>
          </w:p>
        </w:tc>
      </w:tr>
      <w:tr>
        <w:trPr>
          <w:cantSplit/>
        </w:trPr>
        <w:tc>
          <w:tcPr>
            <w:tcW w:type="dxa" w:w="2376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Дата проверки</w:t>
            </w:r>
          </w:p>
        </w:tc>
        <w:tc>
          <w:tcPr>
            <w:tcW w:type="dxa" w:w="71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2026-09-04</w:t>
            </w:r>
          </w:p>
        </w:tc>
      </w:tr>
      <w:tr>
        <w:trPr>
          <w:cantSplit/>
        </w:trPr>
        <w:tc>
          <w:tcPr>
            <w:tcW w:type="dxa" w:w="2376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Языки поиска</w:t>
            </w:r>
          </w:p>
        </w:tc>
        <w:tc>
          <w:tcPr>
            <w:tcW w:type="dxa" w:w="7128"/>
            <w:shd w:fill="F4F7F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английский, испанский; русская терминология отчёта; варианты Epi-Olmec, epi-Olmec, Isthmian, Tuxtla script, escritura ístmica, escritura epi-olmeca</w:t>
            </w:r>
          </w:p>
        </w:tc>
      </w:tr>
      <w:tr>
        <w:trPr>
          <w:cantSplit/>
        </w:trPr>
        <w:tc>
          <w:tcPr>
            <w:tcW w:type="dxa" w:w="2376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Ядро корпуса</w:t>
            </w:r>
          </w:p>
        </w:tc>
        <w:tc>
          <w:tcPr>
            <w:tcW w:type="dxa" w:w="71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Cascajal Block; La Mojarra Stela 1; Tuxtla Statuette; Isthmian/Epi-Olmec inscriptional corpus; керамические фрагменты и переносные маски</w:t>
            </w:r>
          </w:p>
        </w:tc>
      </w:tr>
      <w:tr>
        <w:trPr>
          <w:cantSplit/>
        </w:trPr>
        <w:tc>
          <w:tcPr>
            <w:tcW w:type="dxa" w:w="2376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Искались</w:t>
            </w:r>
          </w:p>
        </w:tc>
        <w:tc>
          <w:tcPr>
            <w:tcW w:type="dxa" w:w="7128"/>
            <w:shd w:fill="F4F7F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произведения/корпусы, конкретные физические свидетели, факсимиле и фото, научные издания, спорные чтения, старые публикации, музейные карточки, библиографические входы, datasets/API/IIIF</w:t>
            </w:r>
          </w:p>
        </w:tc>
      </w:tr>
      <w:tr>
        <w:trPr>
          <w:cantSplit/>
        </w:trPr>
        <w:tc>
          <w:tcPr>
            <w:tcW w:type="dxa" w:w="2376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Источники доступа</w:t>
            </w:r>
          </w:p>
        </w:tc>
        <w:tc>
          <w:tcPr>
            <w:tcW w:type="dxa" w:w="71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официальные журналы и издательства; INAH/MNA; Smithsonian; BYU/NWAF; FAMSI; Cambridge/Oxford/Science; Wikimedia Commons; Internet Archive/Open Library; авторские академические сайты</w:t>
            </w:r>
          </w:p>
        </w:tc>
      </w:tr>
      <w:tr>
        <w:trPr>
          <w:cantSplit/>
        </w:trPr>
        <w:tc>
          <w:tcPr>
            <w:tcW w:type="dxa" w:w="2376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Источники доказательства прав</w:t>
            </w:r>
          </w:p>
        </w:tc>
        <w:tc>
          <w:tcPr>
            <w:tcW w:type="dxa" w:w="7128"/>
            <w:shd w:fill="F4F7F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item-level лицензии Commons и Smithsonian; официальные Terms/rights pages MNA, Cambridge, OUP и репозиториев; явные copyright notices; осторожный вывод по дате публикации для public-domain слоёв</w:t>
            </w:r>
          </w:p>
        </w:tc>
      </w:tr>
    </w:tbl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Исходный DR задаёт правильную методологическую рамку: A47 — не доказанная философская школа, а защитный frontier-узел между знаком, возможным письмом, календарной фиксацией и недоступным для чтения содержанием. Реестр сохраняет этот статус и не превращает эпиграфические объекты в вымышленные трактаты, доктрины или авторские произведения.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Для каждой записи разделены четыре правовых слоя: древнее произведение или знак; современная редакция/реконструкция/перевод; конкретный цифровой объект; условия платформы. Поэтому древность надписи нигде автоматически не переносится на современную фотографию, эпиграфическую прорисовку, PDF, OCR или dataset.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Wikipedia использовалась только как возможный внутренний указатель и не вошла ни в registry, ни в gaps как источник доступа, метаданных или прав. Wikimedia Commons, напротив, включалась только по item-level страницам с проверяемой лицензией конкретного файла. Слабый кандидат о «четырёх новых примерах 2025 года» вынесен в gaps, поскольку исходная ссылка не подтверждала заявленную публикацию.</w:t>
      </w:r>
    </w:p>
    <w:p>
      <w:pPr>
        <w:pStyle w:val="Heading1"/>
      </w:pPr>
      <w:r>
        <w:rPr>
          <w:rFonts w:ascii="Noto Serif" w:hAnsi="Noto Serif" w:eastAsia="Noto Serif" w:cs="Noto Serif"/>
          <w:b/>
          <w:color w:val="083842"/>
          <w:sz w:val="36"/>
        </w:rPr>
        <w:t>2. Охват корпуса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2.1. Ядро, извлечённое из исходного DR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В исходном DR были выделены два сопряжённых, но не тождественных слоя. Первый — Cascajal Block как единичный ранний каменный объект с возможной не-календарной знаковой последовательностью. Второй — позднеформативный и раннеобщевековой Isthmian/Epi-Olmec комплекс с более длинными надписями, календарными элементами и несколькими носителями: стелой, статуэткой, керамикой и масками.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Центральные якоря — Cascajal Block, La Mojarra Stela 1 и Tuxtla Statuette. К ним исходный DR добавлял ceramic sherd evidence и заявленные «four new Isthmian examples». Первые четыре направления получили конкретные законные входы. Последнее было вынесено в gaps как unverified_candidate: найти подтверждённую публикацию 2025 года не удалось.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Содержательно реестр сохраняет negative capability исходного исследования: календарные даты и повторяемость знаков допускают структурный анализ, но не дают согласованного перевода; анонимные резчики и заказчики не превращаются в именованных авторов; монументальность не доказывает ни жанр трактата, ни доктрину.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2.2. Объекты, добавленные веб-исследованием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Веб-поиск расширил ядро прежде всего не тематическими аналогиями, а конкретными свидетельствами той же эпиграфической семьи. В реестр добавлены отдельные FAMSI-фотоальбомы La Mojarra, Tres Zapotes Stela C, Cerro de las Mesas Stelae 3–8 и Monument 4, Alvarado, Papaloapan, El Mesón, Tepetlaxco и Chapultepec; при этом Chapultepec сохранён как boundary, потому что сам корпусный отчёт не принимает его текст за Epi-Olmec.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В переносной слой добавлены Feldspar mask и O’Boyle ceramic mask. Feldspar mask имеет бесплатный Mesoweb-вход и отдельную эпиграфическую прорисовку Glyph Dwellers; O’Boyle mask доступна через монографию NWAF, но её нынешнее хранение и provenance остаются неясными.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Отдельно введены два инфраструктурных уровня. FAMSI служит лучшим открытым шлюзом к большому проценту известного монументального корпуса, а Glyph Dwellers предоставляет знак-каталог и серию небольших аналитических отчётов. University of Cologne представляет актуальную исследовательскую инфраструктуру, но пока не даёт открытого corpus release. Найденный GitHub-набор оставлен как exploratory dataset с явным предупреждением о неполноте и противоречивых лицензирующих формулировках.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2.3. Поиск назад во времени: antecedent-слой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Назад по времени включены знаковые объекты San Andrés и ранние Chiapa de Corzo inscriptions. San Andrés важен как более ранний Olmec sign-use horizon; он подтверждает, что Cascajal не обязан быть изолирован от всякой предшествующей знаковой практики. Но реестр не утверждает прямой алфавитный, языковой или институциональный переход от San Andrés к Cascajal.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Chiapa de Corzo ceramic sherd и wall panel/Stela 2 расположены уже внутри траектории, ведущей к позднему Isthmian корпусу. Они включены как antecedent к La Mojarra/Tuxtla, а не как доказательство того, что Cascajal и Isthmian — одна непрерывно читаемая система. Именно конкретная корпусная связь, а не просто мезоамериканская география, оправдывает их присутствие.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2.4. Поиск вперёд: сохранение, чтения и современная рецепция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Древней комментарийной или рукописной цепи здесь нет. «Поиск вперёд» поэтому идёт через современную историю публикации и сохранения: Holmes 1907 для Tuxtla, Stirling 1944 для южномексиканских монументов, Winfield 1988/ок. 1991 для La Mojarra, Méluzin 1992/1995, Justeson–Kaufman 1993/1997/2001, поздние структурные исследования, handbook-синтез 2025 года и монографию Macri 2026 года.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Эти тексты помечены как transmission_or_preservation либо commentary_or_reception. Они сохраняют изображения, вводят объекты в научный оборот, предлагают конкурирующие инвентари знаков и чтения. Но ни одна современная интерпретация не превращена в «перевод оригинала» без оговорки: pro-decipherment линия включена как важная часть истории исследований, а не как установленный смысл надписей.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В registry нет записей с relevance=continuation. Это осознанный результат: конкретная древняя текстовая преемственность к Classic Veracruz или иной поздней системе в ходе этого прохода не была доказана. Такое направление оставлено в gaps, а не заполнено региональной догадкой.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2.5. Распределение записей по роли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Access-records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Функция в A47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core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28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центральные объекты и прямые access routes к Cascajal, La Mojarra, Tuxtla, Tres Zapotes, ключевым маскам и Stela 6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same_corpus_or_tradition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другие прямые члены и свидетели Isthmian/Epi-Olmec монументального поля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antecedent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San Andrés и Chiapa de Corzo как конкретные входящие знаковые/эпиграфические слои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continuation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не подтверждено; древняя линия продолжения оставлена как исследовательский пробел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commentary_or_reception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современные чтения, критика, монографии и научная рецепция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transmission_or_preservation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старые публикации и фотографии, через которые объекты сохранились и идентифицируются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supporting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дополнительные данные, сравнительные памятники и аналитические заметки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boundary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объекты, специально удерживающие границы корпуса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infrastructure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порталы, знак-каталог, исследовательский проект и dataset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secondary_navigation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стабильный библиографический вход, не заменяющий первичный источник</w:t>
            </w:r>
          </w:p>
        </w:tc>
      </w:tr>
    </w:tbl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2.6. Количественный охват без подмены объектов ссылками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Основной лист содержит 67 практически различимых способов доступа. После сведения дублей по физическому объекту и corpus-level сущности они относятся примерно к 23 древним свидетелям или корпусным кластерам, а также к современным изданиям, исследовательским проектам и сервисам доступа. Поэтому число 67 нельзя читать как число «произведений».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Режим доступа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Число строк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Как читать число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free_download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44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PDF/JPEG/SVG/данные; часто без права повторного размещения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free_full_read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полное чтение HTML/viewer или доступный объект; может пересекаться со скачиванием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preview_or_snippet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abstract/preview; не полный текст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institutional_access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подписка учреждения или библиотечный доступ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purchase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официальная покупка статьи/книги/печатного издания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library_borrow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явно зафиксированный borrow/CDL маршрут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metadata_only / temporarily_unavailable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каталог/официальный lead без надёжного полного объекта</w:t>
            </w:r>
          </w:p>
        </w:tc>
      </w:tr>
    </w:tbl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Числа режимов пересекаются: одна строка может одновременно быть free_full_read и free_download. Лист gaps содержит 16 отдельных пробелов, включая непроверенный кандидат, недоступные item-level страницы, неустановленные права и направления исторической проверки.</w:t>
      </w:r>
    </w:p>
    <w:p>
      <w:pPr>
        <w:pStyle w:val="Heading1"/>
      </w:pPr>
      <w:r>
        <w:rPr>
          <w:rFonts w:ascii="Noto Serif" w:hAnsi="Noto Serif" w:eastAsia="Noto Serif" w:cs="Noto Serif"/>
          <w:b/>
          <w:color w:val="083842"/>
          <w:sz w:val="36"/>
        </w:rPr>
        <w:t>3. Лучшие пути доступа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Ниже «лучший» означает не одну абсолютную ссылку, а лучший вариант для конкретной задачи: быстро прочитать, скачать, увидеть исходный носитель, получить современную научную оценку, найти старый публичнодоменный слой или использовать материал машиночитаемо. Там, где свободный и научно сильный варианты не совпадают, сохранены оба.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>Лучший бесплатный вход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>Лучший современный научный вход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>Наиболее свободный reuse-слой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Cascajal Block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INAH 2007 PDF + Cambridge 2019/2020 full HTML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Science 2006; OUP 2025; Cambridge Mora-Marín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открытого музейного facsimile не найдено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La Mojarra Stela 1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FAMSI main/side albums; Winfield report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Science 1993/1997 как спорные чтения; Macri 2026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Commons CC BY-SA фотографии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Tuxtla Statuette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Commons photo; BYU/NWAF monograph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Méluzin 1992/1995; Macri 2026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CC BY-SA фото, CC BY/GFDL vector, PD 1907 photo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Tres Zapotes / Cerro de las Mesas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FAMSI witness albums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FAMSI corpus report + current handbook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Smithsonian PD bulletin для исторических plates/text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Chiapa / San Andrés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BYU viewer; MNA context; PubMed metadata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Science 2002; Glyph Dwellers R56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пока в основном link/research-copy, не mirror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Machine-readable corpus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exploratory GitHub download</w:t>
            </w:r>
          </w:p>
        </w:tc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Cologne project + Macri structural work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авторитетного открыто лицензированного corpus release нет</w:t>
            </w:r>
          </w:p>
        </w:tc>
      </w:tr>
    </w:tbl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3.1. Cascajal Block</w:t>
      </w:r>
    </w:p>
    <w:p>
      <w:pPr>
        <w:pStyle w:val="ListBullet"/>
        <w:spacing w:after="40"/>
        <w:ind w:left="283" w:hanging="170"/>
      </w:pPr>
      <w:hyperlink r:id="rId10">
        <w:r>
          <w:rPr>
            <w:rFonts w:ascii="Noto Sans" w:hAnsi="Noto Sans" w:eastAsia="Noto Sans" w:cs="Noto Sans"/>
            <w:color w:val="185FA5"/>
            <w:u w:val="single"/>
          </w:rPr>
          <w:t>A47-R005 — Cambridge: полный HTML цифрово-археометрического исследования</w:t>
        </w:r>
      </w:hyperlink>
      <w:r>
        <w:rPr>
          <w:rFonts w:ascii="Noto Sans" w:hAnsi="Noto Sans" w:eastAsia="Noto Sans" w:cs="Noto Sans"/>
          <w:sz w:val="19"/>
        </w:rPr>
        <w:t>. Лучший свободно читаемый современный научный разбор материала, контекста, подлинности и новой прорисовки.</w:t>
      </w:r>
    </w:p>
    <w:p>
      <w:pPr>
        <w:pStyle w:val="ListBullet"/>
        <w:spacing w:after="40"/>
        <w:ind w:left="283" w:hanging="170"/>
      </w:pPr>
      <w:hyperlink r:id="rId11">
        <w:r>
          <w:rPr>
            <w:rFonts w:ascii="Noto Sans" w:hAnsi="Noto Sans" w:eastAsia="Noto Sans" w:cs="Noto Sans"/>
            <w:color w:val="185FA5"/>
            <w:u w:val="single"/>
          </w:rPr>
          <w:t>A47-R002 — INAH: испанская археологическая публикация и PDF</w:t>
        </w:r>
      </w:hyperlink>
      <w:r>
        <w:rPr>
          <w:rFonts w:ascii="Noto Sans" w:hAnsi="Noto Sans" w:eastAsia="Noto Sans" w:cs="Noto Sans"/>
          <w:sz w:val="19"/>
        </w:rPr>
        <w:t>. Лучший бесплатный испаноязычный вход к описанию находки; загрузка не означает право зеркалирования.</w:t>
      </w:r>
    </w:p>
    <w:p>
      <w:pPr>
        <w:pStyle w:val="ListBullet"/>
        <w:spacing w:after="40"/>
        <w:ind w:left="283" w:hanging="170"/>
      </w:pPr>
      <w:hyperlink r:id="rId12">
        <w:r>
          <w:rPr>
            <w:rFonts w:ascii="Noto Sans" w:hAnsi="Noto Sans" w:eastAsia="Noto Sans" w:cs="Noto Sans"/>
            <w:color w:val="185FA5"/>
            <w:u w:val="single"/>
          </w:rPr>
          <w:t>A47-R001 — Science 2006: исходная публикация</w:t>
        </w:r>
      </w:hyperlink>
      <w:r>
        <w:rPr>
          <w:rFonts w:ascii="Noto Sans" w:hAnsi="Noto Sans" w:eastAsia="Noto Sans" w:cs="Noto Sans"/>
          <w:sz w:val="19"/>
        </w:rPr>
        <w:t>. Базовый DOI и библиографическая идентификация; полный доступ чаще институциональный или покупной.</w:t>
      </w:r>
    </w:p>
    <w:p>
      <w:pPr>
        <w:pStyle w:val="ListBullet"/>
        <w:spacing w:after="40"/>
        <w:ind w:left="283" w:hanging="170"/>
      </w:pPr>
      <w:hyperlink r:id="rId13">
        <w:r>
          <w:rPr>
            <w:rFonts w:ascii="Noto Sans" w:hAnsi="Noto Sans" w:eastAsia="Noto Sans" w:cs="Noto Sans"/>
            <w:color w:val="185FA5"/>
            <w:u w:val="single"/>
          </w:rPr>
          <w:t>A47-R007 — Mora-Marín: новая прорисовка и ортографический анализ</w:t>
        </w:r>
      </w:hyperlink>
      <w:r>
        <w:rPr>
          <w:rFonts w:ascii="Noto Sans" w:hAnsi="Noto Sans" w:eastAsia="Noto Sans" w:cs="Noto Sans"/>
          <w:sz w:val="19"/>
        </w:rPr>
        <w:t xml:space="preserve">; </w:t>
      </w:r>
      <w:hyperlink r:id="rId14">
        <w:r>
          <w:rPr>
            <w:rFonts w:ascii="Noto Sans" w:hAnsi="Noto Sans" w:eastAsia="Noto Sans" w:cs="Noto Sans"/>
            <w:color w:val="185FA5"/>
            <w:u w:val="single"/>
          </w:rPr>
          <w:t>A47-R010 — OUP 2025: актуальный handbook-синтез</w:t>
        </w:r>
      </w:hyperlink>
      <w:r>
        <w:rPr>
          <w:rFonts w:ascii="Noto Sans" w:hAnsi="Noto Sans" w:eastAsia="Noto Sans" w:cs="Noto Sans"/>
          <w:sz w:val="19"/>
        </w:rPr>
        <w:t>. Это лучшие современные аналитические ориентиры, но оба защищены.</w:t>
      </w:r>
    </w:p>
    <w:p>
      <w:pPr>
        <w:pStyle w:val="ListBullet"/>
        <w:spacing w:after="40"/>
        <w:ind w:left="283" w:hanging="170"/>
      </w:pPr>
      <w:hyperlink r:id="rId15">
        <w:r>
          <w:rPr>
            <w:rFonts w:ascii="Noto Sans" w:hAnsi="Noto Sans" w:eastAsia="Noto Sans" w:cs="Noto Sans"/>
            <w:color w:val="185FA5"/>
            <w:u w:val="single"/>
          </w:rPr>
          <w:t>A47-R012 — официальная MNA-фотография</w:t>
        </w:r>
      </w:hyperlink>
      <w:r>
        <w:rPr>
          <w:rFonts w:ascii="Noto Sans" w:hAnsi="Noto Sans" w:eastAsia="Noto Sans" w:cs="Noto Sans"/>
          <w:sz w:val="19"/>
        </w:rPr>
        <w:t>. Лучший официальный музейный визуальный вход, но условия MNA делают его строго link-only.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Для Cascajal не найден открыто лицензированный музейный facsimile или стабильная item-level коллекционная запись с IIIF. Поэтому ToS может ссылаться на официальный MNA-образ и хранить законные исследовательские копии свободных PDF, но не должен автоматически публиковать снимки или современные прорисовки.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3.2. La Mojarra Stela 1</w:t>
      </w:r>
    </w:p>
    <w:p>
      <w:pPr>
        <w:pStyle w:val="ListBullet"/>
        <w:spacing w:after="40"/>
        <w:ind w:left="283" w:hanging="170"/>
      </w:pPr>
      <w:hyperlink r:id="rId16">
        <w:r>
          <w:rPr>
            <w:rFonts w:ascii="Noto Sans" w:hAnsi="Noto Sans" w:eastAsia="Noto Sans" w:cs="Noto Sans"/>
            <w:color w:val="185FA5"/>
            <w:u w:val="single"/>
          </w:rPr>
          <w:t>A47-R022 — FAMSI main face</w:t>
        </w:r>
      </w:hyperlink>
      <w:r>
        <w:rPr>
          <w:rFonts w:ascii="Noto Sans" w:hAnsi="Noto Sans" w:eastAsia="Noto Sans" w:cs="Noto Sans"/>
          <w:sz w:val="19"/>
        </w:rPr>
        <w:t xml:space="preserve"> и </w:t>
      </w:r>
      <w:hyperlink r:id="rId17">
        <w:r>
          <w:rPr>
            <w:rFonts w:ascii="Noto Sans" w:hAnsi="Noto Sans" w:eastAsia="Noto Sans" w:cs="Noto Sans"/>
            <w:color w:val="185FA5"/>
            <w:u w:val="single"/>
          </w:rPr>
          <w:t>A47-R023 — FAMSI side column</w:t>
        </w:r>
      </w:hyperlink>
      <w:r>
        <w:rPr>
          <w:rFonts w:ascii="Noto Sans" w:hAnsi="Noto Sans" w:eastAsia="Noto Sans" w:cs="Noto Sans"/>
          <w:sz w:val="19"/>
        </w:rPr>
        <w:t>. Лучший бесплатный полноформатный фотографический доступ к двум практически различимым поверхностям текста.</w:t>
      </w:r>
    </w:p>
    <w:p>
      <w:pPr>
        <w:pStyle w:val="ListBullet"/>
        <w:spacing w:after="40"/>
        <w:ind w:left="283" w:hanging="170"/>
      </w:pPr>
      <w:hyperlink r:id="rId18">
        <w:r>
          <w:rPr>
            <w:rFonts w:ascii="Noto Sans" w:hAnsi="Noto Sans" w:eastAsia="Noto Sans" w:cs="Noto Sans"/>
            <w:color w:val="185FA5"/>
            <w:u w:val="single"/>
          </w:rPr>
          <w:t>A47-R024 — Winfield 1988, ранняя полевая публикация</w:t>
        </w:r>
      </w:hyperlink>
      <w:r>
        <w:rPr>
          <w:rFonts w:ascii="Noto Sans" w:hAnsi="Noto Sans" w:eastAsia="Noto Sans" w:cs="Noto Sans"/>
          <w:sz w:val="19"/>
        </w:rPr>
        <w:t xml:space="preserve">. Лучший старый испаноязычный report-access; </w:t>
      </w:r>
      <w:hyperlink r:id="rId19">
        <w:r>
          <w:rPr>
            <w:rFonts w:ascii="Noto Sans" w:hAnsi="Noto Sans" w:eastAsia="Noto Sans" w:cs="Noto Sans"/>
            <w:color w:val="185FA5"/>
            <w:u w:val="single"/>
          </w:rPr>
          <w:t>A47-R025 — UV institutional PDF</w:t>
        </w:r>
      </w:hyperlink>
      <w:r>
        <w:rPr>
          <w:rFonts w:ascii="Noto Sans" w:hAnsi="Noto Sans" w:eastAsia="Noto Sans" w:cs="Noto Sans"/>
          <w:sz w:val="19"/>
        </w:rPr>
        <w:t xml:space="preserve"> даёт дополнительный институциональный маршрут с низкой правовой уверенностью из-за недоступной item page.</w:t>
      </w:r>
    </w:p>
    <w:p>
      <w:pPr>
        <w:pStyle w:val="ListBullet"/>
        <w:spacing w:after="40"/>
        <w:ind w:left="283" w:hanging="170"/>
      </w:pPr>
      <w:hyperlink r:id="rId20">
        <w:r>
          <w:rPr>
            <w:rFonts w:ascii="Noto Sans" w:hAnsi="Noto Sans" w:eastAsia="Noto Sans" w:cs="Noto Sans"/>
            <w:color w:val="185FA5"/>
            <w:u w:val="single"/>
          </w:rPr>
          <w:t>A47-R029 — полная Commons-фотография CC BY-SA 4.0</w:t>
        </w:r>
      </w:hyperlink>
      <w:r>
        <w:rPr>
          <w:rFonts w:ascii="Noto Sans" w:hAnsi="Noto Sans" w:eastAsia="Noto Sans" w:cs="Noto Sans"/>
          <w:sz w:val="19"/>
        </w:rPr>
        <w:t>. Наиболее свободный практический слой: можно зеркалировать с атрибуцией и ShareAlike, создавать аннотации, индексы и embeddings в пределах изображения.</w:t>
      </w:r>
    </w:p>
    <w:p>
      <w:pPr>
        <w:pStyle w:val="ListBullet"/>
        <w:spacing w:after="40"/>
        <w:ind w:left="283" w:hanging="170"/>
      </w:pPr>
      <w:hyperlink r:id="rId21">
        <w:r>
          <w:rPr>
            <w:rFonts w:ascii="Noto Sans" w:hAnsi="Noto Sans" w:eastAsia="Noto Sans" w:cs="Noto Sans"/>
            <w:color w:val="185FA5"/>
            <w:u w:val="single"/>
          </w:rPr>
          <w:t>A47-R030 — деталь CC BY-SA 4.0</w:t>
        </w:r>
      </w:hyperlink>
      <w:r>
        <w:rPr>
          <w:rFonts w:ascii="Noto Sans" w:hAnsi="Noto Sans" w:eastAsia="Noto Sans" w:cs="Noto Sans"/>
          <w:sz w:val="19"/>
        </w:rPr>
        <w:t xml:space="preserve"> и </w:t>
      </w:r>
      <w:hyperlink r:id="rId22">
        <w:r>
          <w:rPr>
            <w:rFonts w:ascii="Noto Sans" w:hAnsi="Noto Sans" w:eastAsia="Noto Sans" w:cs="Noto Sans"/>
            <w:color w:val="185FA5"/>
            <w:u w:val="single"/>
          </w:rPr>
          <w:t>A47-R031 — Long Count-фрагмент CC BY-SA 3.0</w:t>
        </w:r>
      </w:hyperlink>
      <w:r>
        <w:rPr>
          <w:rFonts w:ascii="Noto Sans" w:hAnsi="Noto Sans" w:eastAsia="Noto Sans" w:cs="Noto Sans"/>
          <w:sz w:val="19"/>
        </w:rPr>
        <w:t>. Лучшие открытые sign-level изображения, но не полное факсимиле всех поверхностей.</w:t>
      </w:r>
    </w:p>
    <w:p>
      <w:pPr>
        <w:pStyle w:val="ListBullet"/>
        <w:spacing w:after="40"/>
        <w:ind w:left="283" w:hanging="170"/>
      </w:pPr>
      <w:hyperlink r:id="rId23">
        <w:r>
          <w:rPr>
            <w:rFonts w:ascii="Noto Sans" w:hAnsi="Noto Sans" w:eastAsia="Noto Sans" w:cs="Noto Sans"/>
            <w:color w:val="185FA5"/>
            <w:u w:val="single"/>
          </w:rPr>
          <w:t>A47-R026 — Science 1993</w:t>
        </w:r>
      </w:hyperlink>
      <w:r>
        <w:rPr>
          <w:rFonts w:ascii="Noto Sans" w:hAnsi="Noto Sans" w:eastAsia="Noto Sans" w:cs="Noto Sans"/>
          <w:sz w:val="19"/>
        </w:rPr>
        <w:t xml:space="preserve">, </w:t>
      </w:r>
      <w:hyperlink r:id="rId24">
        <w:r>
          <w:rPr>
            <w:rFonts w:ascii="Noto Sans" w:hAnsi="Noto Sans" w:eastAsia="Noto Sans" w:cs="Noto Sans"/>
            <w:color w:val="185FA5"/>
            <w:u w:val="single"/>
          </w:rPr>
          <w:t>A47-R027 — Science 1997</w:t>
        </w:r>
      </w:hyperlink>
      <w:r>
        <w:rPr>
          <w:rFonts w:ascii="Noto Sans" w:hAnsi="Noto Sans" w:eastAsia="Noto Sans" w:cs="Noto Sans"/>
          <w:sz w:val="19"/>
        </w:rPr>
        <w:t xml:space="preserve"> и </w:t>
      </w:r>
      <w:hyperlink r:id="rId25">
        <w:r>
          <w:rPr>
            <w:rFonts w:ascii="Noto Sans" w:hAnsi="Noto Sans" w:eastAsia="Noto Sans" w:cs="Noto Sans"/>
            <w:color w:val="185FA5"/>
            <w:u w:val="single"/>
          </w:rPr>
          <w:t>A47-R028 — author-hosted 2001 synthesis</w:t>
        </w:r>
      </w:hyperlink>
      <w:r>
        <w:rPr>
          <w:rFonts w:ascii="Noto Sans" w:hAnsi="Noto Sans" w:eastAsia="Noto Sans" w:cs="Noto Sans"/>
          <w:sz w:val="19"/>
        </w:rPr>
        <w:t>. Это основная pro-decipherment линия; использовать как спорную современную интерпретацию, не как готовый перевод.</w:t>
      </w:r>
    </w:p>
    <w:p>
      <w:pPr>
        <w:pStyle w:val="ListBullet"/>
        <w:spacing w:after="40"/>
        <w:ind w:left="283" w:hanging="170"/>
      </w:pPr>
      <w:hyperlink r:id="rId26">
        <w:r>
          <w:rPr>
            <w:rFonts w:ascii="Noto Sans" w:hAnsi="Noto Sans" w:eastAsia="Noto Sans" w:cs="Noto Sans"/>
            <w:color w:val="185FA5"/>
            <w:u w:val="single"/>
          </w:rPr>
          <w:t>A47-R020 — Macri 2026, University of Oklahoma Press</w:t>
        </w:r>
      </w:hyperlink>
      <w:r>
        <w:rPr>
          <w:rFonts w:ascii="Noto Sans" w:hAnsi="Noto Sans" w:eastAsia="Noto Sans" w:cs="Noto Sans"/>
          <w:sz w:val="19"/>
        </w:rPr>
        <w:t>. Лучший найденный современный book-length синтез; purchase/library route, не открытый corpus.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3.3. Tuxtla Statuette</w:t>
      </w:r>
    </w:p>
    <w:p>
      <w:pPr>
        <w:pStyle w:val="ListBullet"/>
        <w:spacing w:after="40"/>
        <w:ind w:left="283" w:hanging="170"/>
      </w:pPr>
      <w:hyperlink r:id="rId27">
        <w:r>
          <w:rPr>
            <w:rFonts w:ascii="Noto Sans" w:hAnsi="Noto Sans" w:eastAsia="Noto Sans" w:cs="Noto Sans"/>
            <w:color w:val="185FA5"/>
            <w:u w:val="single"/>
          </w:rPr>
          <w:t>A47-R033 — современная фотография CC BY-SA 4.0</w:t>
        </w:r>
      </w:hyperlink>
      <w:r>
        <w:rPr>
          <w:rFonts w:ascii="Noto Sans" w:hAnsi="Noto Sans" w:eastAsia="Noto Sans" w:cs="Noto Sans"/>
          <w:sz w:val="19"/>
        </w:rPr>
        <w:t>. Лучший открыто лицензированный визуальный вход.</w:t>
      </w:r>
    </w:p>
    <w:p>
      <w:pPr>
        <w:pStyle w:val="ListBullet"/>
        <w:spacing w:after="40"/>
        <w:ind w:left="283" w:hanging="170"/>
      </w:pPr>
      <w:hyperlink r:id="rId28">
        <w:r>
          <w:rPr>
            <w:rFonts w:ascii="Noto Sans" w:hAnsi="Noto Sans" w:eastAsia="Noto Sans" w:cs="Noto Sans"/>
            <w:color w:val="185FA5"/>
            <w:u w:val="single"/>
          </w:rPr>
          <w:t>A47-R034 — Holmes 1907, public-domain photograph</w:t>
        </w:r>
      </w:hyperlink>
      <w:r>
        <w:rPr>
          <w:rFonts w:ascii="Noto Sans" w:hAnsi="Noto Sans" w:eastAsia="Noto Sans" w:cs="Noto Sans"/>
          <w:sz w:val="19"/>
        </w:rPr>
        <w:t xml:space="preserve"> и </w:t>
      </w:r>
      <w:hyperlink r:id="rId29">
        <w:r>
          <w:rPr>
            <w:rFonts w:ascii="Noto Sans" w:hAnsi="Noto Sans" w:eastAsia="Noto Sans" w:cs="Noto Sans"/>
            <w:color w:val="185FA5"/>
            <w:u w:val="single"/>
          </w:rPr>
          <w:t>A47-R036 — статья Holmes 1907</w:t>
        </w:r>
      </w:hyperlink>
      <w:r>
        <w:rPr>
          <w:rFonts w:ascii="Noto Sans" w:hAnsi="Noto Sans" w:eastAsia="Noto Sans" w:cs="Noto Sans"/>
          <w:sz w:val="19"/>
        </w:rPr>
        <w:t>. Лучший старый публичнодоменный слой; для Wiley-скана отдельно сохранена оговорка о platform rights.</w:t>
      </w:r>
    </w:p>
    <w:p>
      <w:pPr>
        <w:pStyle w:val="ListBullet"/>
        <w:spacing w:after="40"/>
        <w:ind w:left="283" w:hanging="170"/>
      </w:pPr>
      <w:hyperlink r:id="rId30">
        <w:r>
          <w:rPr>
            <w:rFonts w:ascii="Noto Sans" w:hAnsi="Noto Sans" w:eastAsia="Noto Sans" w:cs="Noto Sans"/>
            <w:color w:val="185FA5"/>
            <w:u w:val="single"/>
          </w:rPr>
          <w:t>A47-R035 — SVG-прорисовка CC BY 3.0 / GFDL</w:t>
        </w:r>
      </w:hyperlink>
      <w:r>
        <w:rPr>
          <w:rFonts w:ascii="Noto Sans" w:hAnsi="Noto Sans" w:eastAsia="Noto Sans" w:cs="Noto Sans"/>
          <w:sz w:val="19"/>
        </w:rPr>
        <w:t>. Удобна для интерфейса и sign annotation, но требует научной сверки с первичной фотографией.</w:t>
      </w:r>
    </w:p>
    <w:p>
      <w:pPr>
        <w:pStyle w:val="ListBullet"/>
        <w:spacing w:after="40"/>
        <w:ind w:left="283" w:hanging="170"/>
      </w:pPr>
      <w:hyperlink r:id="rId31">
        <w:r>
          <w:rPr>
            <w:rFonts w:ascii="Noto Sans" w:hAnsi="Noto Sans" w:eastAsia="Noto Sans" w:cs="Noto Sans"/>
            <w:color w:val="185FA5"/>
            <w:u w:val="single"/>
          </w:rPr>
          <w:t>A47-R038 — Méluzin 1995 в BYU/NWAF</w:t>
        </w:r>
      </w:hyperlink>
      <w:r>
        <w:rPr>
          <w:rFonts w:ascii="Noto Sans" w:hAnsi="Noto Sans" w:eastAsia="Noto Sans" w:cs="Noto Sans"/>
          <w:sz w:val="19"/>
        </w:rPr>
        <w:t xml:space="preserve">. Лучший бесплатный институциональный вход к полной монографии; </w:t>
      </w:r>
      <w:hyperlink r:id="rId32">
        <w:r>
          <w:rPr>
            <w:rFonts w:ascii="Noto Sans" w:hAnsi="Noto Sans" w:eastAsia="Noto Sans" w:cs="Noto Sans"/>
            <w:color w:val="185FA5"/>
            <w:u w:val="single"/>
          </w:rPr>
          <w:t>A47-R039 — Open Library/IA borrow</w:t>
        </w:r>
      </w:hyperlink>
      <w:r>
        <w:rPr>
          <w:rFonts w:ascii="Noto Sans" w:hAnsi="Noto Sans" w:eastAsia="Noto Sans" w:cs="Noto Sans"/>
          <w:sz w:val="19"/>
        </w:rPr>
        <w:t xml:space="preserve"> — резервный Controlled Digital Lending маршрут.</w:t>
      </w:r>
    </w:p>
    <w:p>
      <w:pPr>
        <w:pStyle w:val="ListBullet"/>
        <w:spacing w:after="40"/>
        <w:ind w:left="283" w:hanging="170"/>
      </w:pPr>
      <w:hyperlink r:id="rId33">
        <w:r>
          <w:rPr>
            <w:rFonts w:ascii="Noto Sans" w:hAnsi="Noto Sans" w:eastAsia="Noto Sans" w:cs="Noto Sans"/>
            <w:color w:val="185FA5"/>
            <w:u w:val="single"/>
          </w:rPr>
          <w:t>A47-R037 — Cambridge/JSTOR article 1992</w:t>
        </w:r>
      </w:hyperlink>
      <w:r>
        <w:rPr>
          <w:rFonts w:ascii="Noto Sans" w:hAnsi="Noto Sans" w:eastAsia="Noto Sans" w:cs="Noto Sans"/>
          <w:sz w:val="19"/>
        </w:rPr>
        <w:t>. Сильный современный историко-дешифровочный источник, но защищённый.</w:t>
      </w:r>
    </w:p>
    <w:p>
      <w:pPr>
        <w:pStyle w:val="ListBullet"/>
        <w:spacing w:after="40"/>
        <w:ind w:left="283" w:hanging="170"/>
      </w:pPr>
      <w:hyperlink r:id="rId34">
        <w:r>
          <w:rPr>
            <w:rFonts w:ascii="Noto Sans" w:hAnsi="Noto Sans" w:eastAsia="Noto Sans" w:cs="Noto Sans"/>
            <w:color w:val="185FA5"/>
            <w:u w:val="single"/>
          </w:rPr>
          <w:t>A47-R032 — Smithsonian official object ID</w:t>
        </w:r>
      </w:hyperlink>
      <w:r>
        <w:rPr>
          <w:rFonts w:ascii="Noto Sans" w:hAnsi="Noto Sans" w:eastAsia="Noto Sans" w:cs="Noto Sans"/>
          <w:sz w:val="19"/>
        </w:rPr>
        <w:t xml:space="preserve">. Предпочтительный каталогический якорь, но страница была недоступна при автоматической проверке; </w:t>
      </w:r>
      <w:hyperlink r:id="rId15">
        <w:r>
          <w:rPr>
            <w:rFonts w:ascii="Noto Sans" w:hAnsi="Noto Sans" w:eastAsia="Noto Sans" w:cs="Noto Sans"/>
            <w:color w:val="185FA5"/>
            <w:u w:val="single"/>
          </w:rPr>
          <w:t>A47-R041 — MNA context image</w:t>
        </w:r>
      </w:hyperlink>
      <w:r>
        <w:rPr>
          <w:rFonts w:ascii="Noto Sans" w:hAnsi="Noto Sans" w:eastAsia="Noto Sans" w:cs="Noto Sans"/>
          <w:sz w:val="19"/>
        </w:rPr>
        <w:t xml:space="preserve"> остаётся официальным, но link-only.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3.4. Tres Zapotes, Cerro de las Mesas и региональный монументальный слой</w:t>
      </w:r>
    </w:p>
    <w:p>
      <w:pPr>
        <w:pStyle w:val="ListBullet"/>
        <w:spacing w:after="40"/>
        <w:ind w:left="283" w:hanging="170"/>
      </w:pPr>
      <w:hyperlink r:id="rId35">
        <w:r>
          <w:rPr>
            <w:rFonts w:ascii="Noto Sans" w:hAnsi="Noto Sans" w:eastAsia="Noto Sans" w:cs="Noto Sans"/>
            <w:color w:val="185FA5"/>
            <w:u w:val="single"/>
          </w:rPr>
          <w:t>A47-R013 — FAMSI corpus portal/report</w:t>
        </w:r>
      </w:hyperlink>
      <w:r>
        <w:rPr>
          <w:rFonts w:ascii="Noto Sans" w:hAnsi="Noto Sans" w:eastAsia="Noto Sans" w:cs="Noto Sans"/>
          <w:sz w:val="19"/>
        </w:rPr>
        <w:t>. Лучший общий free gateway к substantial part монументального массива.</w:t>
      </w:r>
    </w:p>
    <w:p>
      <w:pPr>
        <w:pStyle w:val="ListBullet"/>
        <w:spacing w:after="40"/>
        <w:ind w:left="283" w:hanging="170"/>
      </w:pPr>
      <w:hyperlink r:id="rId36">
        <w:r>
          <w:rPr>
            <w:rFonts w:ascii="Noto Sans" w:hAnsi="Noto Sans" w:eastAsia="Noto Sans" w:cs="Noto Sans"/>
            <w:color w:val="185FA5"/>
            <w:u w:val="single"/>
          </w:rPr>
          <w:t>A47-R061 — Tres Zapotes Stela C, upper</w:t>
        </w:r>
      </w:hyperlink>
      <w:r>
        <w:rPr>
          <w:rFonts w:ascii="Noto Sans" w:hAnsi="Noto Sans" w:eastAsia="Noto Sans" w:cs="Noto Sans"/>
          <w:sz w:val="19"/>
        </w:rPr>
        <w:t xml:space="preserve"> и </w:t>
      </w:r>
      <w:hyperlink r:id="rId37">
        <w:r>
          <w:rPr>
            <w:rFonts w:ascii="Noto Sans" w:hAnsi="Noto Sans" w:eastAsia="Noto Sans" w:cs="Noto Sans"/>
            <w:color w:val="185FA5"/>
            <w:u w:val="single"/>
          </w:rPr>
          <w:t>A47-R062 — lower</w:t>
        </w:r>
      </w:hyperlink>
      <w:r>
        <w:rPr>
          <w:rFonts w:ascii="Noto Sans" w:hAnsi="Noto Sans" w:eastAsia="Noto Sans" w:cs="Noto Sans"/>
          <w:sz w:val="19"/>
        </w:rPr>
        <w:t xml:space="preserve">. Лучшие witness-level фотоальбомы; </w:t>
      </w:r>
      <w:hyperlink r:id="rId15">
        <w:r>
          <w:rPr>
            <w:rFonts w:ascii="Noto Sans" w:hAnsi="Noto Sans" w:eastAsia="Noto Sans" w:cs="Noto Sans"/>
            <w:color w:val="185FA5"/>
            <w:u w:val="single"/>
          </w:rPr>
          <w:t>A47-R063 — MNA official feature</w:t>
        </w:r>
      </w:hyperlink>
      <w:r>
        <w:rPr>
          <w:rFonts w:ascii="Noto Sans" w:hAnsi="Noto Sans" w:eastAsia="Noto Sans" w:cs="Noto Sans"/>
          <w:sz w:val="19"/>
        </w:rPr>
        <w:t xml:space="preserve"> обеспечивает официальную идентификацию, но не скачивание.</w:t>
      </w:r>
    </w:p>
    <w:p>
      <w:pPr>
        <w:pStyle w:val="ListBullet"/>
        <w:spacing w:after="40"/>
        <w:ind w:left="283" w:hanging="170"/>
      </w:pPr>
      <w:hyperlink r:id="rId35">
        <w:r>
          <w:rPr>
            <w:rFonts w:ascii="Noto Sans" w:hAnsi="Noto Sans" w:eastAsia="Noto Sans" w:cs="Noto Sans"/>
            <w:color w:val="185FA5"/>
            <w:u w:val="single"/>
          </w:rPr>
          <w:t>A47-R053 — Cerro de las Mesas Stela 6</w:t>
        </w:r>
      </w:hyperlink>
      <w:r>
        <w:rPr>
          <w:rFonts w:ascii="Noto Sans" w:hAnsi="Noto Sans" w:eastAsia="Noto Sans" w:cs="Noto Sans"/>
          <w:sz w:val="19"/>
        </w:rPr>
        <w:t>. Приоритетный отдельный witness: FAMSI относит его к объектам с substantial non-calendrical passages.</w:t>
      </w:r>
    </w:p>
    <w:p>
      <w:pPr>
        <w:pStyle w:val="ListBullet"/>
        <w:spacing w:after="40"/>
        <w:ind w:left="283" w:hanging="170"/>
      </w:pPr>
      <w:hyperlink r:id="rId35">
        <w:r>
          <w:rPr>
            <w:rFonts w:ascii="Noto Sans" w:hAnsi="Noto Sans" w:eastAsia="Noto Sans" w:cs="Noto Sans"/>
            <w:color w:val="185FA5"/>
            <w:u w:val="single"/>
          </w:rPr>
          <w:t>A47-R050 — Stela 3</w:t>
        </w:r>
      </w:hyperlink>
      <w:r>
        <w:rPr>
          <w:rFonts w:ascii="Noto Sans" w:hAnsi="Noto Sans" w:eastAsia="Noto Sans" w:cs="Noto Sans"/>
          <w:sz w:val="19"/>
        </w:rPr>
        <w:t xml:space="preserve">, </w:t>
      </w:r>
      <w:hyperlink r:id="rId35">
        <w:r>
          <w:rPr>
            <w:rFonts w:ascii="Noto Sans" w:hAnsi="Noto Sans" w:eastAsia="Noto Sans" w:cs="Noto Sans"/>
            <w:color w:val="185FA5"/>
            <w:u w:val="single"/>
          </w:rPr>
          <w:t>A47-R051 — Stela 4</w:t>
        </w:r>
      </w:hyperlink>
      <w:r>
        <w:rPr>
          <w:rFonts w:ascii="Noto Sans" w:hAnsi="Noto Sans" w:eastAsia="Noto Sans" w:cs="Noto Sans"/>
          <w:sz w:val="19"/>
        </w:rPr>
        <w:t xml:space="preserve">, </w:t>
      </w:r>
      <w:hyperlink r:id="rId35">
        <w:r>
          <w:rPr>
            <w:rFonts w:ascii="Noto Sans" w:hAnsi="Noto Sans" w:eastAsia="Noto Sans" w:cs="Noto Sans"/>
            <w:color w:val="185FA5"/>
            <w:u w:val="single"/>
          </w:rPr>
          <w:t>A47-R052 — Stela 5</w:t>
        </w:r>
      </w:hyperlink>
      <w:r>
        <w:rPr>
          <w:rFonts w:ascii="Noto Sans" w:hAnsi="Noto Sans" w:eastAsia="Noto Sans" w:cs="Noto Sans"/>
          <w:sz w:val="19"/>
        </w:rPr>
        <w:t xml:space="preserve">, </w:t>
      </w:r>
      <w:hyperlink r:id="rId35">
        <w:r>
          <w:rPr>
            <w:rFonts w:ascii="Noto Sans" w:hAnsi="Noto Sans" w:eastAsia="Noto Sans" w:cs="Noto Sans"/>
            <w:color w:val="185FA5"/>
            <w:u w:val="single"/>
          </w:rPr>
          <w:t>A47-R054 — Stela 8</w:t>
        </w:r>
      </w:hyperlink>
      <w:r>
        <w:rPr>
          <w:rFonts w:ascii="Noto Sans" w:hAnsi="Noto Sans" w:eastAsia="Noto Sans" w:cs="Noto Sans"/>
          <w:sz w:val="19"/>
        </w:rPr>
        <w:t xml:space="preserve"> и </w:t>
      </w:r>
      <w:hyperlink r:id="rId35">
        <w:r>
          <w:rPr>
            <w:rFonts w:ascii="Noto Sans" w:hAnsi="Noto Sans" w:eastAsia="Noto Sans" w:cs="Noto Sans"/>
            <w:color w:val="185FA5"/>
            <w:u w:val="single"/>
          </w:rPr>
          <w:t>A47-R055 — Monument 4</w:t>
        </w:r>
      </w:hyperlink>
      <w:r>
        <w:rPr>
          <w:rFonts w:ascii="Noto Sans" w:hAnsi="Noto Sans" w:eastAsia="Noto Sans" w:cs="Noto Sans"/>
          <w:sz w:val="19"/>
        </w:rPr>
        <w:t>. Свидетельства одного крупного corpus cluster; точный текстовый статус каждого следует кодировать отдельно.</w:t>
      </w:r>
    </w:p>
    <w:p>
      <w:pPr>
        <w:pStyle w:val="ListBullet"/>
        <w:spacing w:after="40"/>
        <w:ind w:left="283" w:hanging="170"/>
      </w:pPr>
      <w:hyperlink r:id="rId38">
        <w:r>
          <w:rPr>
            <w:rFonts w:ascii="Noto Sans" w:hAnsi="Noto Sans" w:eastAsia="Noto Sans" w:cs="Noto Sans"/>
            <w:color w:val="185FA5"/>
            <w:u w:val="single"/>
          </w:rPr>
          <w:t>A47-R064 — Stirling, Stone Monuments of Southern Mexico</w:t>
        </w:r>
      </w:hyperlink>
      <w:r>
        <w:rPr>
          <w:rFonts w:ascii="Noto Sans" w:hAnsi="Noto Sans" w:eastAsia="Noto Sans" w:cs="Noto Sans"/>
          <w:sz w:val="19"/>
        </w:rPr>
        <w:t>. Лучший substantial public-domain U.S. слой: PDF допускает зеркалирование, OCR, индексацию и embeddings в заявленном rights scope.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3.5. Chiapa, маски и antecedent-объекты</w:t>
      </w:r>
    </w:p>
    <w:p>
      <w:pPr>
        <w:pStyle w:val="ListBullet"/>
        <w:spacing w:after="40"/>
        <w:ind w:left="283" w:hanging="170"/>
      </w:pPr>
      <w:hyperlink r:id="rId39">
        <w:r>
          <w:rPr>
            <w:rFonts w:ascii="Noto Sans" w:hAnsi="Noto Sans" w:eastAsia="Noto Sans" w:cs="Noto Sans"/>
            <w:color w:val="185FA5"/>
            <w:u w:val="single"/>
          </w:rPr>
          <w:t>A47-R042 — Chiapa sherd в BYU/NWAF</w:t>
        </w:r>
      </w:hyperlink>
      <w:r>
        <w:rPr>
          <w:rFonts w:ascii="Noto Sans" w:hAnsi="Noto Sans" w:eastAsia="Noto Sans" w:cs="Noto Sans"/>
          <w:sz w:val="19"/>
        </w:rPr>
        <w:t xml:space="preserve"> и </w:t>
      </w:r>
      <w:hyperlink r:id="rId39">
        <w:r>
          <w:rPr>
            <w:rFonts w:ascii="Noto Sans" w:hAnsi="Noto Sans" w:eastAsia="Noto Sans" w:cs="Noto Sans"/>
            <w:color w:val="185FA5"/>
            <w:u w:val="single"/>
          </w:rPr>
          <w:t>A47-R043 — wall panel/Stela 2</w:t>
        </w:r>
      </w:hyperlink>
      <w:r>
        <w:rPr>
          <w:rFonts w:ascii="Noto Sans" w:hAnsi="Noto Sans" w:eastAsia="Noto Sans" w:cs="Noto Sans"/>
          <w:sz w:val="19"/>
        </w:rPr>
        <w:t>. Лучшие институциональные entry points к раннему Isthmian antecedent-слою.</w:t>
      </w:r>
    </w:p>
    <w:p>
      <w:pPr>
        <w:pStyle w:val="ListBullet"/>
        <w:spacing w:after="40"/>
        <w:ind w:left="283" w:hanging="170"/>
      </w:pPr>
      <w:hyperlink r:id="rId40">
        <w:r>
          <w:rPr>
            <w:rFonts w:ascii="Noto Sans" w:hAnsi="Noto Sans" w:eastAsia="Noto Sans" w:cs="Noto Sans"/>
            <w:color w:val="185FA5"/>
            <w:u w:val="single"/>
          </w:rPr>
          <w:t>A47-R044 — Glyph Dwellers R56</w:t>
        </w:r>
      </w:hyperlink>
      <w:r>
        <w:rPr>
          <w:rFonts w:ascii="Noto Sans" w:hAnsi="Noto Sans" w:eastAsia="Noto Sans" w:cs="Noto Sans"/>
          <w:sz w:val="19"/>
        </w:rPr>
        <w:t>. Лучший краткий focused analysis; бесплатно скачать, но не зеркалировать без уточнения лицензии.</w:t>
      </w:r>
    </w:p>
    <w:p>
      <w:pPr>
        <w:pStyle w:val="ListBullet"/>
        <w:spacing w:after="40"/>
        <w:ind w:left="283" w:hanging="170"/>
      </w:pPr>
      <w:hyperlink r:id="rId41">
        <w:r>
          <w:rPr>
            <w:rFonts w:ascii="Noto Sans" w:hAnsi="Noto Sans" w:eastAsia="Noto Sans" w:cs="Noto Sans"/>
            <w:color w:val="185FA5"/>
            <w:u w:val="single"/>
          </w:rPr>
          <w:t>A47-R045 — Feldspar mask, Mesoweb</w:t>
        </w:r>
      </w:hyperlink>
      <w:r>
        <w:rPr>
          <w:rFonts w:ascii="Noto Sans" w:hAnsi="Noto Sans" w:eastAsia="Noto Sans" w:cs="Noto Sans"/>
          <w:sz w:val="19"/>
        </w:rPr>
        <w:t xml:space="preserve"> и </w:t>
      </w:r>
      <w:hyperlink r:id="rId40">
        <w:r>
          <w:rPr>
            <w:rFonts w:ascii="Noto Sans" w:hAnsi="Noto Sans" w:eastAsia="Noto Sans" w:cs="Noto Sans"/>
            <w:color w:val="185FA5"/>
            <w:u w:val="single"/>
          </w:rPr>
          <w:t>A47-R046 — revised drawing, Glyph Dwellers</w:t>
        </w:r>
      </w:hyperlink>
      <w:r>
        <w:rPr>
          <w:rFonts w:ascii="Noto Sans" w:hAnsi="Noto Sans" w:eastAsia="Noto Sans" w:cs="Noto Sans"/>
          <w:sz w:val="19"/>
        </w:rPr>
        <w:t>. Лучшие доступные routes к portable mask witness; museum provenance остаётся пробелом.</w:t>
      </w:r>
    </w:p>
    <w:p>
      <w:pPr>
        <w:pStyle w:val="ListBullet"/>
        <w:spacing w:after="40"/>
        <w:ind w:left="283" w:hanging="170"/>
      </w:pPr>
      <w:hyperlink r:id="rId31">
        <w:r>
          <w:rPr>
            <w:rFonts w:ascii="Noto Sans" w:hAnsi="Noto Sans" w:eastAsia="Noto Sans" w:cs="Noto Sans"/>
            <w:color w:val="185FA5"/>
            <w:u w:val="single"/>
          </w:rPr>
          <w:t>A47-R047 — O’Boyle mask в NWAF monograph</w:t>
        </w:r>
      </w:hyperlink>
      <w:r>
        <w:rPr>
          <w:rFonts w:ascii="Noto Sans" w:hAnsi="Noto Sans" w:eastAsia="Noto Sans" w:cs="Noto Sans"/>
          <w:sz w:val="19"/>
        </w:rPr>
        <w:t>. Законный чтения/download route при низкой уверенности в current repository/provenance.</w:t>
      </w:r>
    </w:p>
    <w:p>
      <w:pPr>
        <w:pStyle w:val="ListBullet"/>
        <w:spacing w:after="40"/>
        <w:ind w:left="283" w:hanging="170"/>
      </w:pPr>
      <w:hyperlink r:id="rId42">
        <w:r>
          <w:rPr>
            <w:rFonts w:ascii="Noto Sans" w:hAnsi="Noto Sans" w:eastAsia="Noto Sans" w:cs="Noto Sans"/>
            <w:color w:val="185FA5"/>
            <w:u w:val="single"/>
          </w:rPr>
          <w:t>A47-R065 — Science 2002 San Andrés</w:t>
        </w:r>
      </w:hyperlink>
      <w:r>
        <w:rPr>
          <w:rFonts w:ascii="Noto Sans" w:hAnsi="Noto Sans" w:eastAsia="Noto Sans" w:cs="Noto Sans"/>
          <w:sz w:val="19"/>
        </w:rPr>
        <w:t xml:space="preserve"> и </w:t>
      </w:r>
      <w:hyperlink r:id="rId15">
        <w:r>
          <w:rPr>
            <w:rFonts w:ascii="Noto Sans" w:hAnsi="Noto Sans" w:eastAsia="Noto Sans" w:cs="Noto Sans"/>
            <w:color w:val="185FA5"/>
            <w:u w:val="single"/>
          </w:rPr>
          <w:t>A47-R067 — официальный MNA-образ San Andrés</w:t>
        </w:r>
      </w:hyperlink>
      <w:r>
        <w:rPr>
          <w:rFonts w:ascii="Noto Sans" w:hAnsi="Noto Sans" w:eastAsia="Noto Sans" w:cs="Noto Sans"/>
          <w:sz w:val="19"/>
        </w:rPr>
        <w:t>. Главные backward links к Olmec sign-use horizon; прямая преемственность к Cascajal не заявляется.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3.6. Знак-каталог и машиночитаемые варианты</w:t>
      </w:r>
    </w:p>
    <w:p>
      <w:pPr>
        <w:pStyle w:val="ListBullet"/>
        <w:spacing w:after="40"/>
        <w:ind w:left="283" w:hanging="170"/>
      </w:pPr>
      <w:hyperlink r:id="rId43">
        <w:r>
          <w:rPr>
            <w:rFonts w:ascii="Noto Sans" w:hAnsi="Noto Sans" w:eastAsia="Noto Sans" w:cs="Noto Sans"/>
            <w:color w:val="185FA5"/>
            <w:u w:val="single"/>
          </w:rPr>
          <w:t>A47-R015 — Glyph Dwellers sign catalogue</w:t>
        </w:r>
      </w:hyperlink>
      <w:r>
        <w:rPr>
          <w:rFonts w:ascii="Noto Sans" w:hAnsi="Noto Sans" w:eastAsia="Noto Sans" w:cs="Noto Sans"/>
          <w:sz w:val="19"/>
        </w:rPr>
        <w:t>. Лучший компактный знак-инвентарь для ручной сверки.</w:t>
      </w:r>
    </w:p>
    <w:p>
      <w:pPr>
        <w:pStyle w:val="ListBullet"/>
        <w:spacing w:after="40"/>
        <w:ind w:left="283" w:hanging="170"/>
      </w:pPr>
      <w:hyperlink r:id="rId44">
        <w:r>
          <w:rPr>
            <w:rFonts w:ascii="Noto Sans" w:hAnsi="Noto Sans" w:eastAsia="Noto Sans" w:cs="Noto Sans"/>
            <w:color w:val="185FA5"/>
            <w:u w:val="single"/>
          </w:rPr>
          <w:t>A47-R017 — frequency/repeated sequences</w:t>
        </w:r>
      </w:hyperlink>
      <w:r>
        <w:rPr>
          <w:rFonts w:ascii="Noto Sans" w:hAnsi="Noto Sans" w:eastAsia="Noto Sans" w:cs="Noto Sans"/>
          <w:sz w:val="19"/>
        </w:rPr>
        <w:t xml:space="preserve"> и </w:t>
      </w:r>
      <w:hyperlink r:id="rId45">
        <w:r>
          <w:rPr>
            <w:rFonts w:ascii="Noto Sans" w:hAnsi="Noto Sans" w:eastAsia="Noto Sans" w:cs="Noto Sans"/>
            <w:color w:val="185FA5"/>
            <w:u w:val="single"/>
          </w:rPr>
          <w:t>A47-R018 — internal variation</w:t>
        </w:r>
      </w:hyperlink>
      <w:r>
        <w:rPr>
          <w:rFonts w:ascii="Noto Sans" w:hAnsi="Noto Sans" w:eastAsia="Noto Sans" w:cs="Noto Sans"/>
          <w:sz w:val="19"/>
        </w:rPr>
        <w:t>. Полезные структурные аналитические слои, но не открытые datasets.</w:t>
      </w:r>
    </w:p>
    <w:p>
      <w:pPr>
        <w:pStyle w:val="ListBullet"/>
        <w:spacing w:after="40"/>
        <w:ind w:left="283" w:hanging="170"/>
      </w:pPr>
      <w:hyperlink r:id="rId46">
        <w:r>
          <w:rPr>
            <w:rFonts w:ascii="Noto Sans" w:hAnsi="Noto Sans" w:eastAsia="Noto Sans" w:cs="Noto Sans"/>
            <w:color w:val="185FA5"/>
            <w:u w:val="single"/>
          </w:rPr>
          <w:t>A47-R021 — exploratory GitHub corpus</w:t>
        </w:r>
      </w:hyperlink>
      <w:r>
        <w:rPr>
          <w:rFonts w:ascii="Noto Sans" w:hAnsi="Noto Sans" w:eastAsia="Noto Sans" w:cs="Noto Sans"/>
          <w:sz w:val="19"/>
        </w:rPr>
        <w:t>. Единственный найденный downloadable computational corpus, однако права внутри README противоречивы, LICENSE отсутствовал, а полнота заявлена как ограниченная.</w:t>
      </w:r>
    </w:p>
    <w:p>
      <w:pPr>
        <w:pStyle w:val="ListBullet"/>
        <w:spacing w:after="40"/>
        <w:ind w:left="283" w:hanging="170"/>
      </w:pPr>
      <w:hyperlink r:id="rId47">
        <w:r>
          <w:rPr>
            <w:rFonts w:ascii="Noto Sans" w:hAnsi="Noto Sans" w:eastAsia="Noto Sans" w:cs="Noto Sans"/>
            <w:color w:val="185FA5"/>
            <w:u w:val="single"/>
          </w:rPr>
          <w:t>A47-R019 — University of Cologne project</w:t>
        </w:r>
      </w:hyperlink>
      <w:r>
        <w:rPr>
          <w:rFonts w:ascii="Noto Sans" w:hAnsi="Noto Sans" w:eastAsia="Noto Sans" w:cs="Noto Sans"/>
          <w:sz w:val="19"/>
        </w:rPr>
        <w:t>. Наиболее перспективный будущий authoritative infrastructure lead, но открытого release/API на момент проверки не найдено.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DEFF2"/>
            <w:tcBorders>
              <w:top w:sz="8" w:val="single" w:color="0B4F5C"/>
              <w:left w:sz="18" w:val="single" w:color="0B4F5C"/>
              <w:bottom w:sz="8" w:val="single" w:color="0B4F5C"/>
              <w:right w:sz="8" w:val="single" w:color="0B4F5C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" w:hAnsi="Noto Sans" w:eastAsia="Noto Sans" w:cs="Noto Sans"/>
                <w:b/>
                <w:color w:val="083842"/>
                <w:sz w:val="21"/>
              </w:rPr>
              <w:t>Практический приоритет</w:t>
            </w:r>
          </w:p>
          <w:p>
            <w:pPr>
              <w:spacing w:after="0" w:line="269" w:lineRule="auto"/>
            </w:pPr>
            <w:r>
              <w:rPr>
                <w:rFonts w:ascii="Noto Sans" w:hAnsi="Noto Sans" w:eastAsia="Noto Sans" w:cs="Noto Sans"/>
                <w:b w:val="0"/>
                <w:color w:val="1F2937"/>
                <w:sz w:val="19"/>
              </w:rPr>
              <w:t>Для публичного прототипа ToS безопаснее начать с Commons CC BY/CC BY-SA и Smithsonian public-domain слоёв, а FAMSI, Glyph Dwellers, BYU, Cambridge, Science и MNA держать как внешние исследовательские ссылки до отдельного rights clearance.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" w:hAnsi="Noto Serif" w:eastAsia="Noto Serif" w:cs="Noto Serif"/>
          <w:b/>
          <w:color w:val="083842"/>
          <w:sz w:val="36"/>
        </w:rPr>
        <w:t>4. Карта прав и практического использования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Все рекомендации ниже ограничены конкретным rights_scope и coverage строки реестра. Тег для одной фотографии не распространяется на весь памятник, тег для старой статьи не распространяется на современный скан платформы, а открытая лицензия на один компонент страницы не делает открытым весь проект.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4.1. Что можно потенциально зеркалировать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Семь записей имеют достаточно сильную item-level основу для зеркалирования в пределах заявленного компонента: пять открыто лицензированных Commons-файлов и два public-domain U.S. объекта. Это наиболее свободный слой всего пакета.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>Record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>Основание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5"/>
              </w:rPr>
              <w:t>Допустимый ToS-use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A47-R029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La Mojarra full photo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CC BY-SA 4.0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mirror с атрибуцией; ShareAlike; OCR/index/embeddings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A47-R030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La Mojarra detail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CC BY-SA 4.0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то же, только fragment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A47-R031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La Mojarra Long Count image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CC BY-SA 3.0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то же, только depicted fragment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A47-R033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Tuxtla modern photo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CC BY-SA 4.0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mirror; attribution; ShareAlike; computational use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A47-R035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Tuxtla vector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CC BY 3.0 / GFDL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mirror с атрибуцией; derivative annotations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A47-R034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Tuxtla 1907 photo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Public Domain — U.S.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mirror/OCR/index; юрисдикционная проверка вне США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A47-R064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Stirling bulletin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No Copyright — U.S.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5"/>
              </w:rPr>
              <w:t>mirror/OCR/full-text index/embeddings; scope=bulletin</w:t>
            </w:r>
          </w:p>
        </w:tc>
      </w:tr>
    </w:tbl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Запись A47-R036 — статья Holmes 1907 — также допускает OCR, индексацию и перевод публичнодоменного текста, однако безусловное зеркалирование именно Wiley-hosted PDF не рекомендовано: work rights и digital-object rights разведены.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4.2. Что можно бесплатно читать или скачивать, но не следует автоматически переиздавать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Самая многочисленная группа — бесплатные PDF/viewers без явной открытой лицензии. К ней относятся INAH article PDF, Mesoweb reports, FAMSI portal и witness albums, Glyph Dwellers reports, BYU/NWAF scans и часть author-hosted scholarship. Для них реестр обычно ставит LINK_OK, FREE_READ/FREE_DOWNLOAD и LOCAL_RESEARCH_COPY, но не MIRROR_OK.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FAMSI: </w:t>
      </w:r>
      <w:r>
        <w:rPr>
          <w:rFonts w:ascii="Noto Sans" w:hAnsi="Noto Sans" w:eastAsia="Noto Sans" w:cs="Noto Sans"/>
          <w:sz w:val="19"/>
        </w:rPr>
        <w:t>15 записей уровня portal + отдельных фотоальбомов; право массового копирования, OCR-публикации и derivative tracings не подтверждено.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Glyph Dwellers: </w:t>
      </w:r>
      <w:r>
        <w:rPr>
          <w:rFonts w:ascii="Noto Sans" w:hAnsi="Noto Sans" w:eastAsia="Noto Sans" w:cs="Noto Sans"/>
          <w:sz w:val="19"/>
        </w:rPr>
        <w:t>знак-каталог и аналитические PDF доступны бесплатно, но лицензия на повторное использование не найдена.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BYU/NWAF: </w:t>
      </w:r>
      <w:r>
        <w:rPr>
          <w:rFonts w:ascii="Noto Sans" w:hAnsi="Noto Sans" w:eastAsia="Noto Sans" w:cs="Noto Sans"/>
          <w:sz w:val="19"/>
        </w:rPr>
        <w:t>view/download/IIIF-like functionality полезны для исследования; component-level rights на scan, OCR и IIIF image требуют уточнения.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Cambridge free HTML: </w:t>
      </w:r>
      <w:r>
        <w:rPr>
          <w:rFonts w:ascii="Noto Sans" w:hAnsi="Noto Sans" w:eastAsia="Noto Sans" w:cs="Noto Sans"/>
          <w:sz w:val="19"/>
        </w:rPr>
        <w:t>полное чтение статьи не равно разрешению сохранять и открыто распространять PDF, figure или PTM-derived drawing.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4.3. Link-only, preview, borrow и purchase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Издательские и музейные записи сохранены даже тогда, когда ToS не может получить открытый файл. Science, Oxford, Cambridge и University of Oklahoma Press дают сильную библиографическую и научную идентификацию; их материалы должны оставаться внешними ссылками, institutional/borrow/purchase routes или кратким preview.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MNA/INAH-Canon: </w:t>
      </w:r>
      <w:r>
        <w:rPr>
          <w:rFonts w:ascii="Noto Sans" w:hAnsi="Noto Sans" w:eastAsia="Noto Sans" w:cs="Noto Sans"/>
          <w:sz w:val="19"/>
        </w:rPr>
        <w:t>официальные фотографии и музейный контекст — FREE_READ + LINK_ONLY; terms прямо запрещают электронное скачивание и требуют контакта для harvesting metadata.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OUP 2025: </w:t>
      </w:r>
      <w:r>
        <w:rPr>
          <w:rFonts w:ascii="Noto Sans" w:hAnsi="Noto Sans" w:eastAsia="Noto Sans" w:cs="Noto Sans"/>
          <w:sz w:val="19"/>
        </w:rPr>
        <w:t>preview/institution/purchase. Страница copyright отдельно ограничивает reproduction, storage, circulation, text/data mining и AI training без правового основания.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Open Library / Internet Archive CDL: </w:t>
      </w:r>
      <w:r>
        <w:rPr>
          <w:rFonts w:ascii="Noto Sans" w:hAnsi="Noto Sans" w:eastAsia="Noto Sans" w:cs="Noto Sans"/>
          <w:sz w:val="19"/>
        </w:rPr>
        <w:t>borrow после регистрации, но не открытая раздача файла.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Smithsonian Tuxtla item: </w:t>
      </w:r>
      <w:r>
        <w:rPr>
          <w:rFonts w:ascii="Noto Sans" w:hAnsi="Noto Sans" w:eastAsia="Noto Sans" w:cs="Noto Sans"/>
          <w:sz w:val="19"/>
        </w:rPr>
        <w:t>пока только metadata lead, потому что item page не открылась при проверке.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4.4. Смешанные и противоречивые права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University of Cologne page содержит смешанные права: текст пресс-релиза не открыт blanket-лицензией, а одна конкретная La Mojarra-фотография имеет credit CC BY-SA 4.0. Лицензия фотографии не перенесена на страницу, проект, будущие datasets или научные результаты.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GitHub-repository A47-R021 содержит более серьёзное внутреннее противоречие: README одновременно требует предварительного разрешения и упоминает MIT, но LICENSE file/link отсутствовал при проверке. Поэтому public clone/download сохранён как исследовательский доступ, а MIRROR_OK, FULLTEXT_INDEX_OK и EMBEDDINGS_OK не выставлены.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В найденном ядре не было надёжно подтверждённых CC BY-NC или CC BY-NC-SA материалов, а также не было ND-объектов, пригодных для отдельной категории unchanged-only. Это результат текущего поиска, а не исключение NC-лицензий по политике проекта.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4.5. OCR, полнотекстовый индекс и embeddings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Восемь записей получили положительные OCR_OK, FULLTEXT_INDEX_OK и EMBEDDINGS_OK. Для Commons-файлов эти действия ограничены конкретной фотографией или SVG и условиями лицензии; для Holmes/Stirling — публичнодоменным содержанием и главным образом U.S. status. Ни один положительный тег не означает разрешения обработать весь FAMSI corpus, MNA archive или publisher platform.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Для нерасшифрованной письменности OCR фактически означает sign detection, image segmentation, ручную/полуавтоматическую транскрипцию и индексирование графем, а не обычное распознавание читаемого языка. Любой public index должен хранить provenance изображения и разделять исходный пиксельный слой от современной нормализованной sign sequence.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4.6. Где возможно создание собственного перевода ToS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OWN_TRANSLATION_POSSIBLE выставлен только для восьми строк с открытой или public-domain основой. Но для A47 этот тег следует читать особенно строго: он разрешает ToS работать с доступным визуальным/текстовым слоем, а не обещает, что Isthmian или Cascajal уже можно достоверно перевести.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Юридически чистая основа: </w:t>
      </w:r>
      <w:r>
        <w:rPr>
          <w:rFonts w:ascii="Noto Sans" w:hAnsi="Noto Sans" w:eastAsia="Noto Sans" w:cs="Noto Sans"/>
          <w:sz w:val="19"/>
        </w:rPr>
        <w:t>открытые Commons-фотографии/вектор, historical public-domain Tuxtla photograph/article, Smithsonian public-domain bulletin.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Реальный допустимый продукт: </w:t>
      </w:r>
      <w:r>
        <w:rPr>
          <w:rFonts w:ascii="Noto Sans" w:hAnsi="Noto Sans" w:eastAsia="Noto Sans" w:cs="Noto Sans"/>
          <w:sz w:val="19"/>
        </w:rPr>
        <w:t>собственная транскрипция видимых знаков, sign catalogue, осторожная календарная аннотация, перевод публичнодоменного English/Spanish scholarly text.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Недопустимый скачок: </w:t>
      </w:r>
      <w:r>
        <w:rPr>
          <w:rFonts w:ascii="Noto Sans" w:hAnsi="Noto Sans" w:eastAsia="Noto Sans" w:cs="Noto Sans"/>
          <w:sz w:val="19"/>
        </w:rPr>
        <w:t>объявить защищённую реконструкцию Justeson–Kaufman, Macri, Mora-Marín или иной modern drawing «свободным оригиналом» и на её основе публиковать бесспорный перевод.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Тег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Практический смысл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Ограничитель</w:t>
            </w:r>
          </w:p>
        </w:tc>
      </w:tr>
      <w:tr>
        <w:trPr>
          <w:cantSplit/>
        </w:trPr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MIRROR_WITH_ATTRIBUTION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можно хранить и отдавать конкретный файл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атрибуция; иногда ShareAlike</w:t>
            </w:r>
          </w:p>
        </w:tc>
      </w:tr>
      <w:tr>
        <w:trPr>
          <w:cantSplit/>
        </w:trPr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MIRROR_OK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можно зеркалировать в указанной PD/No Copyright области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юрисдикция и scope</w:t>
            </w:r>
          </w:p>
        </w:tc>
      </w:tr>
      <w:tr>
        <w:trPr>
          <w:cantSplit/>
        </w:trPr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OCR_OK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можно извлекать текст/знаки из доказанного компонента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не распространяется на соседние изображения</w:t>
            </w:r>
          </w:p>
        </w:tc>
      </w:tr>
      <w:tr>
        <w:trPr>
          <w:cantSplit/>
        </w:trPr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FULLTEXT_INDEX_OK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можно публиковать индекс конкретного открытого слоя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не равно публикации защищённого source file</w:t>
            </w:r>
          </w:p>
        </w:tc>
      </w:tr>
      <w:tr>
        <w:trPr>
          <w:cantSplit/>
        </w:trPr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EMBEDDINGS_OK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можно строить embeddings на разрешённом слое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terms/TDM restrictions других слоёв сохраняются</w:t>
            </w:r>
          </w:p>
        </w:tc>
      </w:tr>
      <w:tr>
        <w:trPr>
          <w:cantSplit/>
        </w:trPr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RIGHTS_REVIEW_REQUIRED</w:t>
            </w:r>
          </w:p>
        </w:tc>
        <w:tc>
          <w:tcPr>
            <w:tcW w:type="dxa" w:w="35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автоматическая публикация блокируется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нужна item/component-level проверка</w:t>
            </w:r>
          </w:p>
        </w:tc>
      </w:tr>
    </w:tbl>
    <w:p>
      <w:pPr>
        <w:pStyle w:val="Heading1"/>
      </w:pPr>
      <w:r>
        <w:rPr>
          <w:rFonts w:ascii="Noto Serif" w:hAnsi="Noto Serif" w:eastAsia="Noto Serif" w:cs="Noto Serif"/>
          <w:b/>
          <w:color w:val="083842"/>
          <w:sz w:val="36"/>
        </w:rPr>
        <w:t>5. Характерные правовые тонкости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5.1. Древний знак свободен, современная фиксация — не обязательно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Cascajal, La Mojarra, Tuxtla и другие древние поверхности не охраняются как современные авторские произведения. Но конкретный музейный снимок, PTM-модель, эпиграфическая прорисовка, sign catalogue, proposed reading и научный аппарат могут быть полностью защищены. Поэтому наиболее ценный научный объект нередко доступен только для чтения, а наиболее свободный для reuse объект — старый снимок или менее полный Commons-файл.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5.2. Download не равен permission to redistribute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FAMSI, Glyph Dwellers, INAH journals и BYU дают реальные бесплатные файлы или viewers. Это достаточное основание для LINK_OK, FREE_DOWNLOAD и законной локальной исследовательской копии, но не доказательство MIRROR_OK. Реестр сознательно не выводит право открытого распространения из одной кнопки Download.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5.3. Одна страница может содержать несколько несовместимых rights layers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На University of Cologne открыто лицензирована конкретная фотография, но не весь пресс-релиз. На Commons лицензия действует на конкретный file page, но не на музей, памятник или чужие drawings. В старой статье Holmes public-domain work отделён от современного Wiley scan. Эта компонентность должна сохраняться при импорте в ToS: image asset, metadata, source text и derived transcription не следует склеивать в один rights flag.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5.4. Музейная официальность иногда означает более строгий доступ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MNA предоставляет наиболее авторитетные официальные изображения Cascajal, Tuxtla, Tres Zapotes и San Andrés, но его Terms запрещают электронное скачивание и требуют согласования harvesting. Это делает MNA лучшим evidence source и link source, но не лучшим источником локального corpus construction.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5.5. Современные publisher terms могут отдельно ограничивать TDM и AI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Oxford Academic прямо ограничивает storage, text/data mining и AI training для handbook-content без отдельного основания. Даже если ToS некоммерческий, некоммерческий характер сам по себе не отменяет эти условия. Для publisher sources безопасная базовая модель — metadata card, DOI, brief factual description и внешний link.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5.6. Public Domain — юрисдикционный и компонентный вывод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Smithsonian маркирует Stirling bulletin как No Copyright – United States; исторический Holmes material также public domain в США по дате. В реестре это даёт сильные reuse-tags, но с оговоркой о других юрисдикциях и без переноса статуса на поздние изображения. Public Domain Mark/rights statement не назван лицензией.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5.7. Защищённая дешифровка не становится свободной из-за древности оригинала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Предложенные sign values, linguistic reconstructions и English translations Justeson–Kaufman, Méluzin, Macri и других — современные интеллектуальные продукты. Их можно изучать и цитировать в допустимом объёме, но нельзя считать автоматически свободной основой для нового ToS edition. Кроме правового вопроса здесь действует научный: дешифровка не достигла общего консенсуса.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5.8. Открытый GitHub не гарантирует очищенный dataset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Публичность репозитория означает возможность просматривать и клонировать его в рамках платформы, но не устраняет provenance каждого CSV, изображения и нормализованной sign sequence. При конфликте README/Licence реестр выбирает консервативный режим: link/download/local research, permission required, no public production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DEFF2"/>
            <w:tcBorders>
              <w:top w:sz="8" w:val="single" w:color="0B4F5C"/>
              <w:left w:sz="18" w:val="single" w:color="0B4F5C"/>
              <w:bottom w:sz="8" w:val="single" w:color="0B4F5C"/>
              <w:right w:sz="8" w:val="single" w:color="0B4F5C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" w:hAnsi="Noto Sans" w:eastAsia="Noto Sans" w:cs="Noto Sans"/>
                <w:b/>
                <w:color w:val="083842"/>
                <w:sz w:val="21"/>
              </w:rPr>
              <w:t>Короткое правило для импорта</w:t>
            </w:r>
          </w:p>
          <w:p>
            <w:pPr>
              <w:spacing w:after="0" w:line="269" w:lineRule="auto"/>
            </w:pPr>
            <w:r>
              <w:rPr>
                <w:rFonts w:ascii="Noto Sans" w:hAnsi="Noto Sans" w:eastAsia="Noto Sans" w:cs="Noto Sans"/>
                <w:b w:val="0"/>
                <w:color w:val="1F2937"/>
                <w:sz w:val="19"/>
              </w:rPr>
              <w:t>Сначала импортировать bibliographic metadata и внешний URL. Затем — только явно разрешённые файлы. Derived OCR/sign data публиковать отдельно и только после фиксации source asset, license, coverage и scholarly uncertainty.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" w:hAnsi="Noto Serif" w:eastAsia="Noto Serif" w:cs="Noto Serif"/>
          <w:b/>
          <w:color w:val="083842"/>
          <w:sz w:val="36"/>
        </w:rPr>
        <w:t>6. Пробелы и дальнейший поиск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Лист gaps содержит 16 отдельных записей. Ниже перечислены пробелы, которые реально меняют научную или правовую полезность пакета, а не просто добавляют ещё одну вторичную ссылку.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6.1. Неподтверждённые или недоступные объекты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Пробел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Что именно отсутствует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Четыре «новых Isthmian examples» 2025 года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В исходном DR заявлены, но привязанная ссылка не подтверждает такую публикацию. Требуется DOI, journal record, institutional report или item-level museum evidence. Кандидат не внесён в registry как установленный объект.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Cerro de las Mesas Stela 15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FAMSI указывает, что памятник был недоступен и его местонахождение неизвестно. Нужен provenance trace и хотя бы историческая фотография.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Tuxtla Smithsonian item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Официальный ID известен, но страница возвращала unavailable/404 при автоматической проверке. Нужна ручная проверка canonical URL, изображений и rights.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Cascajal permanent item page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Есть выставочные и context pages MNA, но не найден устойчивый inventory-level record с IIIF/download/rights.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La Mojarra official holding record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Не подтверждены current custodian, inventory number и institution-level item page.</w:t>
            </w:r>
          </w:p>
        </w:tc>
      </w:tr>
    </w:tbl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6.2. Права и техническая инфраструктура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Главный rights bottleneck — не отсутствие доступа, а отсутствие явного reuse permission у самых богатых фотографических и эпиграфических ресурсов. Одна письменная clarification от FAMSI могла бы затронуть portal report и множество witness albums; аналогично для Glyph Dwellers и BYU/NWAF.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FAMSI: </w:t>
      </w:r>
      <w:r>
        <w:rPr>
          <w:rFonts w:ascii="Noto Sans" w:hAnsi="Noto Sans" w:eastAsia="Noto Sans" w:cs="Noto Sans"/>
          <w:sz w:val="19"/>
        </w:rPr>
        <w:t>уточнить noncommercial mirroring, embedded images, derivative tracings, OCR, sign segmentation и bulk access.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BYU/NWAF: </w:t>
      </w:r>
      <w:r>
        <w:rPr>
          <w:rFonts w:ascii="Noto Sans" w:hAnsi="Noto Sans" w:eastAsia="Noto Sans" w:cs="Noto Sans"/>
          <w:sz w:val="19"/>
        </w:rPr>
        <w:t>получить component-level terms для scans, OCR/text, IIIF и metadata.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Glyph Dwellers: </w:t>
      </w:r>
      <w:r>
        <w:rPr>
          <w:rFonts w:ascii="Noto Sans" w:hAnsi="Noto Sans" w:eastAsia="Noto Sans" w:cs="Noto Sans"/>
          <w:sz w:val="19"/>
        </w:rPr>
        <w:t>уточнить возможность зеркалирования PDF и публикации derived sign tables.</w:t>
      </w:r>
    </w:p>
    <w:p>
      <w:pPr>
        <w:pStyle w:val="ListBullet"/>
        <w:spacing w:after="40"/>
        <w:ind w:left="283" w:hanging="170"/>
      </w:pPr>
      <w:r>
        <w:rPr>
          <w:rFonts w:ascii="Noto Sans" w:hAnsi="Noto Sans" w:eastAsia="Noto Sans" w:cs="Noto Sans"/>
          <w:b/>
          <w:color w:val="083842"/>
          <w:sz w:val="19"/>
        </w:rPr>
        <w:t xml:space="preserve">Machine-readable corpus: </w:t>
      </w:r>
      <w:r>
        <w:rPr>
          <w:rFonts w:ascii="Noto Sans" w:hAnsi="Noto Sans" w:eastAsia="Noto Sans" w:cs="Noto Sans"/>
          <w:sz w:val="19"/>
        </w:rPr>
        <w:t>найти либо создать authoritative, provenance-audited release с явной лицензией, witness mapping и version history.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6.3. Научные и библиографические пробелы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Не найден подтверждённый официальный full-text route к Houston &amp; Coe 2003, ключевому skeptical response на полную дешифровку. Нужен publisher или author-repository record. Также требует ручной проверки библиография UV/UNAM La Mojarra copies: direct PDF полезен, но title page, series, date и rights должны быть подтверждены item-level metadata.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Связь с Classic Veracruz сохранена только как follow-up. Общая география, поздняя дата и монументальность не являются достаточными доказательствами continuation. Для включения нужны конкретные sign continuities, цитирование/переработка, институциональный handoff или сильный специализированный аргумент.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Humboldt Celt, Tlaltenco и некоторые другие раннеолмекские sign objects оставлены как unverified candidates: они могут расширить backward contour, но требуют museum records, excavation provenance и оценки writing-versus-iconography.</w:t>
      </w:r>
    </w:p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6.4. Ссылки, которые не удалось полноценно проверить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Объект/источник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Состояние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0B4F5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Режим в registry/gaps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Smithsonian Tuxtla object page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официальный ID, но automated unavailable/404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metadata_only + temporarily_unavailable; ручная проверка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Universidad Veracruzana La Mojarra landing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anti-bot/blocked; direct PDF surfaced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low rights confidence; institutional link retained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Albany EOTEXTS PDF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direct author-hosted URL записан, automated fetch unavailable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low rights confidence; no mirror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Mesoweb Winfield PDF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файл слишком велик для parser, direct link identified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  <w:shd w:fill="F4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download route retained; no open license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UNAM publ_5.pdf lead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не подтверждён item-level metadata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6"/>
              </w:rPr>
              <w:t>gaps, не registry</w:t>
            </w:r>
          </w:p>
        </w:tc>
      </w:tr>
    </w:tbl>
    <w:p>
      <w:pPr>
        <w:pStyle w:val="Heading2"/>
      </w:pPr>
      <w:r>
        <w:rPr>
          <w:rFonts w:ascii="Noto Serif" w:hAnsi="Noto Serif" w:eastAsia="Noto Serif" w:cs="Noto Serif"/>
          <w:b/>
          <w:color w:val="083842"/>
          <w:sz w:val="28"/>
        </w:rPr>
        <w:t>6.5. Targeted follow-up: приоритетная очередь</w:t>
      </w:r>
    </w:p>
    <w:p>
      <w:pPr>
        <w:pStyle w:val="ListNumber"/>
        <w:spacing w:after="60"/>
        <w:ind w:left="283" w:hanging="170"/>
      </w:pPr>
      <w:r>
        <w:rPr>
          <w:rFonts w:ascii="Noto Sans" w:hAnsi="Noto Sans" w:eastAsia="Noto Sans" w:cs="Noto Sans"/>
          <w:color w:val="1F2937"/>
          <w:sz w:val="19"/>
        </w:rPr>
        <w:t>Написать в MNA/INAH с запросом permanent item/inventory record, IIIF или разрешённое изображение Cascajal Block и точные условия metadata harvesting.</w:t>
      </w:r>
    </w:p>
    <w:p>
      <w:pPr>
        <w:pStyle w:val="ListNumber"/>
        <w:spacing w:after="60"/>
        <w:ind w:left="283" w:hanging="170"/>
      </w:pPr>
      <w:r>
        <w:rPr>
          <w:rFonts w:ascii="Noto Sans" w:hAnsi="Noto Sans" w:eastAsia="Noto Sans" w:cs="Noto Sans"/>
          <w:color w:val="1F2937"/>
          <w:sz w:val="19"/>
        </w:rPr>
        <w:t>Установить current custodian и inventory number La Mojarra Stela 1; получить официальный item-level record и rights statement.</w:t>
      </w:r>
    </w:p>
    <w:p>
      <w:pPr>
        <w:pStyle w:val="ListNumber"/>
        <w:spacing w:after="60"/>
        <w:ind w:left="283" w:hanging="170"/>
      </w:pPr>
      <w:r>
        <w:rPr>
          <w:rFonts w:ascii="Noto Sans" w:hAnsi="Noto Sans" w:eastAsia="Noto Sans" w:cs="Noto Sans"/>
          <w:color w:val="1F2937"/>
          <w:sz w:val="19"/>
        </w:rPr>
        <w:t>Ручно восстановить Smithsonian Tuxtla page, зафиксировать canonical URL, credit line, digital-image rights и API/IIIF endpoints.</w:t>
      </w:r>
    </w:p>
    <w:p>
      <w:pPr>
        <w:pStyle w:val="ListNumber"/>
        <w:spacing w:after="60"/>
        <w:ind w:left="283" w:hanging="170"/>
      </w:pPr>
      <w:r>
        <w:rPr>
          <w:rFonts w:ascii="Noto Sans" w:hAnsi="Noto Sans" w:eastAsia="Noto Sans" w:cs="Noto Sans"/>
          <w:color w:val="1F2937"/>
          <w:sz w:val="19"/>
        </w:rPr>
        <w:t>Запросить у FAMSI единое письменное разрешение или лицензионную clarification для report 05084 и witness albums.</w:t>
      </w:r>
    </w:p>
    <w:p>
      <w:pPr>
        <w:pStyle w:val="ListNumber"/>
        <w:spacing w:after="60"/>
        <w:ind w:left="283" w:hanging="170"/>
      </w:pPr>
      <w:r>
        <w:rPr>
          <w:rFonts w:ascii="Noto Sans" w:hAnsi="Noto Sans" w:eastAsia="Noto Sans" w:cs="Noto Sans"/>
          <w:color w:val="1F2937"/>
          <w:sz w:val="19"/>
        </w:rPr>
        <w:t>Запросить у BYU/NWAF component-level policy для scans, OCR, IIIF и noncommercial public indexing.</w:t>
      </w:r>
    </w:p>
    <w:p>
      <w:pPr>
        <w:pStyle w:val="ListNumber"/>
        <w:spacing w:after="60"/>
        <w:ind w:left="283" w:hanging="170"/>
      </w:pPr>
      <w:r>
        <w:rPr>
          <w:rFonts w:ascii="Noto Sans" w:hAnsi="Noto Sans" w:eastAsia="Noto Sans" w:cs="Noto Sans"/>
          <w:color w:val="1F2937"/>
          <w:sz w:val="19"/>
        </w:rPr>
        <w:t>Связаться с Glyph Dwellers/Macri по лицензии PDF, drawings и derived sign data; отдельно сверить возможность citation-level reuse.</w:t>
      </w:r>
    </w:p>
    <w:p>
      <w:pPr>
        <w:pStyle w:val="ListNumber"/>
        <w:spacing w:after="60"/>
        <w:ind w:left="283" w:hanging="170"/>
      </w:pPr>
      <w:r>
        <w:rPr>
          <w:rFonts w:ascii="Noto Sans" w:hAnsi="Noto Sans" w:eastAsia="Noto Sans" w:cs="Noto Sans"/>
          <w:color w:val="1F2937"/>
          <w:sz w:val="19"/>
        </w:rPr>
        <w:t>Найти подтверждённую публикацию о четырёх новых Isthmian examples: DOI, excavation report, institution, object IDs и images.</w:t>
      </w:r>
    </w:p>
    <w:p>
      <w:pPr>
        <w:pStyle w:val="ListNumber"/>
        <w:spacing w:after="60"/>
        <w:ind w:left="283" w:hanging="170"/>
      </w:pPr>
      <w:r>
        <w:rPr>
          <w:rFonts w:ascii="Noto Sans" w:hAnsi="Noto Sans" w:eastAsia="Noto Sans" w:cs="Noto Sans"/>
          <w:color w:val="1F2937"/>
          <w:sz w:val="19"/>
        </w:rPr>
        <w:t>Найти законный publisher/author full text Houston &amp; Coe 2003 и связать его с pro-decipherment records как evidence of controversy.</w:t>
      </w:r>
    </w:p>
    <w:p>
      <w:pPr>
        <w:pStyle w:val="ListNumber"/>
        <w:spacing w:after="60"/>
        <w:ind w:left="283" w:hanging="170"/>
      </w:pPr>
      <w:r>
        <w:rPr>
          <w:rFonts w:ascii="Noto Sans" w:hAnsi="Noto Sans" w:eastAsia="Noto Sans" w:cs="Noto Sans"/>
          <w:color w:val="1F2937"/>
          <w:sz w:val="19"/>
        </w:rPr>
        <w:t>Следить за University of Cologne project releases и при появлении data/TEI/API сразу проверить component licenses.</w:t>
      </w:r>
    </w:p>
    <w:p>
      <w:pPr>
        <w:pStyle w:val="ListNumber"/>
        <w:spacing w:after="60"/>
        <w:ind w:left="283" w:hanging="170"/>
      </w:pPr>
      <w:r>
        <w:rPr>
          <w:rFonts w:ascii="Noto Sans" w:hAnsi="Noto Sans" w:eastAsia="Noto Sans" w:cs="Noto Sans"/>
          <w:color w:val="1F2937"/>
          <w:sz w:val="19"/>
        </w:rPr>
        <w:t>Провести отдельный micro-pass по Classic Veracruz transmission и ранним Olmec sign objects, включая Humboldt Celt/Tlaltenco, только по item-level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DEFF2"/>
            <w:tcBorders>
              <w:top w:sz="8" w:val="single" w:color="0B4F5C"/>
              <w:left w:sz="18" w:val="single" w:color="0B4F5C"/>
              <w:bottom w:sz="8" w:val="single" w:color="0B4F5C"/>
              <w:right w:sz="8" w:val="single" w:color="0B4F5C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" w:hAnsi="Noto Sans" w:eastAsia="Noto Sans" w:cs="Noto Sans"/>
                <w:b/>
                <w:color w:val="083842"/>
                <w:sz w:val="21"/>
              </w:rPr>
              <w:t>Что не следует делать в следующем проходе</w:t>
            </w:r>
          </w:p>
          <w:p>
            <w:pPr>
              <w:spacing w:after="0" w:line="269" w:lineRule="auto"/>
            </w:pPr>
            <w:r>
              <w:rPr>
                <w:rFonts w:ascii="Noto Sans" w:hAnsi="Noto Sans" w:eastAsia="Noto Sans" w:cs="Noto Sans"/>
                <w:b w:val="0"/>
                <w:color w:val="1F2937"/>
                <w:sz w:val="19"/>
              </w:rPr>
              <w:t>Не компенсировать отсутствие item pages общими порталами; не принимать поисковый snippet за публикацию; не расширять A47 до всей мезоамериканской письменности и не переносить status/rights одного monument на corpus.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erif" w:hAnsi="Noto Serif" w:eastAsia="Noto Serif" w:cs="Noto Serif"/>
          <w:b/>
          <w:color w:val="083842"/>
          <w:sz w:val="36"/>
        </w:rPr>
        <w:t>7. Итоговая оценка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520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Охват корпуса</w:t>
            </w:r>
          </w:p>
        </w:tc>
        <w:tc>
          <w:tcPr>
            <w:tcW w:type="dxa" w:w="69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Хороший для центральных объектов и основных access routes; средний для полного provenance mapping и музейных item-level записей.</w:t>
            </w:r>
          </w:p>
        </w:tc>
      </w:tr>
      <w:tr>
        <w:trPr>
          <w:cantSplit/>
        </w:trPr>
        <w:tc>
          <w:tcPr>
            <w:tcW w:type="dxa" w:w="2520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Доступность оригиналов</w:t>
            </w:r>
          </w:p>
        </w:tc>
        <w:tc>
          <w:tcPr>
            <w:tcW w:type="dxa" w:w="6983"/>
            <w:shd w:fill="F4F7F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Визуально хорошая благодаря FAMSI, Commons, MNA и историческим публикациям. Юридически свободный слой существенно уже, чем слой бесплатного просмотра.</w:t>
            </w:r>
          </w:p>
        </w:tc>
      </w:tr>
      <w:tr>
        <w:trPr>
          <w:cantSplit/>
        </w:trPr>
        <w:tc>
          <w:tcPr>
            <w:tcW w:type="dxa" w:w="2520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Доступность переводов</w:t>
            </w:r>
          </w:p>
        </w:tc>
        <w:tc>
          <w:tcPr>
            <w:tcW w:type="dxa" w:w="69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Общепринятого перевода нет. Есть защищённые и спорные decipherment proposals; их следует хранить как современную рецепцию, а не как установленный original-language edition.</w:t>
            </w:r>
          </w:p>
        </w:tc>
      </w:tr>
      <w:tr>
        <w:trPr>
          <w:cantSplit/>
        </w:trPr>
        <w:tc>
          <w:tcPr>
            <w:tcW w:type="dxa" w:w="2520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Наиболее свободный слой</w:t>
            </w:r>
          </w:p>
        </w:tc>
        <w:tc>
          <w:tcPr>
            <w:tcW w:type="dxa" w:w="6983"/>
            <w:shd w:fill="F4F7F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Commons CC BY/CC BY-SA фотографии и vector; public-domain Holmes material; Smithsonian No Copyright U.S. bulletin Stirling.</w:t>
            </w:r>
          </w:p>
        </w:tc>
      </w:tr>
      <w:tr>
        <w:trPr>
          <w:cantSplit/>
        </w:trPr>
        <w:tc>
          <w:tcPr>
            <w:tcW w:type="dxa" w:w="2520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Главные ограничения</w:t>
            </w:r>
          </w:p>
        </w:tc>
        <w:tc>
          <w:tcPr>
            <w:tcW w:type="dxa" w:w="69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Права на современные фотографии/рисунки/издания; строгие museum/publisher terms; отсутствие open authoritative machine-readable corpus; неполный provenance ряда переносных объектов.</w:t>
            </w:r>
          </w:p>
        </w:tc>
      </w:tr>
      <w:tr>
        <w:trPr>
          <w:cantSplit/>
        </w:trPr>
        <w:tc>
          <w:tcPr>
            <w:tcW w:type="dxa" w:w="2520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Хронологическое расширение</w:t>
            </w:r>
          </w:p>
        </w:tc>
        <w:tc>
          <w:tcPr>
            <w:tcW w:type="dxa" w:w="6983"/>
            <w:shd w:fill="F4F7F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Backward contour покрыт San Andrés и Chiapa de Corzo; forward contour покрыт историей публикаций, дешифровочных споров и современной research infrastructure. Древняя continuation не доказана.</w:t>
            </w:r>
          </w:p>
        </w:tc>
      </w:tr>
      <w:tr>
        <w:trPr>
          <w:cantSplit/>
        </w:trPr>
        <w:tc>
          <w:tcPr>
            <w:tcW w:type="dxa" w:w="2520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Статус A47</w:t>
            </w:r>
          </w:p>
        </w:tc>
        <w:tc>
          <w:tcPr>
            <w:tcW w:type="dxa" w:w="69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Сохранить C / confidence 2. Реестр усиливает ценность узла как frontier of writing, но не даёт оснований повысить его до читаемого философского корпуса.</w:t>
            </w:r>
          </w:p>
        </w:tc>
      </w:tr>
      <w:tr>
        <w:trPr>
          <w:cantSplit/>
        </w:trPr>
        <w:tc>
          <w:tcPr>
            <w:tcW w:type="dxa" w:w="2520"/>
            <w:shd w:fill="DDEFF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083842"/>
                <w:sz w:val="17"/>
              </w:rPr>
              <w:t>Готовность к Codex</w:t>
            </w:r>
          </w:p>
        </w:tc>
        <w:tc>
          <w:tcPr>
            <w:tcW w:type="dxa" w:w="6983"/>
            <w:shd w:fill="F4F7F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sz="4" w:val="single" w:color="D7E0E3"/>
              <w:left w:sz="4" w:val="single" w:color="D7E0E3"/>
              <w:bottom w:sz="4" w:val="single" w:color="D7E0E3"/>
              <w:right w:sz="4" w:val="single" w:color="D7E0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color w:val="1F2937"/>
                <w:sz w:val="17"/>
              </w:rPr>
              <w:t>Да. Registry нормализован до 32 полей, access routes разделены по объектам/версиям, rights scope и gaps явно размечены. Автоматическое скачивание/индексация должны уважать tos_use и RIGHTS_REVIEW_REQUIRED.</w:t>
            </w:r>
          </w:p>
        </w:tc>
      </w:tr>
    </w:tbl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Пакет пригоден для передачи Codex как исследовательская основа. Наиболее безопасная стратегия импорта — сначала bibliographic cards и внешние links; затем открыто лицензированные/PD assets; после этого локальные research copies без публичной раздачи; и только в последнюю очередь — ручная rights clearance для FAMSI, BYU, Glyph Dwellers, publisher и museum layers.</w:t>
      </w:r>
    </w:p>
    <w:p>
      <w:pPr>
        <w:spacing w:after="100" w:line="276" w:lineRule="auto"/>
      </w:pPr>
      <w:r>
        <w:rPr>
          <w:rFonts w:ascii="Noto Sans" w:hAnsi="Noto Sans" w:eastAsia="Noto Sans" w:cs="Noto Sans"/>
          <w:color w:val="1F2937"/>
          <w:sz w:val="20"/>
        </w:rPr>
        <w:t>Главная исследовательская ценность результата не в том, что он «перевёл» нерасшифрованный корпус, а в том, что он сделал границы знания операциональными: для каждого значимого объекта указано, где его увидеть, где скачать, где получить сильную научную оценку, какой компонент допускает обработку и где начинается зона разрешения или неопределённости.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DEFF2"/>
            <w:tcBorders>
              <w:top w:sz="8" w:val="single" w:color="0B4F5C"/>
              <w:left w:sz="18" w:val="single" w:color="0B4F5C"/>
              <w:bottom w:sz="8" w:val="single" w:color="0B4F5C"/>
              <w:right w:sz="8" w:val="single" w:color="0B4F5C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" w:hAnsi="Noto Sans" w:eastAsia="Noto Sans" w:cs="Noto Sans"/>
                <w:b/>
                <w:color w:val="083842"/>
                <w:sz w:val="21"/>
              </w:rPr>
              <w:t>Финальный вердикт</w:t>
            </w:r>
          </w:p>
          <w:p>
            <w:pPr>
              <w:spacing w:after="0" w:line="269" w:lineRule="auto"/>
            </w:pPr>
            <w:r>
              <w:rPr>
                <w:rFonts w:ascii="Noto Sans" w:hAnsi="Noto Sans" w:eastAsia="Noto Sans" w:cs="Noto Sans"/>
                <w:b w:val="0"/>
                <w:color w:val="1F2937"/>
                <w:sz w:val="19"/>
              </w:rPr>
              <w:t>A47 покрыт достаточно полно для следующего этапа ToS: 67 access-records, около 23 древних witnesses/corpus clusters и 16 явно оформленных gaps. Сильнейшая часть — карта законных путей доступа и разведение правовых слоёв; слабейшая — item-level музейная идентификация и отсутствие открытого authoritative Isthmian dataset.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Noto Sans" w:hAnsi="Noto Sans" w:eastAsia="Noto Sans" w:cs="Noto Sans"/>
        <w:color w:val="5B6573"/>
        <w:sz w:val="16"/>
      </w:rPr>
      <w:t xml:space="preserve">A47 · ToS Corpus &amp; Rights Registry · 2026-09-04 · </w:t>
    </w:r>
    <w:r>
      <w:rPr>
        <w:rFonts w:ascii="Noto Sans" w:hAnsi="Noto Sans" w:eastAsia="Noto Sans" w:cs="Noto Sans"/>
        <w:color w:val="5B6573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" w:hAnsi="Noto Sans" w:eastAsia="Noto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/>
      <w:outlineLvl w:val="0"/>
    </w:pPr>
    <w:rPr>
      <w:rFonts w:asciiTheme="majorHAnsi" w:eastAsiaTheme="majorEastAsia" w:hAnsiTheme="majorHAnsi" w:cstheme="majorBidi" w:ascii="Noto Serif" w:hAnsi="Noto Serif" w:eastAsia="Noto Serif"/>
      <w:b/>
      <w:bCs/>
      <w:color w:val="08384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erif" w:hAnsi="Noto Serif" w:eastAsia="Noto Serif"/>
      <w:b/>
      <w:bCs/>
      <w:color w:val="08384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erif" w:hAnsi="Noto Serif" w:eastAsia="Noto Serif"/>
      <w:b/>
      <w:bCs/>
      <w:color w:val="0B4F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Noto Serif" w:hAnsi="Noto Serif" w:eastAsia="Noto Serif"/>
      <w:b/>
      <w:color w:val="08384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Noto Sans" w:hAnsi="Noto Sans" w:eastAsia="Noto Sans"/>
      <w:i/>
      <w:iCs/>
      <w:color w:val="5B65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 w:eastAsia="Noto Sans"/>
      <w:color w:val="1F2937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 w:eastAsia="Noto Sans"/>
      <w:color w:val="1F2937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ambridge.org/core/journals/ancient-mesoamerica/article/digital-imaging-and-archaeometric-analysis-of-the-cascajal-block-establishing-context-and-authenticity-for-the-earliest-known-olmec-text/42B1EB580DAA062892886EA04F115046" TargetMode="External"/><Relationship Id="rId11" Type="http://schemas.openxmlformats.org/officeDocument/2006/relationships/hyperlink" Target="https://revistas.inah.gob.mx/index.php/arqueologia/article/view/3665/3549" TargetMode="External"/><Relationship Id="rId12" Type="http://schemas.openxmlformats.org/officeDocument/2006/relationships/hyperlink" Target="https://www.science.org/doi/10.1126/science.1131492" TargetMode="External"/><Relationship Id="rId13" Type="http://schemas.openxmlformats.org/officeDocument/2006/relationships/hyperlink" Target="https://www.cambridge.org/core/journals/ancient-mesoamerica/article/cascajal-block-new-line-drawing-distributional-analysis-and-orthographic-patterns/8B5B8E983E948285003C46EF451ABCC5" TargetMode="External"/><Relationship Id="rId14" Type="http://schemas.openxmlformats.org/officeDocument/2006/relationships/hyperlink" Target="https://academic.oup.com/edited-volume/61667/chapter/540837516" TargetMode="External"/><Relationship Id="rId15" Type="http://schemas.openxmlformats.org/officeDocument/2006/relationships/hyperlink" Target="https://mna.inah.gob.mx/detalle_pieza_mes.php?id=353" TargetMode="External"/><Relationship Id="rId16" Type="http://schemas.openxmlformats.org/officeDocument/2006/relationships/hyperlink" Target="https://www.famsi.org/reports/05084/LaMojarraMain.pdf" TargetMode="External"/><Relationship Id="rId17" Type="http://schemas.openxmlformats.org/officeDocument/2006/relationships/hyperlink" Target="https://www.famsi.org/reports/05084/LaMojarraSide.pdf" TargetMode="External"/><Relationship Id="rId18" Type="http://schemas.openxmlformats.org/officeDocument/2006/relationships/hyperlink" Target="https://www.mesoweb.com/bearc/cmr/RRAMW16.pdf" TargetMode="External"/><Relationship Id="rId19" Type="http://schemas.openxmlformats.org/officeDocument/2006/relationships/hyperlink" Target="https://cdigital.uv.mx/" TargetMode="External"/><Relationship Id="rId20" Type="http://schemas.openxmlformats.org/officeDocument/2006/relationships/hyperlink" Target="https://commons.wikimedia.org/wiki/File:La_Mojarra_Estela_1.jpg" TargetMode="External"/><Relationship Id="rId21" Type="http://schemas.openxmlformats.org/officeDocument/2006/relationships/hyperlink" Target="https://commons.wikimedia.org/wiki/File:La_Mojarra_Estela_1_(Detalle)_cropped.jpg" TargetMode="External"/><Relationship Id="rId22" Type="http://schemas.openxmlformats.org/officeDocument/2006/relationships/hyperlink" Target="https://commons.wikimedia.org/wiki/File:La_Mojarra_Inscription_and_Long_Count_date.jpg" TargetMode="External"/><Relationship Id="rId23" Type="http://schemas.openxmlformats.org/officeDocument/2006/relationships/hyperlink" Target="https://www.science.org/doi/10.1126/science.259.5102.1703" TargetMode="External"/><Relationship Id="rId24" Type="http://schemas.openxmlformats.org/officeDocument/2006/relationships/hyperlink" Target="https://www.science.org/doi/10.1126/science.277.5323.207" TargetMode="External"/><Relationship Id="rId25" Type="http://schemas.openxmlformats.org/officeDocument/2006/relationships/hyperlink" Target="https://www.albany.edu/" TargetMode="External"/><Relationship Id="rId26" Type="http://schemas.openxmlformats.org/officeDocument/2006/relationships/hyperlink" Target="https://www.oupress.com/9780806196091/the-isthmian-script/" TargetMode="External"/><Relationship Id="rId27" Type="http://schemas.openxmlformats.org/officeDocument/2006/relationships/hyperlink" Target="https://commons.wikimedia.org/wiki/File:Estatuilla_de_Tuxtla.jpg" TargetMode="External"/><Relationship Id="rId28" Type="http://schemas.openxmlformats.org/officeDocument/2006/relationships/hyperlink" Target="https://commons.wikimedia.org/wiki/File:Tuxtla_Statuette_-_W._H._Holmes_-_photo_front.jpg" TargetMode="External"/><Relationship Id="rId29" Type="http://schemas.openxmlformats.org/officeDocument/2006/relationships/hyperlink" Target="https://anthrosource.onlinelibrary.wiley.com/doi/10.1525/aa.1907.9.4.02a00030" TargetMode="External"/><Relationship Id="rId30" Type="http://schemas.openxmlformats.org/officeDocument/2006/relationships/hyperlink" Target="https://commons.wikimedia.org/wiki/File:Tuxtla_Statuette.svg" TargetMode="External"/><Relationship Id="rId31" Type="http://schemas.openxmlformats.org/officeDocument/2006/relationships/hyperlink" Target="https://contentdm.lib.byu.edu/digital/collection/NWAF/id/14633/" TargetMode="External"/><Relationship Id="rId32" Type="http://schemas.openxmlformats.org/officeDocument/2006/relationships/hyperlink" Target="https://openlibrary.org/books/OL32994938M/Further_investigations_of_the_Tuxtla_script" TargetMode="External"/><Relationship Id="rId33" Type="http://schemas.openxmlformats.org/officeDocument/2006/relationships/hyperlink" Target="https://www.cambridge.org/core/journals/latin-american-antiquity/article/tuxtla-script-steps-toward-decipherment-based-on-la-mojarra-stela-1/AE6ABC54E3CFC310A4922C0507C4D288" TargetMode="External"/><Relationship Id="rId34" Type="http://schemas.openxmlformats.org/officeDocument/2006/relationships/hyperlink" Target="https://www.si.edu/object/tuxtla-statuette%3Anmnhanthropology_8054511" TargetMode="External"/><Relationship Id="rId35" Type="http://schemas.openxmlformats.org/officeDocument/2006/relationships/hyperlink" Target="https://www.famsi.org/reports/05084/index.html" TargetMode="External"/><Relationship Id="rId36" Type="http://schemas.openxmlformats.org/officeDocument/2006/relationships/hyperlink" Target="https://www.famsi.org/reports/05084/TresZapotesStC-Upper.pdf" TargetMode="External"/><Relationship Id="rId37" Type="http://schemas.openxmlformats.org/officeDocument/2006/relationships/hyperlink" Target="https://www.famsi.org/reports/05084/TresZapotesStC-Lower.pdf" TargetMode="External"/><Relationship Id="rId38" Type="http://schemas.openxmlformats.org/officeDocument/2006/relationships/hyperlink" Target="https://repository.si.edu/items/5b392fcc-26f1-4329-be46-e35cd4778272" TargetMode="External"/><Relationship Id="rId39" Type="http://schemas.openxmlformats.org/officeDocument/2006/relationships/hyperlink" Target="https://contentdm.lib.byu.edu/digital/collection/NWAF/id/10328/" TargetMode="External"/><Relationship Id="rId40" Type="http://schemas.openxmlformats.org/officeDocument/2006/relationships/hyperlink" Target="https://glyphdwellers.com/" TargetMode="External"/><Relationship Id="rId41" Type="http://schemas.openxmlformats.org/officeDocument/2006/relationships/hyperlink" Target="https://www.mesoweb.com/reports/isthmian.html" TargetMode="External"/><Relationship Id="rId42" Type="http://schemas.openxmlformats.org/officeDocument/2006/relationships/hyperlink" Target="https://www.science.org/doi/10.1126/science.1078474" TargetMode="External"/><Relationship Id="rId43" Type="http://schemas.openxmlformats.org/officeDocument/2006/relationships/hyperlink" Target="https://glyphdwellers.com/pdf/R51.pdf" TargetMode="External"/><Relationship Id="rId44" Type="http://schemas.openxmlformats.org/officeDocument/2006/relationships/hyperlink" Target="https://glyphdwellers.com/pdf/R53.pdf" TargetMode="External"/><Relationship Id="rId45" Type="http://schemas.openxmlformats.org/officeDocument/2006/relationships/hyperlink" Target="https://glyphdwellers.com/pdf/R55.pdf" TargetMode="External"/><Relationship Id="rId46" Type="http://schemas.openxmlformats.org/officeDocument/2006/relationships/hyperlink" Target="https://github.com/chemvatho/isthmian-script" TargetMode="External"/><Relationship Id="rId47" Type="http://schemas.openxmlformats.org/officeDocument/2006/relationships/hyperlink" Target="https://uni-koeln.de/en/university/news/news/press-releases/single-news/deciphering-a-writing-system-millions-in-funding-for-research-into-indigenous-langu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A47</dc:title>
  <dc:subject>America — Epi-Olmec / Cascajal frontier</dc:subject>
  <dc:creator>ToS research workflow</dc:creator>
  <cp:keywords>ToS, A47, Epi-Olmec, Isthmian, Cascajal, corpus, rights</cp:keywords>
  <dc:description>Research registry; not legal advice.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