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ToS Corpus &amp; Rights Registry</w:t>
      </w:r>
    </w:p>
    <w:p>
      <w:pPr>
        <w:pStyle w:val="Subtitle"/>
        <w:widowControl/>
      </w:pPr>
      <w:r>
        <w:t>T2-28 — Средневековая политическая философия</w:t>
        <w:br/>
        <w:t>папства, империи и города</w:t>
      </w:r>
    </w:p>
    <w:p>
      <w:pPr>
        <w:widowControl/>
        <w:ind w:left="173"/>
        <w:shd w:fill="EAF1F5"/>
      </w:pPr>
      <w:r>
        <w:t>75 способов доступа · около 50 произведений и корпусных групп · 29 записей о пробелах</w:t>
        <w:br/>
        <w:t>Свободные, ограниченные, платные и каталожные входы.</w:t>
      </w:r>
    </w:p>
    <w:p>
      <w:pPr>
        <w:pStyle w:val="Heading1"/>
      </w:pPr>
      <w:r>
        <w:t>1. Паспорт</w:t>
      </w:r>
    </w:p>
    <w:p>
      <w:pPr>
        <w:widowControl/>
      </w:pPr>
      <w:r>
        <w:t>Строка T2-28, Таблица II. Исходный статус A, уверенность 4/5. Формирование: XII–XIV вв.; письменная фиксация и передача: XII–XV вв.; канонизация и комментарий: XIII–XV вв. Макрорегион: Европа. Эти поля приняты из исходного DR и не пересмотрены.</w:t>
      </w:r>
    </w:p>
    <w:p>
      <w:pPr>
        <w:widowControl/>
      </w:pPr>
      <w:r>
        <w:t>Источник: «ToS Deep Research: T2-28 — Средневековая политическая философия папства, империи и города», прикреплённый DOCX; использованы прежде всего паспорт, разделы 6, 12–17 и библиографические ссылки. Имя загруженного файла оканчивается на «города(1).docx». Исторический очерк не переписывался; графовые задачи исходного документа не выполнялись.</w:t>
      </w:r>
    </w:p>
    <w:p>
      <w:pPr>
        <w:widowControl/>
      </w:pPr>
      <w:r>
        <w:t>Дата проверки: 4 сентября 2026 года. Поисковые языки: русский, английский, латинские названия и инципиты, итальянский, французский, немецкий; дополнительно испаноязычные библиотечные метаданные и транслитерации арабских названий. Это языки запросов и описаний, не заявление о сплошном чтении корпуса на всех этих языках.</w:t>
      </w:r>
    </w:p>
    <w:p>
      <w:pPr>
        <w:widowControl/>
      </w:pPr>
      <w:r>
        <w:t>Ядром считались политические трактаты Данте, Марсилия, Оккама, Аквината и Птолемея Луккского, Эгидия Римского, Иоанна Парижского и Ремиджо; комментарии к Politica; документы папско-светской полемики и городской правовой фронтир Бартола. Искомые объекты: произведения, сборники, издания, переводы, рукописные и печатные свидетели, факсимиле, транскрипции, TEI, каталоги и сервисы.</w:t>
      </w:r>
    </w:p>
    <w:p>
      <w:pPr>
        <w:widowControl/>
      </w:pPr>
      <w:r>
        <w:t>Для доступа использованы издатели, академические проекты, национальные и университетские библиотеки, авторский редакторский архив, Project Gutenberg, Internet Archive, HathiTrust, Google Books и институциональные репозитории. Идентичность подтверждали по каталогам, титульным данным, ISBN, шифрам и описаниям критических изданий. Для прав приоритет имели item-level маркировка, лицензионный заголовок TEI, README набора данных и copyright-блок PDF.</w:t>
      </w:r>
    </w:p>
    <w:p>
      <w:pPr>
        <w:widowControl/>
      </w:pPr>
      <w:r>
        <w:t>Непроверенные указатели не получили статуса установленного объекта лишь благодаря поисковой выдаче. В gaps оставлены, в частности, недоказанные конкретные связи части концилиарной рецепции и Хукера, а для Фичино в Wikisource — вопрос об исходном издании. Wikipedia не используется в пакете как источник доступа, метаданных или прав.</w:t>
      </w:r>
    </w:p>
    <w:p>
      <w:pPr>
        <w:pStyle w:val="SmallNote"/>
        <w:widowControl/>
      </w:pPr>
      <w:r>
        <w:t>R045 означает запись T2-28-R045 в XLSX. Ссылки R… ниже открывают страницы доступа. Доказательства прав находятся в rights_evidence_url: ссылка доступа сама по себе не является лицензией.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Ядро DR и дополнения веб-поиска</w:t>
      </w:r>
    </w:p>
    <w:p>
      <w:pPr>
        <w:widowControl/>
      </w:pPr>
      <w:r>
        <w:t>Все основные семейства DR получили хотя бы один вход, но не одинаковую глубину. Для Monarchia найдены старые английские переводы, латинская editio princeps, современные научные издания, русский издательский вариант и ближайшая рецепция. Для Defensor pacis — латинское издание Scholz, перевод Brett, раннеанглийская переработка и карточка рукописного фрагмента; Defensor minor и De translatione imperii сохранены в отдельной антологии.</w:t>
      </w:r>
    </w:p>
    <w:p>
      <w:pPr>
        <w:pStyle w:val="SourceLine"/>
        <w:widowControl/>
      </w:pPr>
      <w:r>
        <w:t xml:space="preserve">Проверенные входы: </w:t>
      </w:r>
      <w:hyperlink r:id="rId11">
        <w:r>
          <w:rPr>
            <w:color w:val="245D90"/>
            <w:u w:val="single"/>
          </w:rPr>
          <w:t>R001</w:t>
        </w:r>
      </w:hyperlink>
      <w:r>
        <w:t xml:space="preserve">  ·  </w:t>
      </w:r>
      <w:hyperlink r:id="rId12">
        <w:r>
          <w:rPr>
            <w:color w:val="245D90"/>
            <w:u w:val="single"/>
          </w:rPr>
          <w:t>R007</w:t>
        </w:r>
      </w:hyperlink>
      <w:r>
        <w:t xml:space="preserve">  ·  </w:t>
      </w:r>
      <w:hyperlink r:id="rId13">
        <w:r>
          <w:rPr>
            <w:color w:val="245D90"/>
            <w:u w:val="single"/>
          </w:rPr>
          <w:t>R012</w:t>
        </w:r>
      </w:hyperlink>
      <w:r>
        <w:t xml:space="preserve">  ·  </w:t>
      </w:r>
      <w:hyperlink r:id="rId14">
        <w:r>
          <w:rPr>
            <w:color w:val="245D90"/>
            <w:u w:val="single"/>
          </w:rPr>
          <w:t>R013</w:t>
        </w:r>
      </w:hyperlink>
      <w:r>
        <w:t xml:space="preserve">  ·  </w:t>
      </w:r>
      <w:hyperlink r:id="rId15">
        <w:r>
          <w:rPr>
            <w:color w:val="245D90"/>
            <w:u w:val="single"/>
          </w:rPr>
          <w:t>R020</w:t>
        </w:r>
      </w:hyperlink>
      <w:r>
        <w:t xml:space="preserve">  ·  </w:t>
      </w:r>
      <w:hyperlink r:id="rId16">
        <w:r>
          <w:rPr>
            <w:color w:val="245D90"/>
            <w:u w:val="single"/>
          </w:rPr>
          <w:t>R034</w:t>
        </w:r>
      </w:hyperlink>
      <w:r>
        <w:t xml:space="preserve">  ·  </w:t>
      </w:r>
      <w:hyperlink r:id="rId17">
        <w:r>
          <w:rPr>
            <w:color w:val="245D90"/>
            <w:u w:val="single"/>
          </w:rPr>
          <w:t>R074</w:t>
        </w:r>
      </w:hyperlink>
    </w:p>
    <w:p>
      <w:pPr>
        <w:widowControl/>
      </w:pPr>
      <w:r>
        <w:t>Аквинат и продолжатели представлены раздельно: De regno, продолжение Птолемея, комментарий Аквината к Politica и продолжение Петра Овернского, политико-правовые loci Summa. У Эгидия разграничены De regimine principum и De ecclesiastica potestate; у Ремиджо — De bono comuni, De bono pacis и политические главы De misericordia. Оккам не сведён к Dialogus: сохранены Breviloquium, Opus nonaginta dierum, De imperatorum et pontificum potestate и выборочная антология с Letter и Octo quaestiones.</w:t>
      </w:r>
    </w:p>
    <w:p>
      <w:pPr>
        <w:pStyle w:val="SourceLine"/>
        <w:widowControl/>
      </w:pPr>
      <w:r>
        <w:t xml:space="preserve">Проверенные входы: </w:t>
      </w:r>
      <w:hyperlink r:id="rId18">
        <w:r>
          <w:rPr>
            <w:color w:val="245D90"/>
            <w:u w:val="single"/>
          </w:rPr>
          <w:t>R004</w:t>
        </w:r>
      </w:hyperlink>
      <w:r>
        <w:t xml:space="preserve">  ·  </w:t>
      </w:r>
      <w:hyperlink r:id="rId19">
        <w:r>
          <w:rPr>
            <w:color w:val="245D90"/>
            <w:u w:val="single"/>
          </w:rPr>
          <w:t>R005</w:t>
        </w:r>
      </w:hyperlink>
      <w:r>
        <w:t xml:space="preserve">  ·  </w:t>
      </w:r>
      <w:hyperlink r:id="rId20">
        <w:r>
          <w:rPr>
            <w:color w:val="245D90"/>
            <w:u w:val="single"/>
          </w:rPr>
          <w:t>R017</w:t>
        </w:r>
      </w:hyperlink>
      <w:r>
        <w:t xml:space="preserve">  ·  </w:t>
      </w:r>
      <w:hyperlink r:id="rId21">
        <w:r>
          <w:rPr>
            <w:color w:val="245D90"/>
            <w:u w:val="single"/>
          </w:rPr>
          <w:t>R021</w:t>
        </w:r>
      </w:hyperlink>
      <w:r>
        <w:t xml:space="preserve">  ·  </w:t>
      </w:r>
      <w:hyperlink r:id="rId22">
        <w:r>
          <w:rPr>
            <w:color w:val="245D90"/>
            <w:u w:val="single"/>
          </w:rPr>
          <w:t>R022</w:t>
        </w:r>
      </w:hyperlink>
      <w:r>
        <w:t xml:space="preserve">  ·  </w:t>
      </w:r>
      <w:hyperlink r:id="rId23">
        <w:r>
          <w:rPr>
            <w:color w:val="245D90"/>
            <w:u w:val="single"/>
          </w:rPr>
          <w:t>R023</w:t>
        </w:r>
      </w:hyperlink>
      <w:r>
        <w:t xml:space="preserve">  ·  </w:t>
      </w:r>
      <w:hyperlink r:id="rId24">
        <w:r>
          <w:rPr>
            <w:color w:val="245D90"/>
            <w:u w:val="single"/>
          </w:rPr>
          <w:t>R030</w:t>
        </w:r>
      </w:hyperlink>
      <w:r>
        <w:t xml:space="preserve">  ·  </w:t>
      </w:r>
      <w:hyperlink r:id="rId25">
        <w:r>
          <w:rPr>
            <w:color w:val="245D90"/>
            <w:u w:val="single"/>
          </w:rPr>
          <w:t>R035</w:t>
        </w:r>
      </w:hyperlink>
      <w:r>
        <w:t xml:space="preserve">  ·  </w:t>
      </w:r>
      <w:hyperlink r:id="rId26">
        <w:r>
          <w:rPr>
            <w:color w:val="245D90"/>
            <w:u w:val="single"/>
          </w:rPr>
          <w:t>R036</w:t>
        </w:r>
      </w:hyperlink>
      <w:r>
        <w:t xml:space="preserve">  ·  </w:t>
      </w:r>
      <w:hyperlink r:id="rId27">
        <w:r>
          <w:rPr>
            <w:color w:val="245D90"/>
            <w:u w:val="single"/>
          </w:rPr>
          <w:t>R048</w:t>
        </w:r>
      </w:hyperlink>
      <w:r>
        <w:t xml:space="preserve">  ·  </w:t>
      </w:r>
      <w:hyperlink r:id="rId28">
        <w:r>
          <w:rPr>
            <w:color w:val="245D90"/>
            <w:u w:val="single"/>
          </w:rPr>
          <w:t>R049</w:t>
        </w:r>
      </w:hyperlink>
      <w:r>
        <w:t xml:space="preserve">  ·  </w:t>
      </w:r>
      <w:hyperlink r:id="rId29">
        <w:r>
          <w:rPr>
            <w:color w:val="245D90"/>
            <w:u w:val="single"/>
          </w:rPr>
          <w:t>R066</w:t>
        </w:r>
      </w:hyperlink>
      <w:r>
        <w:t xml:space="preserve">  ·  </w:t>
      </w:r>
      <w:hyperlink r:id="rId30">
        <w:r>
          <w:rPr>
            <w:color w:val="245D90"/>
            <w:u w:val="single"/>
          </w:rPr>
          <w:t>R068</w:t>
        </w:r>
      </w:hyperlink>
      <w:r>
        <w:t xml:space="preserve">  ·  </w:t>
      </w:r>
      <w:hyperlink r:id="rId31">
        <w:r>
          <w:rPr>
            <w:color w:val="245D90"/>
            <w:u w:val="single"/>
          </w:rPr>
          <w:t>R070</w:t>
        </w:r>
      </w:hyperlink>
      <w:r>
        <w:t xml:space="preserve">  ·  </w:t>
      </w:r>
      <w:hyperlink r:id="rId32">
        <w:r>
          <w:rPr>
            <w:color w:val="245D90"/>
            <w:u w:val="single"/>
          </w:rPr>
          <w:t>R075</w:t>
        </w:r>
      </w:hyperlink>
    </w:p>
    <w:p>
      <w:pPr>
        <w:widowControl/>
      </w:pPr>
      <w:r>
        <w:t>Веб-поиск добавил Якова Витербского, Augustinus Triumphus, Энгельберта Адмонтского, Лупольда Бебенбургского, отдельное письмо Аквината о правлении, комментатора Данте Колу ди Риенцо и конкретные раннепечатные/рукописные носители. Основание включения — та же линия трактатов о церковной, имперской и городской власти, продолжение комментария либо сохранение текста, а не принадлежность ко всей средневековой культуре.</w:t>
      </w:r>
    </w:p>
    <w:p>
      <w:pPr>
        <w:pStyle w:val="SourceLine"/>
        <w:widowControl/>
      </w:pPr>
      <w:r>
        <w:t xml:space="preserve">Проверенные входы: </w:t>
      </w:r>
      <w:hyperlink r:id="rId33">
        <w:r>
          <w:rPr>
            <w:color w:val="245D90"/>
            <w:u w:val="single"/>
          </w:rPr>
          <w:t>R024</w:t>
        </w:r>
      </w:hyperlink>
      <w:r>
        <w:t xml:space="preserve">  ·  </w:t>
      </w:r>
      <w:hyperlink r:id="rId34">
        <w:r>
          <w:rPr>
            <w:color w:val="245D90"/>
            <w:u w:val="single"/>
          </w:rPr>
          <w:t>R047</w:t>
        </w:r>
      </w:hyperlink>
      <w:r>
        <w:t xml:space="preserve">  ·  </w:t>
      </w:r>
      <w:hyperlink r:id="rId35">
        <w:r>
          <w:rPr>
            <w:color w:val="245D90"/>
            <w:u w:val="single"/>
          </w:rPr>
          <w:t>R058</w:t>
        </w:r>
      </w:hyperlink>
      <w:r>
        <w:t xml:space="preserve">  ·  </w:t>
      </w:r>
      <w:hyperlink r:id="rId36">
        <w:r>
          <w:rPr>
            <w:color w:val="245D90"/>
            <w:u w:val="single"/>
          </w:rPr>
          <w:t>R059</w:t>
        </w:r>
      </w:hyperlink>
      <w:r>
        <w:t xml:space="preserve">  ·  </w:t>
      </w:r>
      <w:hyperlink r:id="rId37">
        <w:r>
          <w:rPr>
            <w:color w:val="245D90"/>
            <w:u w:val="single"/>
          </w:rPr>
          <w:t>R062</w:t>
        </w:r>
      </w:hyperlink>
      <w:r>
        <w:t xml:space="preserve">  ·  </w:t>
      </w:r>
      <w:hyperlink r:id="rId38">
        <w:r>
          <w:rPr>
            <w:color w:val="245D90"/>
            <w:u w:val="single"/>
          </w:rPr>
          <w:t>R064</w:t>
        </w:r>
      </w:hyperlink>
      <w:r>
        <w:t xml:space="preserve">  ·  </w:t>
      </w:r>
      <w:hyperlink r:id="rId39">
        <w:r>
          <w:rPr>
            <w:color w:val="245D90"/>
            <w:u w:val="single"/>
          </w:rPr>
          <w:t>R065</w:t>
        </w:r>
      </w:hyperlink>
    </w:p>
    <w:p>
      <w:pPr>
        <w:pStyle w:val="Heading2"/>
      </w:pPr>
      <w:r>
        <w:t>2.2. Проход назад: ранние источники</w:t>
      </w:r>
    </w:p>
    <w:p>
      <w:pPr>
        <w:widowControl/>
      </w:pPr>
      <w:r>
        <w:t>Главный античный вход — Politica. Реестр различает греческий текст Perseus, английский Rackham, старый перевод Ellis и средневековый латинский канал Мёрбеке. Ethica Nicomachea представлена идентификацией переводов Aristoteles Latinus; её роль проверяется также по прямым ссылкам у Ремиджо. Доступный греческий текст не выдан за средневековую латинскую редакцию.</w:t>
      </w:r>
    </w:p>
    <w:p>
      <w:pPr>
        <w:pStyle w:val="SourceLine"/>
        <w:widowControl/>
      </w:pPr>
      <w:r>
        <w:t xml:space="preserve">Проверенные входы: </w:t>
      </w:r>
      <w:hyperlink r:id="rId40">
        <w:r>
          <w:rPr>
            <w:color w:val="245D90"/>
            <w:u w:val="single"/>
          </w:rPr>
          <w:t>R041</w:t>
        </w:r>
      </w:hyperlink>
      <w:r>
        <w:t xml:space="preserve">  ·  </w:t>
      </w:r>
      <w:hyperlink r:id="rId40">
        <w:r>
          <w:rPr>
            <w:color w:val="245D90"/>
            <w:u w:val="single"/>
          </w:rPr>
          <w:t>R042</w:t>
        </w:r>
      </w:hyperlink>
      <w:r>
        <w:t xml:space="preserve">  ·  </w:t>
      </w:r>
      <w:hyperlink r:id="rId41">
        <w:r>
          <w:rPr>
            <w:color w:val="245D90"/>
            <w:u w:val="single"/>
          </w:rPr>
          <w:t>R045</w:t>
        </w:r>
      </w:hyperlink>
      <w:r>
        <w:t xml:space="preserve">  ·  </w:t>
      </w:r>
      <w:hyperlink r:id="rId42">
        <w:r>
          <w:rPr>
            <w:color w:val="245D90"/>
            <w:u w:val="single"/>
          </w:rPr>
          <w:t>R046</w:t>
        </w:r>
      </w:hyperlink>
      <w:r>
        <w:t xml:space="preserve">  ·  </w:t>
      </w:r>
      <w:hyperlink r:id="rId43">
        <w:r>
          <w:rPr>
            <w:color w:val="245D90"/>
            <w:u w:val="single"/>
          </w:rPr>
          <w:t>R056</w:t>
        </w:r>
      </w:hyperlink>
      <w:r>
        <w:t xml:space="preserve">  ·  </w:t>
      </w:r>
      <w:hyperlink r:id="rId32">
        <w:r>
          <w:rPr>
            <w:color w:val="245D90"/>
            <w:u w:val="single"/>
          </w:rPr>
          <w:t>R075</w:t>
        </w:r>
      </w:hyperlink>
    </w:p>
    <w:p>
      <w:pPr>
        <w:widowControl/>
      </w:pPr>
      <w:r>
        <w:t>Геласиево Famulae pietatis / Duo sunt, книга XIX De civitate Dei и Constitutum Constantini включены как источники спора о двух властях, мире и имперском полномочии. У «Дара Константина» средневековая композиция отделена от приписываемого ей императорского происхождения. Правовой вход ограничен Corpus iuris canonici, Liber Extra и Institutiones Юстиниана: он нужен для аргументов о юрисдикции и lex regia, а не для поглощения соседней истории права.</w:t>
      </w:r>
    </w:p>
    <w:p>
      <w:pPr>
        <w:pStyle w:val="SourceLine"/>
        <w:widowControl/>
      </w:pPr>
      <w:r>
        <w:t xml:space="preserve">Проверенные входы: </w:t>
      </w:r>
      <w:hyperlink r:id="rId44">
        <w:r>
          <w:rPr>
            <w:color w:val="245D90"/>
            <w:u w:val="single"/>
          </w:rPr>
          <w:t>R038</w:t>
        </w:r>
      </w:hyperlink>
      <w:r>
        <w:t xml:space="preserve">  ·  </w:t>
      </w:r>
      <w:hyperlink r:id="rId45">
        <w:r>
          <w:rPr>
            <w:color w:val="245D90"/>
            <w:u w:val="single"/>
          </w:rPr>
          <w:t>R039</w:t>
        </w:r>
      </w:hyperlink>
      <w:r>
        <w:t xml:space="preserve">  ·  </w:t>
      </w:r>
      <w:hyperlink r:id="rId46">
        <w:r>
          <w:rPr>
            <w:color w:val="245D90"/>
            <w:u w:val="single"/>
          </w:rPr>
          <w:t>R040</w:t>
        </w:r>
      </w:hyperlink>
      <w:r>
        <w:t xml:space="preserve">  ·  </w:t>
      </w:r>
      <w:hyperlink r:id="rId47">
        <w:r>
          <w:rPr>
            <w:color w:val="245D90"/>
            <w:u w:val="single"/>
          </w:rPr>
          <w:t>R054</w:t>
        </w:r>
      </w:hyperlink>
      <w:r>
        <w:t xml:space="preserve">  ·  </w:t>
      </w:r>
      <w:hyperlink r:id="rId48">
        <w:r>
          <w:rPr>
            <w:color w:val="245D90"/>
            <w:u w:val="single"/>
          </w:rPr>
          <w:t>R055</w:t>
        </w:r>
      </w:hyperlink>
      <w:r>
        <w:t xml:space="preserve">  ·  </w:t>
      </w:r>
      <w:hyperlink r:id="rId49">
        <w:r>
          <w:rPr>
            <w:color w:val="245D90"/>
            <w:u w:val="single"/>
          </w:rPr>
          <w:t>R067</w:t>
        </w:r>
      </w:hyperlink>
    </w:p>
    <w:p>
      <w:pPr>
        <w:widowControl/>
      </w:pPr>
      <w:r>
        <w:t>Арабско-латинский контур ограничен столь же предметно. Большой комментарий Аверроэса к De anima выбран из-за линии аргумента о человеческом интеллекте в Monarchia. Аль-Фараби представлен De scientiis в передаче Герарда Кремонского и отдельной компиляцией Гундиссалина. Их значение как канала классификации наук подтверждено издательским введением; прямое влияние аль-Фараби на Данте остаётся открытым вопросом. Другие произведения о «добродетельном городе» автоматически не добавлены.</w:t>
      </w:r>
    </w:p>
    <w:p>
      <w:pPr>
        <w:pStyle w:val="SourceLine"/>
        <w:widowControl/>
      </w:pPr>
      <w:r>
        <w:t xml:space="preserve">Проверенные входы: </w:t>
      </w:r>
      <w:hyperlink r:id="rId50">
        <w:r>
          <w:rPr>
            <w:color w:val="245D90"/>
            <w:u w:val="single"/>
          </w:rPr>
          <w:t>R061</w:t>
        </w:r>
      </w:hyperlink>
      <w:r>
        <w:t xml:space="preserve">  ·  </w:t>
      </w:r>
      <w:hyperlink r:id="rId51">
        <w:r>
          <w:rPr>
            <w:color w:val="245D90"/>
            <w:u w:val="single"/>
          </w:rPr>
          <w:t>R072</w:t>
        </w:r>
      </w:hyperlink>
      <w:r>
        <w:t xml:space="preserve">  ·  </w:t>
      </w:r>
      <w:hyperlink r:id="rId52">
        <w:r>
          <w:rPr>
            <w:color w:val="245D90"/>
            <w:u w:val="single"/>
          </w:rPr>
          <w:t>R073</w:t>
        </w:r>
      </w:hyperlink>
    </w:p>
    <w:p>
      <w:pPr>
        <w:widowControl/>
      </w:pPr>
      <w:r>
        <w:t>У Ремиджо обнаружены конкретные новые ранние кандидаты: De officiis и Pro Ligario Цицерона, exempla Валерия Максима, басенная линия Gualterus Anglicus. Их собственные цифровые издания не проверены до конца и внесены в gaps. Это обнаруженные входы, не утверждение об отсутствии источников.</w:t>
      </w:r>
    </w:p>
    <w:p>
      <w:pPr>
        <w:pStyle w:val="SourceLine"/>
        <w:widowControl/>
      </w:pPr>
      <w:r>
        <w:t xml:space="preserve">Проверенные входы: </w:t>
      </w:r>
      <w:hyperlink r:id="rId20">
        <w:r>
          <w:rPr>
            <w:color w:val="245D90"/>
            <w:u w:val="single"/>
          </w:rPr>
          <w:t>R017</w:t>
        </w:r>
      </w:hyperlink>
      <w:r>
        <w:t xml:space="preserve">  ·  </w:t>
      </w:r>
      <w:hyperlink r:id="rId32">
        <w:r>
          <w:rPr>
            <w:color w:val="245D90"/>
            <w:u w:val="single"/>
          </w:rPr>
          <w:t>R075</w:t>
        </w:r>
      </w:hyperlink>
    </w:p>
    <w:p>
      <w:pPr>
        <w:pStyle w:val="Heading2"/>
      </w:pPr>
      <w:r>
        <w:t>2.3. Проход вперёд: передача и рецепция</w:t>
      </w:r>
    </w:p>
    <w:p>
      <w:pPr>
        <w:widowControl/>
      </w:pPr>
      <w:r>
        <w:t>Внутри текстовых семей продолжениями служат Птолемей и Пётр Овернский, малые политические сочинения Марсилия и поздняя папалистская Summa Augustinus Triumphus. В позднем ореоле находятся De civili dominio Уиклифа, De concordantia catholica Кузанца и документы Haec sancta и Frequens. Это продолжение проблемного и институционального поля; оно не превращено в доказанную линейную генеалогию «Марсилий — концилиаризм».</w:t>
      </w:r>
    </w:p>
    <w:p>
      <w:pPr>
        <w:pStyle w:val="SourceLine"/>
        <w:widowControl/>
      </w:pPr>
      <w:r>
        <w:t xml:space="preserve">Проверенные входы: </w:t>
      </w:r>
      <w:hyperlink r:id="rId19">
        <w:r>
          <w:rPr>
            <w:color w:val="245D90"/>
            <w:u w:val="single"/>
          </w:rPr>
          <w:t>R005</w:t>
        </w:r>
      </w:hyperlink>
      <w:r>
        <w:t xml:space="preserve">  ·  </w:t>
      </w:r>
      <w:hyperlink r:id="rId14">
        <w:r>
          <w:rPr>
            <w:color w:val="245D90"/>
            <w:u w:val="single"/>
          </w:rPr>
          <w:t>R013</w:t>
        </w:r>
      </w:hyperlink>
      <w:r>
        <w:t xml:space="preserve">  ·  </w:t>
      </w:r>
      <w:hyperlink r:id="rId22">
        <w:r>
          <w:rPr>
            <w:color w:val="245D90"/>
            <w:u w:val="single"/>
          </w:rPr>
          <w:t>R022</w:t>
        </w:r>
      </w:hyperlink>
      <w:r>
        <w:t xml:space="preserve">  ·  </w:t>
      </w:r>
      <w:hyperlink r:id="rId53">
        <w:r>
          <w:rPr>
            <w:color w:val="245D90"/>
            <w:u w:val="single"/>
          </w:rPr>
          <w:t>R044</w:t>
        </w:r>
      </w:hyperlink>
      <w:r>
        <w:t xml:space="preserve">  ·  </w:t>
      </w:r>
      <w:hyperlink r:id="rId54">
        <w:r>
          <w:rPr>
            <w:color w:val="245D90"/>
            <w:u w:val="single"/>
          </w:rPr>
          <w:t>R052</w:t>
        </w:r>
      </w:hyperlink>
      <w:r>
        <w:t xml:space="preserve">  ·  </w:t>
      </w:r>
      <w:hyperlink r:id="rId55">
        <w:r>
          <w:rPr>
            <w:color w:val="245D90"/>
            <w:u w:val="single"/>
          </w:rPr>
          <w:t>R053</w:t>
        </w:r>
      </w:hyperlink>
      <w:r>
        <w:t xml:space="preserve">  ·  </w:t>
      </w:r>
      <w:hyperlink r:id="rId35">
        <w:r>
          <w:rPr>
            <w:color w:val="245D90"/>
            <w:u w:val="single"/>
          </w:rPr>
          <w:t>R058</w:t>
        </w:r>
      </w:hyperlink>
      <w:r>
        <w:t xml:space="preserve">  ·  </w:t>
      </w:r>
      <w:hyperlink r:id="rId56">
        <w:r>
          <w:rPr>
            <w:color w:val="245D90"/>
            <w:u w:val="single"/>
          </w:rPr>
          <w:t>R060</w:t>
        </w:r>
      </w:hyperlink>
    </w:p>
    <w:p>
      <w:pPr>
        <w:widowControl/>
      </w:pPr>
      <w:r>
        <w:t>Передача Данте расширена за счёт Refutatio Гвидо Вернани, документа Si fratrum, комментария Колы ди Риенцо и перевода Фичино. Французская Politica Орема — новая переводно-комментарийная фаза аристотелевского корпуса. Monarchia 1559 года и том Гольдаста 1614 года — раннемодерные носители сохранения. The defence of peace 1535 года — переводная рецепция Марсилия и отдельный набор данных; его сокращения не позволяют считать его эквивалентом полного Defensor pacis.</w:t>
      </w:r>
    </w:p>
    <w:p>
      <w:pPr>
        <w:pStyle w:val="SourceLine"/>
        <w:widowControl/>
      </w:pPr>
      <w:r>
        <w:t xml:space="preserve">Проверенные входы: </w:t>
      </w:r>
      <w:hyperlink r:id="rId12">
        <w:r>
          <w:rPr>
            <w:color w:val="245D90"/>
            <w:u w:val="single"/>
          </w:rPr>
          <w:t>R007</w:t>
        </w:r>
      </w:hyperlink>
      <w:r>
        <w:t xml:space="preserve">  ·  </w:t>
      </w:r>
      <w:hyperlink r:id="rId57">
        <w:r>
          <w:rPr>
            <w:color w:val="245D90"/>
            <w:u w:val="single"/>
          </w:rPr>
          <w:t>R010</w:t>
        </w:r>
      </w:hyperlink>
      <w:r>
        <w:t xml:space="preserve">  ·  </w:t>
      </w:r>
      <w:hyperlink r:id="rId16">
        <w:r>
          <w:rPr>
            <w:color w:val="245D90"/>
            <w:u w:val="single"/>
          </w:rPr>
          <w:t>R034</w:t>
        </w:r>
      </w:hyperlink>
      <w:r>
        <w:t xml:space="preserve">  ·  </w:t>
      </w:r>
      <w:hyperlink r:id="rId58">
        <w:r>
          <w:rPr>
            <w:color w:val="245D90"/>
            <w:u w:val="single"/>
          </w:rPr>
          <w:t>R051</w:t>
        </w:r>
      </w:hyperlink>
      <w:r>
        <w:t xml:space="preserve">  ·  </w:t>
      </w:r>
      <w:hyperlink r:id="rId36">
        <w:r>
          <w:rPr>
            <w:color w:val="245D90"/>
            <w:u w:val="single"/>
          </w:rPr>
          <w:t>R059</w:t>
        </w:r>
      </w:hyperlink>
      <w:r>
        <w:t xml:space="preserve">  ·  </w:t>
      </w:r>
      <w:hyperlink r:id="rId59">
        <w:r>
          <w:rPr>
            <w:color w:val="245D90"/>
            <w:u w:val="single"/>
          </w:rPr>
          <w:t>R063</w:t>
        </w:r>
      </w:hyperlink>
    </w:p>
    <w:p>
      <w:pPr>
        <w:widowControl/>
      </w:pPr>
      <w:r>
        <w:t>Поздний предел задаёт конкретная полемическая антология Cajetan—Almain—Mair: четыре трактата о папе и соборе, продолжающие жанр и дискуссию в начале XVI века. Хукер и отдельные концилиаристы оставлены в gaps там, где нужны точные места и проверенные версии. Внепериодные объекты не меняют исторических границ и статуса мастер-строки.</w:t>
      </w:r>
    </w:p>
    <w:p>
      <w:pPr>
        <w:pStyle w:val="SourceLine"/>
        <w:widowControl/>
      </w:pPr>
      <w:r>
        <w:t xml:space="preserve">Проверенные входы: </w:t>
      </w:r>
      <w:hyperlink r:id="rId60">
        <w:r>
          <w:rPr>
            <w:color w:val="245D90"/>
            <w:u w:val="single"/>
          </w:rPr>
          <w:t>R069</w:t>
        </w:r>
      </w:hyperlink>
    </w:p>
    <w:p>
      <w:pPr>
        <w:pStyle w:val="Heading2"/>
      </w:pPr>
      <w:r>
        <w:t>2.4. Количественный итог</w:t>
      </w:r>
    </w:p>
    <w:p>
      <w:pPr>
        <w:widowControl/>
      </w:pPr>
      <w:r>
        <w:t>В registry — 75 способов доступа, за которыми стоят около 50 именованных произведений и корпусных групп. Переводы, повторные репозитории и свидетели не считались самостоятельными произведениями. Счёт приблизителен: один сборник содержит несколько трактатов, а комментарий с продолжением допускает разные способы объединения. Эти 75 записей не означают 75 свободных полных текстов.</w:t>
      </w:r>
    </w:p>
    <w:p>
      <w:pPr>
        <w:widowControl/>
      </w:pPr>
      <w:r>
        <w:t>Распределение именно записей: core — 30; same_corpus_or_tradition — 10; antecedent — 14; continuation — 8; commentary_or_reception — 3; transmission_or_preservation — 7; boundary — 1; infrastructure — 1; secondary_navigation — 1. Отдельных записей supporting нет: вспомогательная роль описана в примечаниях к первичным объектам. В gaps — 29 записей о неполноте, сбоях, версиях и правах; это не 29 полностью недоступных произведений.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Данте: Monarchia и ближайшее окружение</w:t>
      </w:r>
    </w:p>
    <w:p>
      <w:pPr>
        <w:widowControl/>
      </w:pPr>
      <w:r>
        <w:t>Для бесплатного чтения удобны полный старый перевод F. J. Church на Project Gutenberg и перевод Aurelia Henry 1904 года в Online Library of Liberty. У первого заявлен Public domain in the USA; PDF второго содержит собственный блок образовательного и академического использования без прибыли. У Henry есть текстовый PDF и факсимильный вариант. Русский URSS — законный издательский вход с ознакомительным фрагментом, но переводчик по открытой карточке не установлен.</w:t>
      </w:r>
    </w:p>
    <w:p>
      <w:pPr>
        <w:pStyle w:val="SourceLine"/>
        <w:widowControl/>
      </w:pPr>
      <w:r>
        <w:t xml:space="preserve">Проверенные входы: </w:t>
      </w:r>
      <w:hyperlink r:id="rId11">
        <w:r>
          <w:rPr>
            <w:color w:val="245D90"/>
            <w:u w:val="single"/>
          </w:rPr>
          <w:t>R001</w:t>
        </w:r>
      </w:hyperlink>
      <w:r>
        <w:t xml:space="preserve">  ·  </w:t>
      </w:r>
      <w:hyperlink r:id="rId61">
        <w:r>
          <w:rPr>
            <w:color w:val="245D90"/>
            <w:u w:val="single"/>
          </w:rPr>
          <w:t>R002</w:t>
        </w:r>
      </w:hyperlink>
      <w:r>
        <w:t xml:space="preserve">  ·  </w:t>
      </w:r>
      <w:hyperlink r:id="rId62">
        <w:r>
          <w:rPr>
            <w:color w:val="245D90"/>
            <w:u w:val="single"/>
          </w:rPr>
          <w:t>R009</w:t>
        </w:r>
      </w:hyperlink>
    </w:p>
    <w:p>
      <w:pPr>
        <w:widowControl/>
      </w:pPr>
      <w:r>
        <w:t>Наиболее свободная установленная латинская основа — экземпляр editio princeps 1559 года, UB Basel / e-rara, с Public Domain Mark 1.0. Monarchia занимает изображения 63–189 внутри сборника. TXT открыт; PDF и IIIF заявлены страницей, но загрузка большого PDF инструментом не завершилась. Собственный перевод можно основывать на исторической латыни этого экземпляра; OCR необходимо сверять, а старые чтения не выдавать за современный критический текст.</w:t>
      </w:r>
    </w:p>
    <w:p>
      <w:pPr>
        <w:pStyle w:val="SourceLine"/>
        <w:widowControl/>
      </w:pPr>
      <w:r>
        <w:t xml:space="preserve">Проверенные входы: </w:t>
      </w:r>
      <w:hyperlink r:id="rId12">
        <w:r>
          <w:rPr>
            <w:color w:val="245D90"/>
            <w:u w:val="single"/>
          </w:rPr>
          <w:t>R007</w:t>
        </w:r>
      </w:hyperlink>
    </w:p>
    <w:p>
      <w:pPr>
        <w:widowControl/>
      </w:pPr>
      <w:r>
        <w:t>Для научной работы предпочтителен перевод Prue Shaw, Cambridge 1996; для текстологии — Digital Monarchia SDI. Последний сохранён как важный, но технически не проверенный полностью вход: 403 не позволяет обещать доступ ко всем рукописям. Cassell даёт ближайшую полемику, Luni — Данте, Колу и Фичино; современные перевод, реконструкция и аппарат защищены. Convivio включён как внутридантовский контекст, особенно книга IV, а не как произвольная литературная добавка.</w:t>
      </w:r>
    </w:p>
    <w:p>
      <w:pPr>
        <w:pStyle w:val="SourceLine"/>
        <w:widowControl/>
      </w:pPr>
      <w:r>
        <w:t xml:space="preserve">Проверенные входы: </w:t>
      </w:r>
      <w:hyperlink r:id="rId63">
        <w:r>
          <w:rPr>
            <w:color w:val="245D90"/>
            <w:u w:val="single"/>
          </w:rPr>
          <w:t>R003</w:t>
        </w:r>
      </w:hyperlink>
      <w:r>
        <w:t xml:space="preserve">  ·  </w:t>
      </w:r>
      <w:hyperlink r:id="rId64">
        <w:r>
          <w:rPr>
            <w:color w:val="245D90"/>
            <w:u w:val="single"/>
          </w:rPr>
          <w:t>R008</w:t>
        </w:r>
      </w:hyperlink>
      <w:r>
        <w:t xml:space="preserve">  ·  </w:t>
      </w:r>
      <w:hyperlink r:id="rId57">
        <w:r>
          <w:rPr>
            <w:color w:val="245D90"/>
            <w:u w:val="single"/>
          </w:rPr>
          <w:t>R010</w:t>
        </w:r>
      </w:hyperlink>
      <w:r>
        <w:t xml:space="preserve">  ·  </w:t>
      </w:r>
      <w:hyperlink r:id="rId65">
        <w:r>
          <w:rPr>
            <w:color w:val="245D90"/>
            <w:u w:val="single"/>
          </w:rPr>
          <w:t>R057</w:t>
        </w:r>
      </w:hyperlink>
      <w:r>
        <w:t xml:space="preserve">  ·  </w:t>
      </w:r>
      <w:hyperlink r:id="rId36">
        <w:r>
          <w:rPr>
            <w:color w:val="245D90"/>
            <w:u w:val="single"/>
          </w:rPr>
          <w:t>R059</w:t>
        </w:r>
      </w:hyperlink>
    </w:p>
    <w:p>
      <w:pPr>
        <w:pStyle w:val="Heading2"/>
      </w:pPr>
      <w:r>
        <w:t>3.2. Марсилий: Defensor pacis и малые сочинения</w:t>
      </w:r>
    </w:p>
    <w:p>
      <w:pPr>
        <w:widowControl/>
      </w:pPr>
      <w:r>
        <w:t>Лучший проверенный научный английский вход — Annabel Brett, Cambridge 2005: полный трактат в защищённом переводе. Для латыни сохранён dMGH с Richard Scholz 1932–1933. Каталожный состав и оглавление подтверждены, однако изображения reader не прочитаны инструментом; бесплатный режим обозначен как объявленный проектом, не постранично проверенный. Малые сочинения доступны через Writings on the Empire, Cary Nederman, 1993; чистый свободный латинский текст этих произведений остаётся пробелом.</w:t>
      </w:r>
    </w:p>
    <w:p>
      <w:pPr>
        <w:pStyle w:val="SourceLine"/>
        <w:widowControl/>
      </w:pPr>
      <w:r>
        <w:t xml:space="preserve">Проверенные входы: </w:t>
      </w:r>
      <w:hyperlink r:id="rId13">
        <w:r>
          <w:rPr>
            <w:color w:val="245D90"/>
            <w:u w:val="single"/>
          </w:rPr>
          <w:t>R012</w:t>
        </w:r>
      </w:hyperlink>
      <w:r>
        <w:t xml:space="preserve">  ·  </w:t>
      </w:r>
      <w:hyperlink r:id="rId14">
        <w:r>
          <w:rPr>
            <w:color w:val="245D90"/>
            <w:u w:val="single"/>
          </w:rPr>
          <w:t>R013</w:t>
        </w:r>
      </w:hyperlink>
      <w:r>
        <w:t xml:space="preserve">  ·  </w:t>
      </w:r>
      <w:hyperlink r:id="rId15">
        <w:r>
          <w:rPr>
            <w:color w:val="245D90"/>
            <w:u w:val="single"/>
          </w:rPr>
          <w:t>R020</w:t>
        </w:r>
      </w:hyperlink>
    </w:p>
    <w:p>
      <w:pPr>
        <w:widowControl/>
      </w:pPr>
      <w:r>
        <w:t>Лучший машиночитаемый слой — официальный TCP A07430 на GitHub: транскрипция английского The defence of peace, 1535, под CC0. В одной записи объединены TEI, HTML и EPUB. Это переработка с намеренными сокращениями и дополнительными пропусками распознавания; она не заменяет латинский оригинал и полный современный перевод. CC0 относится к транскрипции и разметке, не к факсимиле EEBO/ProQuest.</w:t>
      </w:r>
    </w:p>
    <w:p>
      <w:pPr>
        <w:pStyle w:val="SourceLine"/>
        <w:widowControl/>
      </w:pPr>
      <w:r>
        <w:t xml:space="preserve">Проверенные входы: </w:t>
      </w:r>
      <w:hyperlink r:id="rId16">
        <w:r>
          <w:rPr>
            <w:color w:val="245D90"/>
            <w:u w:val="single"/>
          </w:rPr>
          <w:t>R034</w:t>
        </w:r>
      </w:hyperlink>
    </w:p>
    <w:p>
      <w:pPr>
        <w:widowControl/>
      </w:pPr>
      <w:r>
        <w:t>Рукописный уровень представлен карточкой Columbia Smith Med/Ren Frag. 11. Internet Archive TXT — OCR каталожной страницы, не транскрипция латинского фрагмента. Русское издание ISBN 9785394023347 найдено в законном магазине, но распродано: это библиографический вход для дальнейшего поиска, не обещание текущей покупки.</w:t>
      </w:r>
    </w:p>
    <w:p>
      <w:pPr>
        <w:pStyle w:val="SourceLine"/>
        <w:widowControl/>
      </w:pPr>
      <w:r>
        <w:t xml:space="preserve">Проверенные входы: </w:t>
      </w:r>
      <w:hyperlink r:id="rId66">
        <w:r>
          <w:rPr>
            <w:color w:val="245D90"/>
            <w:u w:val="single"/>
          </w:rPr>
          <w:t>R071</w:t>
        </w:r>
      </w:hyperlink>
      <w:r>
        <w:t xml:space="preserve">  ·  </w:t>
      </w:r>
      <w:hyperlink r:id="rId17">
        <w:r>
          <w:rPr>
            <w:color w:val="245D90"/>
            <w:u w:val="single"/>
          </w:rPr>
          <w:t>R074</w:t>
        </w:r>
      </w:hyperlink>
    </w:p>
    <w:p>
      <w:pPr>
        <w:pStyle w:val="Heading2"/>
      </w:pPr>
      <w:r>
        <w:t>3.3. Аквинат, Птолемей и комментарий к Politica</w:t>
      </w:r>
    </w:p>
    <w:p>
      <w:pPr>
        <w:widowControl/>
      </w:pPr>
      <w:r>
        <w:t>Corpus Thomisticum — лучший бесплатный латинский вход по удобству чтения: De regno, продолжение Птолемея, Summa и две авторские части комментария к Politica. Но уведомление о правах цифровой редакции не является открытой лицензией. Наличие HTML не разрешает автоматически зеркалирование, публичный индекс или распространение собственного перевода на основе защищённой современной редакции.</w:t>
      </w:r>
    </w:p>
    <w:p>
      <w:pPr>
        <w:pStyle w:val="SourceLine"/>
        <w:widowControl/>
      </w:pPr>
      <w:r>
        <w:t xml:space="preserve">Проверенные входы: </w:t>
      </w:r>
      <w:hyperlink r:id="rId18">
        <w:r>
          <w:rPr>
            <w:color w:val="245D90"/>
            <w:u w:val="single"/>
          </w:rPr>
          <w:t>R004</w:t>
        </w:r>
      </w:hyperlink>
      <w:r>
        <w:t xml:space="preserve">  ·  </w:t>
      </w:r>
      <w:hyperlink r:id="rId19">
        <w:r>
          <w:rPr>
            <w:color w:val="245D90"/>
            <w:u w:val="single"/>
          </w:rPr>
          <w:t>R005</w:t>
        </w:r>
      </w:hyperlink>
      <w:r>
        <w:t xml:space="preserve">  ·  </w:t>
      </w:r>
      <w:hyperlink r:id="rId21">
        <w:r>
          <w:rPr>
            <w:color w:val="245D90"/>
            <w:u w:val="single"/>
          </w:rPr>
          <w:t>R021</w:t>
        </w:r>
      </w:hyperlink>
      <w:r>
        <w:t xml:space="preserve">  ·  </w:t>
      </w:r>
      <w:hyperlink r:id="rId22">
        <w:r>
          <w:rPr>
            <w:color w:val="245D90"/>
            <w:u w:val="single"/>
          </w:rPr>
          <w:t>R022</w:t>
        </w:r>
      </w:hyperlink>
      <w:r>
        <w:t xml:space="preserve">  ·  </w:t>
      </w:r>
      <w:hyperlink r:id="rId23">
        <w:r>
          <w:rPr>
            <w:color w:val="245D90"/>
            <w:u w:val="single"/>
          </w:rPr>
          <w:t>R023</w:t>
        </w:r>
      </w:hyperlink>
      <w:r>
        <w:t xml:space="preserve">  ·  </w:t>
      </w:r>
      <w:hyperlink r:id="rId33">
        <w:r>
          <w:rPr>
            <w:color w:val="245D90"/>
            <w:u w:val="single"/>
          </w:rPr>
          <w:t>R024</w:t>
        </w:r>
      </w:hyperlink>
    </w:p>
    <w:p>
      <w:pPr>
        <w:widowControl/>
      </w:pPr>
      <w:r>
        <w:t>Продолжение De regimine principum не приписано Аквинату, а комментарий Петра Овернского не назван его собственной законченной работой. Англоязычные научные ориентиры: Phelan/Eschmann, On Kingship, PIMS 1949, для части Аквината; James Blythe, Penn 1997, для составного трактата с Птолемеем. Оба пути защищённые.</w:t>
      </w:r>
    </w:p>
    <w:p>
      <w:pPr>
        <w:pStyle w:val="SourceLine"/>
        <w:widowControl/>
      </w:pPr>
      <w:r>
        <w:t xml:space="preserve">Проверенные входы: </w:t>
      </w:r>
      <w:hyperlink r:id="rId67">
        <w:r>
          <w:rPr>
            <w:color w:val="245D90"/>
            <w:u w:val="single"/>
          </w:rPr>
          <w:t>R025</w:t>
        </w:r>
      </w:hyperlink>
      <w:r>
        <w:t xml:space="preserve">  ·  </w:t>
      </w:r>
      <w:hyperlink r:id="rId68">
        <w:r>
          <w:rPr>
            <w:color w:val="245D90"/>
            <w:u w:val="single"/>
          </w:rPr>
          <w:t>R026</w:t>
        </w:r>
      </w:hyperlink>
    </w:p>
    <w:p>
      <w:pPr>
        <w:widowControl/>
      </w:pPr>
      <w:r>
        <w:t>Для старого английского чтения политико-правовых loci Summa есть части I–II и II–II на Gutenberg. Каждая запись охватывает часть Summa, не весь корпус. PD-статус заявлен в США; это не чистая латинская основа нового перевода. Машинный поиск полезен для закона, справедливости, войны и повиновения, но публичное использование вне доказанной юрисдикции требует проверки.</w:t>
      </w:r>
    </w:p>
    <w:p>
      <w:pPr>
        <w:pStyle w:val="SourceLine"/>
        <w:widowControl/>
      </w:pPr>
      <w:r>
        <w:t xml:space="preserve">Проверенные входы: </w:t>
      </w:r>
      <w:hyperlink r:id="rId69">
        <w:r>
          <w:rPr>
            <w:color w:val="245D90"/>
            <w:u w:val="single"/>
          </w:rPr>
          <w:t>R027</w:t>
        </w:r>
      </w:hyperlink>
      <w:r>
        <w:t xml:space="preserve">  ·  </w:t>
      </w:r>
      <w:hyperlink r:id="rId70">
        <w:r>
          <w:rPr>
            <w:color w:val="245D90"/>
            <w:u w:val="single"/>
          </w:rPr>
          <w:t>R028</w:t>
        </w:r>
      </w:hyperlink>
    </w:p>
    <w:p>
      <w:pPr>
        <w:pStyle w:val="Heading2"/>
      </w:pPr>
      <w:r>
        <w:t>3.4. Оккам: не ограничиваться Dialogus</w:t>
      </w:r>
    </w:p>
    <w:p>
      <w:pPr>
        <w:widowControl/>
      </w:pPr>
      <w:r>
        <w:t>British Academy Dialogus предоставляет латынь, варианты и английские переводы в пределах опубликованных онлайн частей. Это наиболее полезный бесплатный исследовательский вход, но не полное цифровое собрание политических сочинений. Редакторская библиография помогает установить другие произведения и издания; её функция навигационная.</w:t>
      </w:r>
    </w:p>
    <w:p>
      <w:pPr>
        <w:pStyle w:val="SourceLine"/>
        <w:widowControl/>
      </w:pPr>
      <w:r>
        <w:t xml:space="preserve">Проверенные входы: </w:t>
      </w:r>
      <w:hyperlink r:id="rId71">
        <w:r>
          <w:rPr>
            <w:color w:val="245D90"/>
            <w:u w:val="single"/>
          </w:rPr>
          <w:t>R006</w:t>
        </w:r>
      </w:hyperlink>
      <w:r>
        <w:t xml:space="preserve">  ·  </w:t>
      </w:r>
      <w:hyperlink r:id="rId72">
        <w:r>
          <w:rPr>
            <w:color w:val="245D90"/>
            <w:u w:val="single"/>
          </w:rPr>
          <w:t>R037</w:t>
        </w:r>
      </w:hyperlink>
    </w:p>
    <w:p>
      <w:pPr>
        <w:widowControl/>
      </w:pPr>
      <w:r>
        <w:t>Breviloquium представлен английским preview; Opus nonaginta dierum — двумя самостоятельными томами Kilcullen/Scott; De imperatorum et pontificum potestate — изданием Brett. Антология 1995 года добавляет Letter to the Friars Minor и отрывки Octo quaestiones, Dialogus и Opus. Наличие этих заголовков в оглавлении не означает наличия полного текста каждого сочинения.</w:t>
      </w:r>
    </w:p>
    <w:p>
      <w:pPr>
        <w:pStyle w:val="SourceLine"/>
        <w:widowControl/>
      </w:pPr>
      <w:r>
        <w:t xml:space="preserve">Проверенные входы: </w:t>
      </w:r>
      <w:hyperlink r:id="rId25">
        <w:r>
          <w:rPr>
            <w:color w:val="245D90"/>
            <w:u w:val="single"/>
          </w:rPr>
          <w:t>R035</w:t>
        </w:r>
      </w:hyperlink>
      <w:r>
        <w:t xml:space="preserve">  ·  </w:t>
      </w:r>
      <w:hyperlink r:id="rId26">
        <w:r>
          <w:rPr>
            <w:color w:val="245D90"/>
            <w:u w:val="single"/>
          </w:rPr>
          <w:t>R036</w:t>
        </w:r>
      </w:hyperlink>
      <w:r>
        <w:t xml:space="preserve">  ·  </w:t>
      </w:r>
      <w:hyperlink r:id="rId27">
        <w:r>
          <w:rPr>
            <w:color w:val="245D90"/>
            <w:u w:val="single"/>
          </w:rPr>
          <w:t>R048</w:t>
        </w:r>
      </w:hyperlink>
      <w:r>
        <w:t xml:space="preserve">  ·  </w:t>
      </w:r>
      <w:hyperlink r:id="rId28">
        <w:r>
          <w:rPr>
            <w:color w:val="245D90"/>
            <w:u w:val="single"/>
          </w:rPr>
          <w:t>R049</w:t>
        </w:r>
      </w:hyperlink>
      <w:r>
        <w:t xml:space="preserve">  ·  </w:t>
      </w:r>
      <w:hyperlink r:id="rId30">
        <w:r>
          <w:rPr>
            <w:color w:val="245D90"/>
            <w:u w:val="single"/>
          </w:rPr>
          <w:t>R068</w:t>
        </w:r>
      </w:hyperlink>
    </w:p>
    <w:p>
      <w:pPr>
        <w:widowControl/>
      </w:pPr>
      <w:r>
        <w:t>Vat. lat. 4115 важен как конкретный сборник, связывающий Dialogus, An princeps и нормативные документы папской полемики; фактическая работа viewer и права на фото не подтверждены. Гольдаст 1614 года сохранён как раннемодерный носитель, не как уже извлечённый свободный набор всего Оккама. Операции над текстами этих двух носителей пока требуют ручной проверки.</w:t>
      </w:r>
    </w:p>
    <w:p>
      <w:pPr>
        <w:pStyle w:val="SourceLine"/>
        <w:widowControl/>
      </w:pPr>
      <w:r>
        <w:t xml:space="preserve">Проверенные входы: </w:t>
      </w:r>
      <w:hyperlink r:id="rId58">
        <w:r>
          <w:rPr>
            <w:color w:val="245D90"/>
            <w:u w:val="single"/>
          </w:rPr>
          <w:t>R051</w:t>
        </w:r>
      </w:hyperlink>
      <w:r>
        <w:t xml:space="preserve">  ·  </w:t>
      </w:r>
      <w:hyperlink r:id="rId37">
        <w:r>
          <w:rPr>
            <w:color w:val="245D90"/>
            <w:u w:val="single"/>
          </w:rPr>
          <w:t>R062</w:t>
        </w:r>
      </w:hyperlink>
    </w:p>
    <w:p>
      <w:pPr>
        <w:pStyle w:val="Heading2"/>
      </w:pPr>
      <w:r>
        <w:t>3.5. Эгидий, Иоанн Парижский и папалистский контрполюс</w:t>
      </w:r>
    </w:p>
    <w:p>
      <w:pPr>
        <w:widowControl/>
      </w:pPr>
      <w:r>
        <w:t>Для De regimine principum Эгидия наиболее свободный латинский источник — венецианское издание 1502 года, UVa, с item-level Public Domain Mark. PDF предложен библиотекой; байтовая загрузка не проверена. Средневековая французская линия представлена Chicago MS 533 и старым изданием Molenaer по Kerr MS: это разные свидетели/версии, не дубликаты одного латинского текста.</w:t>
      </w:r>
    </w:p>
    <w:p>
      <w:pPr>
        <w:pStyle w:val="SourceLine"/>
        <w:widowControl/>
      </w:pPr>
      <w:r>
        <w:t xml:space="preserve">Проверенные входы: </w:t>
      </w:r>
      <w:hyperlink r:id="rId73">
        <w:r>
          <w:rPr>
            <w:color w:val="245D90"/>
            <w:u w:val="single"/>
          </w:rPr>
          <w:t>R019</w:t>
        </w:r>
      </w:hyperlink>
      <w:r>
        <w:t xml:space="preserve">  ·  </w:t>
      </w:r>
      <w:hyperlink r:id="rId24">
        <w:r>
          <w:rPr>
            <w:color w:val="245D90"/>
            <w:u w:val="single"/>
          </w:rPr>
          <w:t>R030</w:t>
        </w:r>
      </w:hyperlink>
      <w:r>
        <w:t xml:space="preserve">  ·  </w:t>
      </w:r>
      <w:hyperlink r:id="rId74">
        <w:r>
          <w:rPr>
            <w:color w:val="245D90"/>
            <w:u w:val="single"/>
          </w:rPr>
          <w:t>R033</w:t>
        </w:r>
      </w:hyperlink>
    </w:p>
    <w:p>
      <w:pPr>
        <w:widowControl/>
      </w:pPr>
      <w:r>
        <w:t>Для De ecclesiastica potestate есть современное двуязычное издание Dyson и латинское Scholz 1929 года в HathiTrust. Живая карточка последнего сообщает Full view для Cornell, хотя reader дал ошибку. Современный перевод не объявлен свободным; Full view старого издания не принят за лицензию на повторное размещение.</w:t>
      </w:r>
    </w:p>
    <w:p>
      <w:pPr>
        <w:pStyle w:val="SourceLine"/>
        <w:widowControl/>
      </w:pPr>
      <w:r>
        <w:t xml:space="preserve">Проверенные входы: </w:t>
      </w:r>
      <w:hyperlink r:id="rId75">
        <w:r>
          <w:rPr>
            <w:color w:val="245D90"/>
            <w:u w:val="single"/>
          </w:rPr>
          <w:t>R011</w:t>
        </w:r>
      </w:hyperlink>
      <w:r>
        <w:t xml:space="preserve">  ·  </w:t>
      </w:r>
      <w:hyperlink r:id="rId31">
        <w:r>
          <w:rPr>
            <w:color w:val="245D90"/>
            <w:u w:val="single"/>
          </w:rPr>
          <w:t>R070</w:t>
        </w:r>
      </w:hyperlink>
    </w:p>
    <w:p>
      <w:pPr>
        <w:widowControl/>
      </w:pPr>
      <w:r>
        <w:t>Иоанн Парижский доступен в On Royal and Papal Power, J. A. Watt, PIMS 1971. Латинский полнотекстовый вход — приоритетный пробел. Яков Витербский представлен Dyson 2009 через подтверждённую книготорговую страницу. Summa Augustinus Triumphus доступна факсимильно во Freiburg; общая политика требует смотреть лицензию конкретного изображения, поэтому единый открытый статус всему скану не назначен.</w:t>
      </w:r>
    </w:p>
    <w:p>
      <w:pPr>
        <w:pStyle w:val="SourceLine"/>
        <w:widowControl/>
      </w:pPr>
      <w:r>
        <w:t xml:space="preserve">Проверенные входы: </w:t>
      </w:r>
      <w:hyperlink r:id="rId76">
        <w:r>
          <w:rPr>
            <w:color w:val="245D90"/>
            <w:u w:val="single"/>
          </w:rPr>
          <w:t>R014</w:t>
        </w:r>
      </w:hyperlink>
      <w:r>
        <w:t xml:space="preserve">  ·  </w:t>
      </w:r>
      <w:hyperlink r:id="rId34">
        <w:r>
          <w:rPr>
            <w:color w:val="245D90"/>
            <w:u w:val="single"/>
          </w:rPr>
          <w:t>R047</w:t>
        </w:r>
      </w:hyperlink>
      <w:r>
        <w:t xml:space="preserve">  ·  </w:t>
      </w:r>
      <w:hyperlink r:id="rId35">
        <w:r>
          <w:rPr>
            <w:color w:val="245D90"/>
            <w:u w:val="single"/>
          </w:rPr>
          <w:t>R058</w:t>
        </w:r>
      </w:hyperlink>
    </w:p>
    <w:p>
      <w:pPr>
        <w:pStyle w:val="Heading2"/>
      </w:pPr>
      <w:r>
        <w:t>3.6. Город: Ремиджо, Policraticus и Бартол</w:t>
      </w:r>
    </w:p>
    <w:p>
      <w:pPr>
        <w:widowControl/>
      </w:pPr>
      <w:r>
        <w:t>Для Ремиджо найдены прямые страницы Emilio Panella вместо неработающего фреймового входа. De bono comuni представлен существенной частью латинского текста с итальянским переводом; De bono pacis — проверенными частями 1, 2, 7–8. Некоторые промежуточные страницы не открылись. De misericordia включён через главы XVII–XIX, где проверяется связь с городским благом и собственным De bono comuni. Архив авторский редакторский, но открытая лицензия на редакцию и перевод не найдена.</w:t>
      </w:r>
    </w:p>
    <w:p>
      <w:pPr>
        <w:pStyle w:val="SourceLine"/>
        <w:widowControl/>
      </w:pPr>
      <w:r>
        <w:t xml:space="preserve">Проверенные входы: </w:t>
      </w:r>
      <w:hyperlink r:id="rId20">
        <w:r>
          <w:rPr>
            <w:color w:val="245D90"/>
            <w:u w:val="single"/>
          </w:rPr>
          <w:t>R017</w:t>
        </w:r>
      </w:hyperlink>
      <w:r>
        <w:t xml:space="preserve">  ·  </w:t>
      </w:r>
      <w:hyperlink r:id="rId29">
        <w:r>
          <w:rPr>
            <w:color w:val="245D90"/>
            <w:u w:val="single"/>
          </w:rPr>
          <w:t>R066</w:t>
        </w:r>
      </w:hyperlink>
      <w:r>
        <w:t xml:space="preserve">  ·  </w:t>
      </w:r>
      <w:hyperlink r:id="rId32">
        <w:r>
          <w:rPr>
            <w:color w:val="245D90"/>
            <w:u w:val="single"/>
          </w:rPr>
          <w:t>R075</w:t>
        </w:r>
      </w:hyperlink>
    </w:p>
    <w:p>
      <w:pPr>
        <w:widowControl/>
      </w:pPr>
      <w:r>
        <w:t>Nerbini 2014 объединяет De bono comuni, De bono pacis и Sermones de pace, однако отмечен как отсутствующий в продаже; доступен ознакомительный библиографический материал. Для Policraticus полезны латинские два тома Webb 1909 года; Dickinson 1927 и Nederman 1990 — выборочные английские версии. Сокращённые переводы не названы полным трактатом.</w:t>
      </w:r>
    </w:p>
    <w:p>
      <w:pPr>
        <w:pStyle w:val="SourceLine"/>
        <w:widowControl/>
      </w:pPr>
      <w:r>
        <w:t xml:space="preserve">Проверенные входы: </w:t>
      </w:r>
      <w:hyperlink r:id="rId77">
        <w:r>
          <w:rPr>
            <w:color w:val="245D90"/>
            <w:u w:val="single"/>
          </w:rPr>
          <w:t>R015</w:t>
        </w:r>
      </w:hyperlink>
      <w:r>
        <w:t xml:space="preserve">  ·  </w:t>
      </w:r>
      <w:hyperlink r:id="rId78">
        <w:r>
          <w:rPr>
            <w:color w:val="245D90"/>
            <w:u w:val="single"/>
          </w:rPr>
          <w:t>R031</w:t>
        </w:r>
      </w:hyperlink>
      <w:r>
        <w:t xml:space="preserve">  ·  </w:t>
      </w:r>
      <w:hyperlink r:id="rId79">
        <w:r>
          <w:rPr>
            <w:color w:val="245D90"/>
            <w:u w:val="single"/>
          </w:rPr>
          <w:t>R032</w:t>
        </w:r>
      </w:hyperlink>
      <w:r>
        <w:t xml:space="preserve">  ·  </w:t>
      </w:r>
      <w:hyperlink r:id="rId80">
        <w:r>
          <w:rPr>
            <w:color w:val="245D90"/>
            <w:u w:val="single"/>
          </w:rPr>
          <w:t>R050</w:t>
        </w:r>
      </w:hyperlink>
    </w:p>
    <w:p>
      <w:pPr>
        <w:widowControl/>
      </w:pPr>
      <w:r>
        <w:t>Бартол сохранён как boundary между политической философией и ius commune: Three Tracts on City Government and Related Writings, Garnett/Ryan, Cambridge 2024. Современный защищённый перевод — сильнейший проверенный вход к этому набору; свободное латинское издание ещё требуется найти.</w:t>
      </w:r>
    </w:p>
    <w:p>
      <w:pPr>
        <w:pStyle w:val="SourceLine"/>
        <w:widowControl/>
      </w:pPr>
      <w:r>
        <w:t xml:space="preserve">Проверенные входы: </w:t>
      </w:r>
      <w:hyperlink r:id="rId81">
        <w:r>
          <w:rPr>
            <w:color w:val="245D90"/>
            <w:u w:val="single"/>
          </w:rPr>
          <w:t>R029</w:t>
        </w:r>
      </w:hyperlink>
    </w:p>
    <w:p>
      <w:pPr>
        <w:pStyle w:val="Heading2"/>
      </w:pPr>
      <w:r>
        <w:t>3.7. Античный вход и поздний ореол</w:t>
      </w:r>
    </w:p>
    <w:p>
      <w:pPr>
        <w:widowControl/>
      </w:pPr>
      <w:r>
        <w:t>Для технического использования Аристотеля лучший вариант — греческий TEI Politics Perseus; английский TEI Rackham имеет отдельную запись. В обоих заголовках файла указана CC BY-SA 4.0. OCR не нужен, но редакторское предупреждение о печатном источнике требует филологической сверки. Aristoteles Latinus и подписная ALD нужны для средневековых переводов и не заменяются английской версией.</w:t>
      </w:r>
    </w:p>
    <w:p>
      <w:pPr>
        <w:pStyle w:val="SourceLine"/>
        <w:widowControl/>
      </w:pPr>
      <w:r>
        <w:t xml:space="preserve">Проверенные входы: </w:t>
      </w:r>
      <w:hyperlink r:id="rId40">
        <w:r>
          <w:rPr>
            <w:color w:val="245D90"/>
            <w:u w:val="single"/>
          </w:rPr>
          <w:t>R041</w:t>
        </w:r>
      </w:hyperlink>
      <w:r>
        <w:t xml:space="preserve">  ·  </w:t>
      </w:r>
      <w:hyperlink r:id="rId40">
        <w:r>
          <w:rPr>
            <w:color w:val="245D90"/>
            <w:u w:val="single"/>
          </w:rPr>
          <w:t>R042</w:t>
        </w:r>
      </w:hyperlink>
      <w:r>
        <w:t xml:space="preserve">  ·  </w:t>
      </w:r>
      <w:hyperlink r:id="rId82">
        <w:r>
          <w:rPr>
            <w:color w:val="245D90"/>
            <w:u w:val="single"/>
          </w:rPr>
          <w:t>R043</w:t>
        </w:r>
      </w:hyperlink>
      <w:r>
        <w:t xml:space="preserve">  ·  </w:t>
      </w:r>
      <w:hyperlink r:id="rId41">
        <w:r>
          <w:rPr>
            <w:color w:val="245D90"/>
            <w:u w:val="single"/>
          </w:rPr>
          <w:t>R045</w:t>
        </w:r>
      </w:hyperlink>
      <w:r>
        <w:t xml:space="preserve">  ·  </w:t>
      </w:r>
      <w:hyperlink r:id="rId42">
        <w:r>
          <w:rPr>
            <w:color w:val="245D90"/>
            <w:u w:val="single"/>
          </w:rPr>
          <w:t>R046</w:t>
        </w:r>
      </w:hyperlink>
    </w:p>
    <w:p>
      <w:pPr>
        <w:widowControl/>
      </w:pPr>
      <w:r>
        <w:t>Для позднего ореола практическая комбинация иная: латинский De civili dominio через HathiTrust с объявленным Full view; английский preview Кузанца; избранные документы Констанцского собора на Fordham; антология Cajetan—Almain—Mair в Google Books. Preview — законный путь знакомства, но не источник локальной базы полного текста. Подтверждённая выдача конкретных e-book/Controlled Digital Lending в этом исследовании не установлена.</w:t>
      </w:r>
    </w:p>
    <w:p>
      <w:pPr>
        <w:pStyle w:val="SourceLine"/>
        <w:widowControl/>
      </w:pPr>
      <w:r>
        <w:t xml:space="preserve">Проверенные входы: </w:t>
      </w:r>
      <w:hyperlink r:id="rId53">
        <w:r>
          <w:rPr>
            <w:color w:val="245D90"/>
            <w:u w:val="single"/>
          </w:rPr>
          <w:t>R044</w:t>
        </w:r>
      </w:hyperlink>
      <w:r>
        <w:t xml:space="preserve">  ·  </w:t>
      </w:r>
      <w:hyperlink r:id="rId54">
        <w:r>
          <w:rPr>
            <w:color w:val="245D90"/>
            <w:u w:val="single"/>
          </w:rPr>
          <w:t>R052</w:t>
        </w:r>
      </w:hyperlink>
      <w:r>
        <w:t xml:space="preserve">  ·  </w:t>
      </w:r>
      <w:hyperlink r:id="rId55">
        <w:r>
          <w:rPr>
            <w:color w:val="245D90"/>
            <w:u w:val="single"/>
          </w:rPr>
          <w:t>R053</w:t>
        </w:r>
      </w:hyperlink>
      <w:r>
        <w:t xml:space="preserve">  ·  </w:t>
      </w:r>
      <w:hyperlink r:id="rId56">
        <w:r>
          <w:rPr>
            <w:color w:val="245D90"/>
            <w:u w:val="single"/>
          </w:rPr>
          <w:t>R060</w:t>
        </w:r>
      </w:hyperlink>
      <w:r>
        <w:t xml:space="preserve">  ·  </w:t>
      </w:r>
      <w:hyperlink r:id="rId60">
        <w:r>
          <w:rPr>
            <w:color w:val="245D90"/>
            <w:u w:val="single"/>
          </w:rPr>
          <w:t>R069</w:t>
        </w:r>
      </w:hyperlink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4.1. Доказанно свободный слой</w:t>
      </w:r>
    </w:p>
    <w:p>
      <w:pPr>
        <w:widowControl/>
      </w:pPr>
      <w:r>
        <w:t>Самые ясные разрешительные основания — TCP A07430 (CC0) и два TEI Politics Perseus (CC BY-SA 4.0). У TCP допустимы копирование и машинная обработка указанной транскрипции, но к ней нельзя присоединять чужие сканы по аналогии. Для Perseus необходимы атрибуция, сохранение уведомления и ShareAlike для применимых распространяемых переработок. Открытость не гарантирует безошибочности текста.</w:t>
      </w:r>
    </w:p>
    <w:p>
      <w:pPr>
        <w:pStyle w:val="SourceLine"/>
        <w:widowControl/>
      </w:pPr>
      <w:r>
        <w:t xml:space="preserve">Проверенные входы: </w:t>
      </w:r>
      <w:hyperlink r:id="rId16">
        <w:r>
          <w:rPr>
            <w:color w:val="245D90"/>
            <w:u w:val="single"/>
          </w:rPr>
          <w:t>R034</w:t>
        </w:r>
      </w:hyperlink>
      <w:r>
        <w:t xml:space="preserve">  ·  </w:t>
      </w:r>
      <w:hyperlink r:id="rId41">
        <w:r>
          <w:rPr>
            <w:color w:val="245D90"/>
            <w:u w:val="single"/>
          </w:rPr>
          <w:t>R045</w:t>
        </w:r>
      </w:hyperlink>
      <w:r>
        <w:t xml:space="preserve">  ·  </w:t>
      </w:r>
      <w:hyperlink r:id="rId42">
        <w:r>
          <w:rPr>
            <w:color w:val="245D90"/>
            <w:u w:val="single"/>
          </w:rPr>
          <w:t>R046</w:t>
        </w:r>
      </w:hyperlink>
    </w:p>
    <w:p>
      <w:pPr>
        <w:widowControl/>
      </w:pPr>
      <w:r>
        <w:t>Два исторических латинских факсимиле имеют Public Domain Mark: Monarchia 1559 в e-rara и De regimine principum 1502 в UVa. PDM — заявление о статусе, не новая лицензия. OCR, индекс и собственный перевод рекомендованы лишь в объёме конкретных объектов; большие PDF предложены репозиториями, но их загрузка инструментом не завершилась. Перед обработкой необходимо получить и проверить файлы.</w:t>
      </w:r>
    </w:p>
    <w:p>
      <w:pPr>
        <w:pStyle w:val="SourceLine"/>
        <w:widowControl/>
      </w:pPr>
      <w:r>
        <w:t xml:space="preserve">Проверенные входы: </w:t>
      </w:r>
      <w:hyperlink r:id="rId12">
        <w:r>
          <w:rPr>
            <w:color w:val="245D90"/>
            <w:u w:val="single"/>
          </w:rPr>
          <w:t>R007</w:t>
        </w:r>
      </w:hyperlink>
      <w:r>
        <w:t xml:space="preserve">  ·  </w:t>
      </w:r>
      <w:hyperlink r:id="rId24">
        <w:r>
          <w:rPr>
            <w:color w:val="245D90"/>
            <w:u w:val="single"/>
          </w:rPr>
          <w:t>R030</w:t>
        </w:r>
      </w:hyperlink>
    </w:p>
    <w:p>
      <w:pPr>
        <w:pStyle w:val="Heading2"/>
      </w:pPr>
      <w:r>
        <w:t>4.2. Некоммерческие и территориальные условия</w:t>
      </w:r>
    </w:p>
    <w:p>
      <w:pPr>
        <w:widowControl/>
      </w:pPr>
      <w:r>
        <w:t>У OLL / Henry найдено собственное разрешение образовательного и академического использования без прибыли, не CC BY-NC. MIRROR_NONCOMMERCIAL сохранён для указанного слоя с условиями; публичный векторный датасет или внешний коммерческий AI-сервис автоматически не разрешены. У Гольдаста NoC-NC 1.0 сохранён как важное ограничение, но зеркалирование пока не рекомендовано: нужны изображения и применимые условия BSB.</w:t>
      </w:r>
    </w:p>
    <w:p>
      <w:pPr>
        <w:pStyle w:val="SourceLine"/>
        <w:widowControl/>
      </w:pPr>
      <w:r>
        <w:t xml:space="preserve">Проверенные входы: </w:t>
      </w:r>
      <w:hyperlink r:id="rId61">
        <w:r>
          <w:rPr>
            <w:color w:val="245D90"/>
            <w:u w:val="single"/>
          </w:rPr>
          <w:t>R002</w:t>
        </w:r>
      </w:hyperlink>
      <w:r>
        <w:t xml:space="preserve">  ·  </w:t>
      </w:r>
      <w:hyperlink r:id="rId58">
        <w:r>
          <w:rPr>
            <w:color w:val="245D90"/>
            <w:u w:val="single"/>
          </w:rPr>
          <w:t>R051</w:t>
        </w:r>
      </w:hyperlink>
    </w:p>
    <w:p>
      <w:pPr>
        <w:widowControl/>
      </w:pPr>
      <w:r>
        <w:t>Gutenberg указывает PD в США, не универсальный всемирный статус. Положительные машинные теги в этих записях ограничены данной юрисдикцией и Project Gutenberg License. ToS не получил общего разрешения для любого хостинга и места обработки. Исторический возраст оригинала не устраняет самостоятельную охрану перевода.</w:t>
      </w:r>
    </w:p>
    <w:p>
      <w:pPr>
        <w:pStyle w:val="SourceLine"/>
        <w:widowControl/>
      </w:pPr>
      <w:r>
        <w:t xml:space="preserve">Проверенные входы: </w:t>
      </w:r>
      <w:hyperlink r:id="rId11">
        <w:r>
          <w:rPr>
            <w:color w:val="245D90"/>
            <w:u w:val="single"/>
          </w:rPr>
          <w:t>R001</w:t>
        </w:r>
      </w:hyperlink>
      <w:r>
        <w:t xml:space="preserve">  ·  </w:t>
      </w:r>
      <w:hyperlink r:id="rId69">
        <w:r>
          <w:rPr>
            <w:color w:val="245D90"/>
            <w:u w:val="single"/>
          </w:rPr>
          <w:t>R027</w:t>
        </w:r>
      </w:hyperlink>
      <w:r>
        <w:t xml:space="preserve">  ·  </w:t>
      </w:r>
      <w:hyperlink r:id="rId70">
        <w:r>
          <w:rPr>
            <w:color w:val="245D90"/>
            <w:u w:val="single"/>
          </w:rPr>
          <w:t>R028</w:t>
        </w:r>
      </w:hyperlink>
      <w:r>
        <w:t xml:space="preserve">  ·  </w:t>
      </w:r>
      <w:hyperlink r:id="rId43">
        <w:r>
          <w:rPr>
            <w:color w:val="245D90"/>
            <w:u w:val="single"/>
          </w:rPr>
          <w:t>R056</w:t>
        </w:r>
      </w:hyperlink>
      <w:r>
        <w:t xml:space="preserve">  ·  </w:t>
      </w:r>
      <w:hyperlink r:id="rId65">
        <w:r>
          <w:rPr>
            <w:color w:val="245D90"/>
            <w:u w:val="single"/>
          </w:rPr>
          <w:t>R057</w:t>
        </w:r>
      </w:hyperlink>
    </w:p>
    <w:p>
      <w:pPr>
        <w:widowControl/>
      </w:pPr>
      <w:r>
        <w:t>Подтверждённого случая CC BY-ND или CC BY-NC-ND, требующего UNCHANGED_ONLY для основного найденного слоя, не установлено. Отсутствие такого тега не означает права переработки объектов с неизвестными правами.</w:t>
      </w:r>
    </w:p>
    <w:p>
      <w:pPr>
        <w:pStyle w:val="Heading2"/>
      </w:pPr>
      <w:r>
        <w:t>4.3. Чтение, исследовательская копия, индекс и embeddings</w:t>
      </w:r>
    </w:p>
    <w:p>
      <w:pPr>
        <w:widowControl/>
      </w:pPr>
      <w:r>
        <w:t>Corpus Thomisticum, Dialogus, Panella, dMGH, HathiTrust и библиотечные изображения предоставляют разные формы доступа, но OCR, публичная полнотекстовая индексация и embeddings не разрешены им единым пакетом. Где доказательства недостаточны, реестр остаётся ссылочным. LOCAL_RESEARCH_COPY отмечает исследовательское получение, не право выставить копию публично.</w:t>
      </w:r>
    </w:p>
    <w:p>
      <w:pPr>
        <w:pStyle w:val="SourceLine"/>
        <w:widowControl/>
      </w:pPr>
      <w:r>
        <w:t xml:space="preserve">Проверенные входы: </w:t>
      </w:r>
      <w:hyperlink r:id="rId18">
        <w:r>
          <w:rPr>
            <w:color w:val="245D90"/>
            <w:u w:val="single"/>
          </w:rPr>
          <w:t>R004</w:t>
        </w:r>
      </w:hyperlink>
      <w:r>
        <w:t xml:space="preserve">  ·  </w:t>
      </w:r>
      <w:hyperlink r:id="rId71">
        <w:r>
          <w:rPr>
            <w:color w:val="245D90"/>
            <w:u w:val="single"/>
          </w:rPr>
          <w:t>R006</w:t>
        </w:r>
      </w:hyperlink>
      <w:r>
        <w:t xml:space="preserve">  ·  </w:t>
      </w:r>
      <w:hyperlink r:id="rId20">
        <w:r>
          <w:rPr>
            <w:color w:val="245D90"/>
            <w:u w:val="single"/>
          </w:rPr>
          <w:t>R017</w:t>
        </w:r>
      </w:hyperlink>
      <w:r>
        <w:t xml:space="preserve">  ·  </w:t>
      </w:r>
      <w:hyperlink r:id="rId15">
        <w:r>
          <w:rPr>
            <w:color w:val="245D90"/>
            <w:u w:val="single"/>
          </w:rPr>
          <w:t>R020</w:t>
        </w:r>
      </w:hyperlink>
      <w:r>
        <w:t xml:space="preserve">  ·  </w:t>
      </w:r>
      <w:hyperlink r:id="rId45">
        <w:r>
          <w:rPr>
            <w:color w:val="245D90"/>
            <w:u w:val="single"/>
          </w:rPr>
          <w:t>R039</w:t>
        </w:r>
      </w:hyperlink>
      <w:r>
        <w:t xml:space="preserve">  ·  </w:t>
      </w:r>
      <w:hyperlink r:id="rId35">
        <w:r>
          <w:rPr>
            <w:color w:val="245D90"/>
            <w:u w:val="single"/>
          </w:rPr>
          <w:t>R058</w:t>
        </w:r>
      </w:hyperlink>
      <w:r>
        <w:t xml:space="preserve">  ·  </w:t>
      </w:r>
      <w:hyperlink r:id="rId31">
        <w:r>
          <w:rPr>
            <w:color w:val="245D90"/>
            <w:u w:val="single"/>
          </w:rPr>
          <w:t>R070</w:t>
        </w:r>
      </w:hyperlink>
      <w:r>
        <w:t xml:space="preserve">  ·  </w:t>
      </w:r>
      <w:hyperlink r:id="rId32">
        <w:r>
          <w:rPr>
            <w:color w:val="245D90"/>
            <w:u w:val="single"/>
          </w:rPr>
          <w:t>R075</w:t>
        </w:r>
      </w:hyperlink>
    </w:p>
    <w:p>
      <w:pPr>
        <w:widowControl/>
      </w:pPr>
      <w:r>
        <w:t>Современные переводы, двуязычные редакции и аппарат остаются purchase, preview или institutional_access. Их научная ценность сохранена: Brett, Shaw, Dyson, Watt и Garnett/Ryan не заменены случайными неавторизованными PDF. Каталожная карточка распроданного русского издания также полезна и не исключена.</w:t>
      </w:r>
    </w:p>
    <w:p>
      <w:pPr>
        <w:pStyle w:val="SourceLine"/>
        <w:widowControl/>
      </w:pPr>
      <w:r>
        <w:t xml:space="preserve">Проверенные входы: </w:t>
      </w:r>
      <w:hyperlink r:id="rId64">
        <w:r>
          <w:rPr>
            <w:color w:val="245D90"/>
            <w:u w:val="single"/>
          </w:rPr>
          <w:t>R008</w:t>
        </w:r>
      </w:hyperlink>
      <w:r>
        <w:t xml:space="preserve">  ·  </w:t>
      </w:r>
      <w:hyperlink r:id="rId75">
        <w:r>
          <w:rPr>
            <w:color w:val="245D90"/>
            <w:u w:val="single"/>
          </w:rPr>
          <w:t>R011</w:t>
        </w:r>
      </w:hyperlink>
      <w:r>
        <w:t xml:space="preserve">  ·  </w:t>
      </w:r>
      <w:hyperlink r:id="rId13">
        <w:r>
          <w:rPr>
            <w:color w:val="245D90"/>
            <w:u w:val="single"/>
          </w:rPr>
          <w:t>R012</w:t>
        </w:r>
      </w:hyperlink>
      <w:r>
        <w:t xml:space="preserve">  ·  </w:t>
      </w:r>
      <w:hyperlink r:id="rId76">
        <w:r>
          <w:rPr>
            <w:color w:val="245D90"/>
            <w:u w:val="single"/>
          </w:rPr>
          <w:t>R014</w:t>
        </w:r>
      </w:hyperlink>
      <w:r>
        <w:t xml:space="preserve">  ·  </w:t>
      </w:r>
      <w:hyperlink r:id="rId81">
        <w:r>
          <w:rPr>
            <w:color w:val="245D90"/>
            <w:u w:val="single"/>
          </w:rPr>
          <w:t>R029</w:t>
        </w:r>
      </w:hyperlink>
      <w:r>
        <w:t xml:space="preserve">  ·  </w:t>
      </w:r>
      <w:hyperlink r:id="rId34">
        <w:r>
          <w:rPr>
            <w:color w:val="245D90"/>
            <w:u w:val="single"/>
          </w:rPr>
          <w:t>R047</w:t>
        </w:r>
      </w:hyperlink>
      <w:r>
        <w:t xml:space="preserve">  ·  </w:t>
      </w:r>
      <w:hyperlink r:id="rId66">
        <w:r>
          <w:rPr>
            <w:color w:val="245D90"/>
            <w:u w:val="single"/>
          </w:rPr>
          <w:t>R071</w:t>
        </w:r>
      </w:hyperlink>
      <w:r>
        <w:t xml:space="preserve">  ·  </w:t>
      </w:r>
      <w:hyperlink r:id="rId51">
        <w:r>
          <w:rPr>
            <w:color w:val="245D90"/>
            <w:u w:val="single"/>
          </w:rPr>
          <w:t>R072</w:t>
        </w:r>
      </w:hyperlink>
    </w:p>
    <w:p>
      <w:pPr>
        <w:pStyle w:val="Heading2"/>
      </w:pPr>
      <w:r>
        <w:t>4.4. Собственный перевод ToS</w:t>
      </w:r>
    </w:p>
    <w:p>
      <w:pPr>
        <w:widowControl/>
      </w:pPr>
      <w:r>
        <w:t>OWN_TRANSLATION_POSSIBLE поставлен только у трёх конкретных основ: историческая латынь Monarchia 1559, историческая латынь De regimine principum 1502 и открытый греческий TEI Politics. Для последнего распространяемый новый перевод — переработка лицензированного текста с условиями CC BY-SA. Теги не распространяются на современные аппараты, введения, английские переводы и другие свидетели.</w:t>
      </w:r>
    </w:p>
    <w:p>
      <w:pPr>
        <w:widowControl/>
      </w:pPr>
      <w:r>
        <w:t>У Марсилия открыт сокращённый английский исторический слой, а не оригинал; у Ремиджо латынь дана в современной редакции; у Фичино старый перевод опубликован в современном критическом издании. Поэтому этим объектам не приписана возможность свободного полного нового перевода с доказанно чистой основы.</w:t>
      </w:r>
    </w:p>
    <w:p>
      <w:pPr>
        <w:pStyle w:val="Heading1"/>
      </w:pPr>
      <w:r>
        <w:t>5. Характерные правовые и текстологические тонкости</w:t>
      </w:r>
    </w:p>
    <w:p>
      <w:pPr>
        <w:widowControl/>
      </w:pPr>
      <w:r>
        <w:t>Составной текст и составной copyright — две разные проблемы. De regno с продолжением Птолемея и комментарий к Politica с продолжением Петра Овернского требуют авторского разграничения даже на одном сайте. Затем всё равно проверяются редакторская версия, цифровой объект и условия репозитория.</w:t>
      </w:r>
    </w:p>
    <w:p>
      <w:pPr>
        <w:widowControl/>
      </w:pPr>
      <w:r>
        <w:t>Оглавление и полный файл не тождественны. AL XXIX.1 — ранний неполный перевод, не вся Politica; планируемая полная редакция XXIX.2 не названа опубликованной. Часть Summa, отдельный том Opus или фрагмент рукописи не становятся полным корпусом из-за доступности страницы.</w:t>
      </w:r>
    </w:p>
    <w:p>
      <w:pPr>
        <w:pStyle w:val="SourceLine"/>
        <w:widowControl/>
      </w:pPr>
      <w:r>
        <w:t xml:space="preserve">Проверенные входы: </w:t>
      </w:r>
      <w:hyperlink r:id="rId19">
        <w:r>
          <w:rPr>
            <w:color w:val="245D90"/>
            <w:u w:val="single"/>
          </w:rPr>
          <w:t>R005</w:t>
        </w:r>
      </w:hyperlink>
      <w:r>
        <w:t xml:space="preserve">  ·  </w:t>
      </w:r>
      <w:hyperlink r:id="rId21">
        <w:r>
          <w:rPr>
            <w:color w:val="245D90"/>
            <w:u w:val="single"/>
          </w:rPr>
          <w:t>R021</w:t>
        </w:r>
      </w:hyperlink>
      <w:r>
        <w:t xml:space="preserve">  ·  </w:t>
      </w:r>
      <w:hyperlink r:id="rId22">
        <w:r>
          <w:rPr>
            <w:color w:val="245D90"/>
            <w:u w:val="single"/>
          </w:rPr>
          <w:t>R022</w:t>
        </w:r>
      </w:hyperlink>
      <w:r>
        <w:t xml:space="preserve">  ·  </w:t>
      </w:r>
      <w:hyperlink r:id="rId69">
        <w:r>
          <w:rPr>
            <w:color w:val="245D90"/>
            <w:u w:val="single"/>
          </w:rPr>
          <w:t>R027</w:t>
        </w:r>
      </w:hyperlink>
      <w:r>
        <w:t xml:space="preserve">  ·  </w:t>
      </w:r>
      <w:hyperlink r:id="rId26">
        <w:r>
          <w:rPr>
            <w:color w:val="245D90"/>
            <w:u w:val="single"/>
          </w:rPr>
          <w:t>R036</w:t>
        </w:r>
      </w:hyperlink>
      <w:r>
        <w:t xml:space="preserve">  ·  </w:t>
      </w:r>
      <w:hyperlink r:id="rId40">
        <w:r>
          <w:rPr>
            <w:color w:val="245D90"/>
            <w:u w:val="single"/>
          </w:rPr>
          <w:t>R041</w:t>
        </w:r>
      </w:hyperlink>
      <w:r>
        <w:t xml:space="preserve">  ·  </w:t>
      </w:r>
      <w:hyperlink r:id="rId28">
        <w:r>
          <w:rPr>
            <w:color w:val="245D90"/>
            <w:u w:val="single"/>
          </w:rPr>
          <w:t>R049</w:t>
        </w:r>
      </w:hyperlink>
      <w:r>
        <w:t xml:space="preserve">  ·  </w:t>
      </w:r>
      <w:hyperlink r:id="rId17">
        <w:r>
          <w:rPr>
            <w:color w:val="245D90"/>
            <w:u w:val="single"/>
          </w:rPr>
          <w:t>R074</w:t>
        </w:r>
      </w:hyperlink>
    </w:p>
    <w:p>
      <w:pPr>
        <w:widowControl/>
      </w:pPr>
      <w:r>
        <w:t>Историческая переработка не равна нейтральной передаче. CC0 у The defence of peace делает открытой конкретную транскрипцию 1535 года, но не отменяет сокращений. Поиск по ней не должен сообщать, будто отсутствующее место отсутствует у Марсилия вообще.</w:t>
      </w:r>
    </w:p>
    <w:p>
      <w:pPr>
        <w:pStyle w:val="SourceLine"/>
        <w:widowControl/>
      </w:pPr>
      <w:r>
        <w:t xml:space="preserve">Проверенные входы: </w:t>
      </w:r>
      <w:hyperlink r:id="rId16">
        <w:r>
          <w:rPr>
            <w:color w:val="245D90"/>
            <w:u w:val="single"/>
          </w:rPr>
          <w:t>R034</w:t>
        </w:r>
      </w:hyperlink>
    </w:p>
    <w:p>
      <w:pPr>
        <w:widowControl/>
      </w:pPr>
      <w:r>
        <w:t>Метаданные и изображения могут иметь разные права. PDM архивной карточки Digital Scriptorium, каталоговые данные BnF и лицензия интерфейса не лицензируют фотографии рукописей. У Freiburg требуется статус конкретного изображения; у BAV и Columbia права фото не доведены до разрешительного решения. IIIF — способ доставки, не режим copyright.</w:t>
      </w:r>
    </w:p>
    <w:p>
      <w:pPr>
        <w:pStyle w:val="SourceLine"/>
        <w:widowControl/>
      </w:pPr>
      <w:r>
        <w:t xml:space="preserve">Проверенные входы: </w:t>
      </w:r>
      <w:hyperlink r:id="rId12">
        <w:r>
          <w:rPr>
            <w:color w:val="245D90"/>
            <w:u w:val="single"/>
          </w:rPr>
          <w:t>R007</w:t>
        </w:r>
      </w:hyperlink>
      <w:r>
        <w:t xml:space="preserve">  ·  </w:t>
      </w:r>
      <w:hyperlink r:id="rId35">
        <w:r>
          <w:rPr>
            <w:color w:val="245D90"/>
            <w:u w:val="single"/>
          </w:rPr>
          <w:t>R058</w:t>
        </w:r>
      </w:hyperlink>
      <w:r>
        <w:t xml:space="preserve">  ·  </w:t>
      </w:r>
      <w:hyperlink r:id="rId37">
        <w:r>
          <w:rPr>
            <w:color w:val="245D90"/>
            <w:u w:val="single"/>
          </w:rPr>
          <w:t>R062</w:t>
        </w:r>
      </w:hyperlink>
      <w:r>
        <w:t xml:space="preserve">  ·  </w:t>
      </w:r>
      <w:hyperlink r:id="rId59">
        <w:r>
          <w:rPr>
            <w:color w:val="245D90"/>
            <w:u w:val="single"/>
          </w:rPr>
          <w:t>R063</w:t>
        </w:r>
      </w:hyperlink>
      <w:r>
        <w:t xml:space="preserve">  ·  </w:t>
      </w:r>
      <w:hyperlink r:id="rId17">
        <w:r>
          <w:rPr>
            <w:color w:val="245D90"/>
            <w:u w:val="single"/>
          </w:rPr>
          <w:t>R074</w:t>
        </w:r>
      </w:hyperlink>
    </w:p>
    <w:p>
      <w:pPr>
        <w:keepNext/>
        <w:widowControl/>
      </w:pPr>
      <w:r>
        <w:t>Современная редакция исторического текста не признана автоматически общественным достоянием. У Schupp, Shaw, Dyson и Panella древняя латынь предоставлена вместе с современным установлением текста, аппаратом и переводом. Реестр не решает абстрактно, охраняется ли любое отдельное чтение: он фиксирует достаточность основания для конкретной операции.</w:t>
      </w:r>
    </w:p>
    <w:p>
      <w:pPr>
        <w:pStyle w:val="SourceLine"/>
        <w:widowControl/>
      </w:pPr>
      <w:r>
        <w:t xml:space="preserve">Проверенные входы: </w:t>
      </w:r>
      <w:hyperlink r:id="rId63">
        <w:r>
          <w:rPr>
            <w:color w:val="245D90"/>
            <w:u w:val="single"/>
          </w:rPr>
          <w:t>R003</w:t>
        </w:r>
      </w:hyperlink>
      <w:r>
        <w:t xml:space="preserve">  ·  </w:t>
      </w:r>
      <w:hyperlink r:id="rId75">
        <w:r>
          <w:rPr>
            <w:color w:val="245D90"/>
            <w:u w:val="single"/>
          </w:rPr>
          <w:t>R011</w:t>
        </w:r>
      </w:hyperlink>
      <w:r>
        <w:t xml:space="preserve">  ·  </w:t>
      </w:r>
      <w:hyperlink r:id="rId20">
        <w:r>
          <w:rPr>
            <w:color w:val="245D90"/>
            <w:u w:val="single"/>
          </w:rPr>
          <w:t>R017</w:t>
        </w:r>
      </w:hyperlink>
      <w:r>
        <w:t xml:space="preserve">  ·  </w:t>
      </w:r>
      <w:hyperlink r:id="rId34">
        <w:r>
          <w:rPr>
            <w:color w:val="245D90"/>
            <w:u w:val="single"/>
          </w:rPr>
          <w:t>R047</w:t>
        </w:r>
      </w:hyperlink>
      <w:r>
        <w:t xml:space="preserve">  ·  </w:t>
      </w:r>
      <w:hyperlink r:id="rId36">
        <w:r>
          <w:rPr>
            <w:color w:val="245D90"/>
            <w:u w:val="single"/>
          </w:rPr>
          <w:t>R059</w:t>
        </w:r>
      </w:hyperlink>
      <w:r>
        <w:t xml:space="preserve">  ·  </w:t>
      </w:r>
      <w:hyperlink r:id="rId51">
        <w:r>
          <w:rPr>
            <w:color w:val="245D90"/>
            <w:u w:val="single"/>
          </w:rPr>
          <w:t>R072</w:t>
        </w:r>
      </w:hyperlink>
      <w:r>
        <w:t xml:space="preserve">  ·  </w:t>
      </w:r>
      <w:hyperlink r:id="rId32">
        <w:r>
          <w:rPr>
            <w:color w:val="245D90"/>
            <w:u w:val="single"/>
          </w:rPr>
          <w:t>R075</w:t>
        </w:r>
      </w:hyperlink>
    </w:p>
    <w:p>
      <w:pPr>
        <w:widowControl/>
      </w:pPr>
      <w:r>
        <w:t>Проверенная доступность иногда слабее каталожного обещания. Full view HathiTrust и бесплатный viewer dMGH сохранены, но ошибки отмечены. Сбой инструмента и региональный предел не интерпретированы как исчезновение произведения. У русских изданий нельзя назначать переводчика по похожему названию: соответствующие пробелы оставлены видимыми.</w:t>
      </w:r>
    </w:p>
    <w:p>
      <w:pPr>
        <w:pStyle w:val="SourceLine"/>
        <w:widowControl/>
      </w:pPr>
      <w:r>
        <w:t xml:space="preserve">Проверенные входы: </w:t>
      </w:r>
      <w:hyperlink r:id="rId62">
        <w:r>
          <w:rPr>
            <w:color w:val="245D90"/>
            <w:u w:val="single"/>
          </w:rPr>
          <w:t>R009</w:t>
        </w:r>
      </w:hyperlink>
      <w:r>
        <w:t xml:space="preserve">  ·  </w:t>
      </w:r>
      <w:hyperlink r:id="rId15">
        <w:r>
          <w:rPr>
            <w:color w:val="245D90"/>
            <w:u w:val="single"/>
          </w:rPr>
          <w:t>R020</w:t>
        </w:r>
      </w:hyperlink>
      <w:r>
        <w:t xml:space="preserve">  ·  </w:t>
      </w:r>
      <w:hyperlink r:id="rId56">
        <w:r>
          <w:rPr>
            <w:color w:val="245D90"/>
            <w:u w:val="single"/>
          </w:rPr>
          <w:t>R060</w:t>
        </w:r>
      </w:hyperlink>
      <w:r>
        <w:t xml:space="preserve">  ·  </w:t>
      </w:r>
      <w:hyperlink r:id="rId31">
        <w:r>
          <w:rPr>
            <w:color w:val="245D90"/>
            <w:u w:val="single"/>
          </w:rPr>
          <w:t>R070</w:t>
        </w:r>
      </w:hyperlink>
      <w:r>
        <w:t xml:space="preserve">  ·  </w:t>
      </w:r>
      <w:hyperlink r:id="rId66">
        <w:r>
          <w:rPr>
            <w:color w:val="245D90"/>
            <w:u w:val="single"/>
          </w:rPr>
          <w:t>R071</w:t>
        </w:r>
      </w:hyperlink>
    </w:p>
    <w:p>
      <w:pPr>
        <w:pStyle w:val="Heading1"/>
      </w:pPr>
      <w:r>
        <w:t>6. Пробелы и дальнейший поиск</w:t>
      </w:r>
    </w:p>
    <w:p>
      <w:pPr>
        <w:pStyle w:val="Heading2"/>
      </w:pPr>
      <w:r>
        <w:t>6.1. Неполные области</w:t>
      </w:r>
    </w:p>
    <w:p>
      <w:pPr>
        <w:widowControl/>
      </w:pPr>
      <w:r>
        <w:t>Самые существенные текстовые пробелы: полный проверенный латинский Иоанн Парижский; латинские малые сочинения Марсилия; части политического корпуса Оккама за пределами Dialogus и английских антологий; латинские трактаты Бартола; комментарий Альберта Великого; полный латинский Кузанец. Покупка, preview или каталог в пакете не означают отсутствия самого текста.</w:t>
      </w:r>
    </w:p>
    <w:p>
      <w:pPr>
        <w:widowControl/>
      </w:pPr>
      <w:r>
        <w:t>Технические ограничения сосредоточены вокруг SDI/Princeton, ALIM, ряда страниц Panella, dMGH/BSB, Cusanus-Portal, Gallica и отдельных издательских входов. Использованы доступные альтернативы; не открывшиеся ссылки сохранены в registry или gaps. Отдельной проверки требуют изображения и IIIF, прежде всего Vat. lat. 4115, Columbia и рукописная традиция Monarchia.</w:t>
      </w:r>
    </w:p>
    <w:p>
      <w:pPr>
        <w:widowControl/>
      </w:pPr>
      <w:r>
        <w:t>Неясные права остаются у многих бесплатных HTML-редакций и старых сканов без применимого item-level уведомления. Покупка или институциональная подписка — основные найденные пути к современным изданиям Brett, Watt, Dyson, Blythe и Бартола. Фактическая выдача конкретному читателю не проверялась; регистрации, покупки и запросы разрешений не выполнялись.</w:t>
      </w:r>
    </w:p>
    <w:p>
      <w:pPr>
        <w:pStyle w:val="Heading2"/>
      </w:pPr>
      <w:r>
        <w:t>6.2. Восемь направлений с наибольшим ожидаемым приростом</w:t>
      </w:r>
    </w:p>
    <w:p>
      <w:pPr>
        <w:widowControl/>
      </w:pPr>
      <w:r>
        <w:t>1. Латинское ядро папско-светской полемики. Найти item-level издания Иоанна Парижского, Defensor minor и De translatione imperii; сверить идентичность одноимённых текстов. Завершить получение Scholz через dMGH или институциональную альтернативу, не подменяя его неавторизованным сканом.</w:t>
      </w:r>
    </w:p>
    <w:p>
      <w:pPr>
        <w:widowControl/>
      </w:pPr>
      <w:r>
        <w:t>2. Оккам за пределами Dialogus. По редакторской библиографии определить полные версии An princeps, Octo quaestiones, Compendium errorum и Tractatus contra Benedictum. У Гольдаста проверить оглавление и страницы: весь том нельзя импортировать как единый корпус Оккама.</w:t>
      </w:r>
    </w:p>
    <w:p>
      <w:pPr>
        <w:widowControl/>
      </w:pPr>
      <w:r>
        <w:t>3. Городская линия. Открыть оставшиеся страницы трактатов Ремиджо и проверить условия авторского архива; найти латинские De tyranno, De regimine civitatis и De Guelphis et Gebellinis Бартола. Другие Sermones de pace добавлять лишь после проверки их городской релевантности.</w:t>
      </w:r>
    </w:p>
    <w:p>
      <w:pPr>
        <w:widowControl/>
      </w:pPr>
      <w:r>
        <w:t>4. Комментарий и перевод Politica. Проверить полную версию Мёрбеке, опубликованный состав ALD, комментарий Альберта, французскую редакцию Орема и латинский перевод Бруни. Общая страница проекта не заменяет полный текст конкретной версии.</w:t>
      </w:r>
    </w:p>
    <w:p>
      <w:pPr>
        <w:widowControl/>
      </w:pPr>
      <w:r>
        <w:t>5. Физические свидетели. Получить настоящие изображения SDI, Vat. lat. 4115 и Smith Med/Ren Frag. 11; сохранить отдельные права на фото. Завершить проверку маркировки изображений Summa 1473 во Freiburg и условий NoC-NC у BSB.</w:t>
      </w:r>
    </w:p>
    <w:p>
      <w:pPr>
        <w:widowControl/>
      </w:pPr>
      <w:r>
        <w:t>6. Ранние источники по фактическим цитатам. Найти открытые оригинальные слои Augustine XIX, Геласия и Ethica; проверить Вульгату и канонические глоссы. Из exempla Ремиджо приоритетны названные места Цицерона, Валерия Максима и Gualterus, не общее собрание античной литературы.</w:t>
      </w:r>
    </w:p>
    <w:p>
      <w:pPr>
        <w:widowControl/>
      </w:pPr>
      <w:r>
        <w:t>7. Поздняя концилиарная передача. Начать с Abbreviatio Dialogi Петра д’Айи как предполагаемого прямого сокращения; затем установить тексты Жерсона, Забареллы и Панормитана. Для Хукера нужны точные цитаты/ссылки на Марсилия. Пока это кандидаты, не доказанные прямые влияния.</w:t>
      </w:r>
    </w:p>
    <w:p>
      <w:pPr>
        <w:widowControl/>
      </w:pPr>
      <w:r>
        <w:t>8. Русские версии и чистая переводная основа. По ISBN сверить переводчиков, год, полноту и язык-посредник русских Monarchia и Defensor pacis. Для Фичино установить историческое печатное издание; для аль-Фараби и Аверроэса — исходные арабские/латинские слои, отдельно от современных реконструкций и спорной генеалогии влияний.</w:t>
      </w:r>
    </w:p>
    <w:p>
      <w:pPr>
        <w:pStyle w:val="Heading2"/>
      </w:pPr>
      <w:r>
        <w:t>6.3. Пределы проведённого поиска</w:t>
      </w:r>
    </w:p>
    <w:p>
      <w:pPr>
        <w:widowControl/>
      </w:pPr>
      <w:r>
        <w:t>Пакет завершён как исследовательская карта с явными незакрытыми задачами, не как исчерпывающая мировая библиография. Центральные семейства и содержательное расширение в обе стороны времени покрыты, но новые находки возможны. Ограничение касается прежде всего постраничной проверки динамических viewers, редких редакций и прав на фото. Повторные общие порталы не добавлялись ради числа строк.</w:t>
      </w:r>
    </w:p>
    <w:p>
      <w:pPr>
        <w:widowControl/>
      </w:pPr>
      <w:r>
        <w:t>Кандидаты unverified_candidate и остальные записи gaps нельзя автоматически импортировать как доказанные произведения/влияния или разрешённые файлы. Это особенно относится к дальним концилиарным текстам и Хукеру. Неустановленный источник версии Wikisource также не даёт права считать её чистой основой; сама платформа не приравнивается к Wikipedia.</w:t>
      </w:r>
    </w:p>
    <w:p>
      <w:pPr>
        <w:pStyle w:val="Heading1"/>
      </w:pPr>
      <w:r>
        <w:t>7. Итоговая оценка</w:t>
      </w:r>
    </w:p>
    <w:p>
      <w:pPr>
        <w:widowControl/>
      </w:pPr>
      <w:r>
        <w:t>Корпус хорошо покрыт по центральным названиям и практическим путям знакомства, слабее — по полной рукописной традиции и лицензиям современных редакций. Оригиналы доступны неравномерно: у Данте и Эгидия есть исторические латинские основы с PDM; у Аквината и Ремиджо — удобное бесплатное чтение с ограниченными или неясными правами; у части авторов — пока критическое издание, каталог или платный перевод.</w:t>
      </w:r>
    </w:p>
    <w:p>
      <w:pPr>
        <w:widowControl/>
      </w:pPr>
      <w:r>
        <w:t>Английские переводы представлены лучше русских. Старые версии полезны для чтения и поиска, но требуют контроля сокращений и терминологии. Современные научные издания остаются опорой даже без права зеркалирования. Самый свободный машиночитаемый слой — Perseus TEI и TCP; он не совпадает со всем историческим ядром T2-28.</w:t>
      </w:r>
    </w:p>
    <w:p>
      <w:pPr>
        <w:widowControl/>
        <w:ind w:left="173"/>
        <w:shd w:fill="EAF1F5"/>
      </w:pPr>
      <w:r>
        <w:t>Первый публичный слой ToS: библиографические карточки и внешние ссылки для проверенных объектов; отдельно — файлы и производные данные только из доказанно свободных слоёв с их условиями. Для остального сохранять различие «можно прочитать» и «можно разместить у себя».</w:t>
      </w:r>
    </w:p>
    <w:p>
      <w:pPr>
        <w:widowControl/>
      </w:pPr>
      <w:r>
        <w:t>Пакет пригоден для передачи Codex как исследовательский реестр: ID не изменён, версии и доступ отделены от прав, неопределённость сохранена в verification_status, coverage, rights_scope и notes. Высокий rights_confidence означает уверенность в конкретном описании прав, в том числе в ограничениях, а не «свободность» объекта.</w:t>
      </w:r>
    </w:p>
    <w:p>
      <w:pPr>
        <w:widowControl/>
      </w:pPr>
      <w:r>
        <w:t>При обработке сначала учитывать rights_scope и coverage, затем tos_use. RIGHTS_REVIEW_REQUIRED блокирует расширительное толкование положительного тега. Пустой direct_download_url означает, что прямой файл не установлен или не подтверждён; пустой rights_evidence_url — отсутствие найденного надёжного правового доказательства, не разрешение по умолчанию. Массовая загрузка всех landing_url из пакета не следует.</w:t>
      </w:r>
    </w:p>
    <w:p>
      <w:pPr>
        <w:pStyle w:val="SmallNote"/>
        <w:widowControl/>
      </w:pPr>
      <w:r>
        <w:t>Поставка: ToS_Corpus_Rights_T2-28_registry.xlsx — 75 записей, 32 поля, лист gaps с 29 записями; ToS_Corpus_Rights_T2-28_report.docx — данный отчёт. Исходный DR не редактировался.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37" w:bottom="936" w:left="1123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Проверка: 04.09.2026  |  Исследовательская карта доступа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ToS / Древо Софии  •  Corpus &amp; Rights  •  T2-28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635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9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93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9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Line">
    <w:name w:val="SourceLine"/>
    <w:pPr>
      <w:spacing w:after="160" w:line="240" w:lineRule="auto"/>
    </w:pPr>
    <w:rPr>
      <w:rFonts w:ascii="Calibri" w:hAnsi="Calibri"/>
      <w:color w:val="596A78"/>
      <w:sz w:val="18"/>
    </w:rPr>
  </w:style>
  <w:style w:type="paragraph" w:customStyle="1" w:styleId="SmallNote">
    <w:name w:val="SmallNote"/>
    <w:pPr>
      <w:spacing w:after="160" w:line="240" w:lineRule="auto"/>
    </w:pPr>
    <w:rPr>
      <w:rFonts w:ascii="Calibri" w:hAnsi="Calibri"/>
      <w:color w:val="596A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utenberg.org/ebooks/33896" TargetMode="External"/><Relationship Id="rId12" Type="http://schemas.openxmlformats.org/officeDocument/2006/relationships/hyperlink" Target="https://www.e-rara.ch/bau_1/content/titleinfo/28956679" TargetMode="External"/><Relationship Id="rId13" Type="http://schemas.openxmlformats.org/officeDocument/2006/relationships/hyperlink" Target="https://www.cambridge.org/highereducation/books/marsilius-of-padua-the-defender-of-the-peace/B144F61618ECF754C5FDB8EFDAD1DF68" TargetMode="External"/><Relationship Id="rId14" Type="http://schemas.openxmlformats.org/officeDocument/2006/relationships/hyperlink" Target="https://www.cambridge.org/core/books/marsiglio-of-padua-defensor-minor-and-de-translatione-imperii/2344511CB88C5A8A1D929CD45BE8C2B7" TargetMode="External"/><Relationship Id="rId15" Type="http://schemas.openxmlformats.org/officeDocument/2006/relationships/hyperlink" Target="https://www.dmgh.de/mgh_fontes_iuris_7/" TargetMode="External"/><Relationship Id="rId16" Type="http://schemas.openxmlformats.org/officeDocument/2006/relationships/hyperlink" Target="https://github.com/textcreationpartnership/A07430" TargetMode="External"/><Relationship Id="rId17" Type="http://schemas.openxmlformats.org/officeDocument/2006/relationships/hyperlink" Target="https://archive.org/details/RenFrag.11_20" TargetMode="External"/><Relationship Id="rId18" Type="http://schemas.openxmlformats.org/officeDocument/2006/relationships/hyperlink" Target="https://www.corpusthomisticum.org/orp.html" TargetMode="External"/><Relationship Id="rId19" Type="http://schemas.openxmlformats.org/officeDocument/2006/relationships/hyperlink" Target="https://www.corpusthomisticum.org/xrp.html" TargetMode="External"/><Relationship Id="rId20" Type="http://schemas.openxmlformats.org/officeDocument/2006/relationships/hyperlink" Target="https://www.e-theca.net/emiliopanella/remigio2/8541.htm" TargetMode="External"/><Relationship Id="rId21" Type="http://schemas.openxmlformats.org/officeDocument/2006/relationships/hyperlink" Target="https://www.corpusthomisticum.org/cpo.html" TargetMode="External"/><Relationship Id="rId22" Type="http://schemas.openxmlformats.org/officeDocument/2006/relationships/hyperlink" Target="https://www.corpusthomisticum.org/xpo03.html" TargetMode="External"/><Relationship Id="rId23" Type="http://schemas.openxmlformats.org/officeDocument/2006/relationships/hyperlink" Target="https://www.corpusthomisticum.org/sth2090.html" TargetMode="External"/><Relationship Id="rId24" Type="http://schemas.openxmlformats.org/officeDocument/2006/relationships/hyperlink" Target="https://uvadoc.uva.es/handle/10324/17103?show=full" TargetMode="External"/><Relationship Id="rId25" Type="http://schemas.openxmlformats.org/officeDocument/2006/relationships/hyperlink" Target="https://books.google.com/books/about/William_of_Ockham_A_Short_Discourse_on_T.html?id=nnd8r3kTpcgC" TargetMode="External"/><Relationship Id="rId26" Type="http://schemas.openxmlformats.org/officeDocument/2006/relationships/hyperlink" Target="https://mellenpress.com/book/Translation-of-William-of-Ockhams-Work-of-Ninety-Days-Vol-1/4639/" TargetMode="External"/><Relationship Id="rId27" Type="http://schemas.openxmlformats.org/officeDocument/2006/relationships/hyperlink" Target="https://www.abebooks.com/9781855065529/Power-Emperors-Popes-Thoemmes-Press-1855065525/plp" TargetMode="External"/><Relationship Id="rId28" Type="http://schemas.openxmlformats.org/officeDocument/2006/relationships/hyperlink" Target="https://mellenpress.com/book/Translation-of-William-of-Ockhams-Work-of-Ninety-Days-Vol-2/598/" TargetMode="External"/><Relationship Id="rId29" Type="http://schemas.openxmlformats.org/officeDocument/2006/relationships/hyperlink" Target="https://www.e-theca.net/emiliopanella/remigio3/miseri19.htm" TargetMode="External"/><Relationship Id="rId30" Type="http://schemas.openxmlformats.org/officeDocument/2006/relationships/hyperlink" Target="https://books.google.com/books/about/William_of_Ockham_A_Letter_to_the_Friars.html?id=bWIZ3C0tyA0C" TargetMode="External"/><Relationship Id="rId31" Type="http://schemas.openxmlformats.org/officeDocument/2006/relationships/hyperlink" Target="https://catalog.hathitrust.org/Record/103190582" TargetMode="External"/><Relationship Id="rId32" Type="http://schemas.openxmlformats.org/officeDocument/2006/relationships/hyperlink" Target="https://www.e-theca.net/emiliopanella/remigio2/8561.htm" TargetMode="External"/><Relationship Id="rId33" Type="http://schemas.openxmlformats.org/officeDocument/2006/relationships/hyperlink" Target="https://www.corpusthomisticum.org/ori.html" TargetMode="External"/><Relationship Id="rId34" Type="http://schemas.openxmlformats.org/officeDocument/2006/relationships/hyperlink" Target="https://www.abebooks.com/9789004175976/James-Viterbo-Regimine-Christiano-Critical-9004175970/plp" TargetMode="External"/><Relationship Id="rId35" Type="http://schemas.openxmlformats.org/officeDocument/2006/relationships/hyperlink" Target="https://dl.ub.uni-freiburg.de/diglit/augustinus1473" TargetMode="External"/><Relationship Id="rId36" Type="http://schemas.openxmlformats.org/officeDocument/2006/relationships/hyperlink" Target="https://www.lunieditrice.com/product/monarchia-dante/" TargetMode="External"/><Relationship Id="rId37" Type="http://schemas.openxmlformats.org/officeDocument/2006/relationships/hyperlink" Target="https://digi.vatlib.it/view/MSS_Vat.lat.4115" TargetMode="External"/><Relationship Id="rId38" Type="http://schemas.openxmlformats.org/officeDocument/2006/relationships/hyperlink" Target="https://geschichtsquellen.de/werk/3409" TargetMode="External"/><Relationship Id="rId39" Type="http://schemas.openxmlformats.org/officeDocument/2006/relationships/hyperlink" Target="https://geschichtsquellen.de/werk/2124" TargetMode="External"/><Relationship Id="rId40" Type="http://schemas.openxmlformats.org/officeDocument/2006/relationships/hyperlink" Target="https://hiw.kuleuven.be/dwmc/research/al/editions" TargetMode="External"/><Relationship Id="rId41" Type="http://schemas.openxmlformats.org/officeDocument/2006/relationships/hyperlink" Target="https://github.com/PerseusDL/canonical-greekLit/blob/master/data/tlg0086/tlg035/tlg0086.tlg035.perseus-grc2.xml" TargetMode="External"/><Relationship Id="rId42" Type="http://schemas.openxmlformats.org/officeDocument/2006/relationships/hyperlink" Target="https://github.com/PerseusDL/canonical-greekLit/blob/master/data/tlg0086/tlg035/tlg0086.tlg035.perseus-eng2.xml" TargetMode="External"/><Relationship Id="rId43" Type="http://schemas.openxmlformats.org/officeDocument/2006/relationships/hyperlink" Target="https://www.gutenberg.org/ebooks/6762" TargetMode="External"/><Relationship Id="rId44" Type="http://schemas.openxmlformats.org/officeDocument/2006/relationships/hyperlink" Target="https://web.pdx.edu/~ott/Gelasius/" TargetMode="External"/><Relationship Id="rId45" Type="http://schemas.openxmlformats.org/officeDocument/2006/relationships/hyperlink" Target="https://www.columbia.edu/cu/lweb/digital/collections/cul/texts/ldpd_6029936_001/" TargetMode="External"/><Relationship Id="rId46" Type="http://schemas.openxmlformats.org/officeDocument/2006/relationships/hyperlink" Target="https://www.hs-augsburg.de/~harsch/Chronologia/Lspost13/GregoriusIX/gre_0000.html" TargetMode="External"/><Relationship Id="rId47" Type="http://schemas.openxmlformats.org/officeDocument/2006/relationships/hyperlink" Target="https://sourcebooks.web.fordham.edu/source/donatconst.asp" TargetMode="External"/><Relationship Id="rId48" Type="http://schemas.openxmlformats.org/officeDocument/2006/relationships/hyperlink" Target="https://www.newadvent.org/fathers/120119.htm" TargetMode="External"/><Relationship Id="rId49" Type="http://schemas.openxmlformats.org/officeDocument/2006/relationships/hyperlink" Target="https://droitromain.univ-grenoble-alpes.fr/Corpus/iust_institut.html" TargetMode="External"/><Relationship Id="rId50" Type="http://schemas.openxmlformats.org/officeDocument/2006/relationships/hyperlink" Target="https://yalebooks.co.uk/book/9780300178296/long-commentary-on-the-de-anima-of-aristotle/" TargetMode="External"/><Relationship Id="rId51" Type="http://schemas.openxmlformats.org/officeDocument/2006/relationships/hyperlink" Target="https://meiner.de/fmv_de/a-ber-die-wissenschaften-15414" TargetMode="External"/><Relationship Id="rId52" Type="http://schemas.openxmlformats.org/officeDocument/2006/relationships/hyperlink" Target="https://catalog.hathitrust.org/Record/006752728" TargetMode="External"/><Relationship Id="rId53" Type="http://schemas.openxmlformats.org/officeDocument/2006/relationships/hyperlink" Target="https://books.google.com/books?id=ZURD9uKGZbUC" TargetMode="External"/><Relationship Id="rId54" Type="http://schemas.openxmlformats.org/officeDocument/2006/relationships/hyperlink" Target="https://sourcebooks.web.fordham.edu/source/constance1.asp" TargetMode="External"/><Relationship Id="rId55" Type="http://schemas.openxmlformats.org/officeDocument/2006/relationships/hyperlink" Target="https://sourcebooks.web.fordham.edu/source/constance2.asp" TargetMode="External"/><Relationship Id="rId56" Type="http://schemas.openxmlformats.org/officeDocument/2006/relationships/hyperlink" Target="https://catalog.hathitrust.org/Record/001399472" TargetMode="External"/><Relationship Id="rId57" Type="http://schemas.openxmlformats.org/officeDocument/2006/relationships/hyperlink" Target="https://www.cuapress.org/9780813213385/the-imonarchiai-controversy/" TargetMode="External"/><Relationship Id="rId58" Type="http://schemas.openxmlformats.org/officeDocument/2006/relationships/hyperlink" Target="https://www.deutsche-digitale-bibliothek.de/item/MP4CYHX75G6GOQ4QMQQ3N5W42CERIAB4" TargetMode="External"/><Relationship Id="rId59" Type="http://schemas.openxmlformats.org/officeDocument/2006/relationships/hyperlink" Target="https://catalogue.bnf.fr/ark:/12148/cb300277639" TargetMode="External"/><Relationship Id="rId60" Type="http://schemas.openxmlformats.org/officeDocument/2006/relationships/hyperlink" Target="https://books.google.com/books/about/Conciliarism_and_Papalism.html?id=lyJ1QgAACAAJ" TargetMode="External"/><Relationship Id="rId61" Type="http://schemas.openxmlformats.org/officeDocument/2006/relationships/hyperlink" Target="https://oll.libertyfund.org/titles/reinhardt-de-monarchia" TargetMode="External"/><Relationship Id="rId62" Type="http://schemas.openxmlformats.org/officeDocument/2006/relationships/hyperlink" Target="https://urss.ru/cgi-bin/db.pl?blang=ru&amp;id=110296&amp;lang=Ru&amp;page=Book" TargetMode="External"/><Relationship Id="rId63" Type="http://schemas.openxmlformats.org/officeDocument/2006/relationships/hyperlink" Target="https://www.danteonline.it/monarchia/" TargetMode="External"/><Relationship Id="rId64" Type="http://schemas.openxmlformats.org/officeDocument/2006/relationships/hyperlink" Target="https://www.cambridge.org/highereducation/books/dante-monarchy/E2DC46B9C4129448A28F937FD2EA86B7" TargetMode="External"/><Relationship Id="rId65" Type="http://schemas.openxmlformats.org/officeDocument/2006/relationships/hyperlink" Target="https://www.gutenberg.org/ebooks/12867" TargetMode="External"/><Relationship Id="rId66" Type="http://schemas.openxmlformats.org/officeDocument/2006/relationships/hyperlink" Target="https://www.knigi-janzen.de/view.php?gid=339440" TargetMode="External"/><Relationship Id="rId67" Type="http://schemas.openxmlformats.org/officeDocument/2006/relationships/hyperlink" Target="https://pims.ca/publication/isbn-978-0-88844-251-2/" TargetMode="External"/><Relationship Id="rId68" Type="http://schemas.openxmlformats.org/officeDocument/2006/relationships/hyperlink" Target="https://www.pennpress.org/9780812233704/on-the-government-of-rulers/" TargetMode="External"/><Relationship Id="rId69" Type="http://schemas.openxmlformats.org/officeDocument/2006/relationships/hyperlink" Target="https://www.gutenberg.org/ebooks/17897" TargetMode="External"/><Relationship Id="rId70" Type="http://schemas.openxmlformats.org/officeDocument/2006/relationships/hyperlink" Target="https://www.gutenberg.org/ebooks/18755" TargetMode="External"/><Relationship Id="rId71" Type="http://schemas.openxmlformats.org/officeDocument/2006/relationships/hyperlink" Target="https://publications.thebritishacademy.ac.uk/pubs/dialogus/wtc.html" TargetMode="External"/><Relationship Id="rId72" Type="http://schemas.openxmlformats.org/officeDocument/2006/relationships/hyperlink" Target="https://publications.thebritishacademy.ac.uk/pubs/dialogus/wock.html" TargetMode="External"/><Relationship Id="rId73" Type="http://schemas.openxmlformats.org/officeDocument/2006/relationships/hyperlink" Target="https://www.lib.uchicago.edu/e/scrc/findingaids/view.php?eadid=ICU.SPCL.MS533" TargetMode="External"/><Relationship Id="rId74" Type="http://schemas.openxmlformats.org/officeDocument/2006/relationships/hyperlink" Target="https://archive.org/details/lilivresdugouver00gile" TargetMode="External"/><Relationship Id="rId75" Type="http://schemas.openxmlformats.org/officeDocument/2006/relationships/hyperlink" Target="https://cup.columbia.edu/book/giles-of-romes-on-ecclesiastical-power/9780231128032/" TargetMode="External"/><Relationship Id="rId76" Type="http://schemas.openxmlformats.org/officeDocument/2006/relationships/hyperlink" Target="https://pims.ca/publication/isbn-978-0-88844-258-1/" TargetMode="External"/><Relationship Id="rId77" Type="http://schemas.openxmlformats.org/officeDocument/2006/relationships/hyperlink" Target="https://www.nerbini.it/prodotto/dal-bene-comune-al-bene-del-comune/" TargetMode="External"/><Relationship Id="rId78" Type="http://schemas.openxmlformats.org/officeDocument/2006/relationships/hyperlink" Target="https://archive.org/details/ioannissaresberi01johnuoft" TargetMode="External"/><Relationship Id="rId79" Type="http://schemas.openxmlformats.org/officeDocument/2006/relationships/hyperlink" Target="https://archive.org/details/statesmansbookof0000unse" TargetMode="External"/><Relationship Id="rId80" Type="http://schemas.openxmlformats.org/officeDocument/2006/relationships/hyperlink" Target="https://books.google.com/books/about/John_of_Salisbury_Policraticus.html?id=VjIYTHRXa9wC" TargetMode="External"/><Relationship Id="rId81" Type="http://schemas.openxmlformats.org/officeDocument/2006/relationships/hyperlink" Target="https://www.cambridgebookshop.co.uk/products/bartolus-of-sassoferrato-three-tracts-on-city-government-and-related-writings" TargetMode="External"/><Relationship Id="rId82" Type="http://schemas.openxmlformats.org/officeDocument/2006/relationships/hyperlink" Target="https://about.brepolis.net/aristoteles-latinus-database-ald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T2-28</dc:title>
  <dc:subject>Средневековая политическая философия папства, империи и города: корпус, доступ и права</dc:subject>
  <dc:creator>ToS / Древо Софии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