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57"/>
        <w:jc w:val="center"/>
      </w:pPr>
      <w:r>
        <w:rPr>
          <w:rFonts w:ascii="Liberation Sans" w:hAnsi="Liberation Sans"/>
          <w:b/>
          <w:color w:val="173F4F"/>
          <w:sz w:val="56"/>
        </w:rPr>
        <w:t>ToS Corpus &amp; Rights Registry</w:t>
      </w:r>
    </w:p>
    <w:p>
      <w:pPr>
        <w:pStyle w:val="ReportSubtitle"/>
        <w:jc w:val="center"/>
      </w:pPr>
      <w:r>
        <w:t>A02 - Старовавилонская школьная словесность, мудрость и право</w:t>
      </w:r>
    </w:p>
    <w:p>
      <w:pPr>
        <w:spacing w:before="340"/>
        <w:jc w:val="center"/>
      </w:pPr>
      <w:r>
        <w:rPr>
          <w:b/>
          <w:color w:val="7A5C18"/>
          <w:sz w:val="28"/>
        </w:rPr>
        <w:t>Исследовательский пакет корпуса, доступа и прав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ID / статус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A02 / B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Дата проверки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2 сентября 2026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Реестр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97 практически отличимых путей доступа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Пробелы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19 направлений дальнейшего поиска</w:t>
            </w:r>
          </w:p>
        </w:tc>
      </w:tr>
    </w:tbl>
    <w:p>
      <w:pPr>
        <w:pStyle w:val="SmallNote"/>
        <w:spacing w:before="510"/>
        <w:jc w:val="center"/>
      </w:pPr>
      <w:r>
        <w:t>Правовой статус является исследовательской оценкой, а не юридическим заключением. Все положительные теги ToS ограничены полями rights_scope и coverage.</w:t>
      </w: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ID и название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A02 - Старовавилонская школьная словесность, мудрость и право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Исходный статус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B - нормативный, школьный и литературный корпус философской значимости без автономной философской системы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Исходный DR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ToS Deep Research_ A02 - Старовавилонская школьная словесность, мудрость и право(3).docx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Хронологическое ядро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Формирование около 2200-1800 до н. э.; основная фиксация около 2000-1600 до н. э.; позднее копирование и канонизация до I тысячелетия до н. э.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Дата проверки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2 сентября 2026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Языки поиска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русский, английский, французский, немецкий; шумерская и аккадская транслитерация; варианты имён, названий и каталожных номеров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Ядро корпуса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law collections; edubba; Schooldays; Instructions of Shuruppag; пословицы; disputation poems; Old Babylonian Gilgamesh; лексические и учебные списки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Типы объектов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work, corpus, physical_witness, translation_or_edition, digital_text_or_facsimile, dataset_or_api, digital_project_or_catalogue, secondary_navigation</w:t>
            </w:r>
          </w:p>
        </w:tc>
      </w:tr>
      <w:tr>
        <w:tc>
          <w:tcPr>
            <w:tcW w:type="dxa" w:w="4933"/>
            <w:shd w:fill="DDE8EC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sz w:val="17"/>
              </w:rPr>
              <w:t>Поставка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XLSX с листами registry и gaps; настоящий человекочитаемый DOCX-отчёт</w:t>
            </w:r>
          </w:p>
        </w:tc>
      </w:tr>
    </w:tbl>
    <w:p>
      <w:r>
        <w:t>Исходный DR использован как карта области, а не как закрытый список. Исследование расширено к более ранним правовым и шумерским источникам и к поздней передаче через школьные копии, лексическую стандартизацию и Standard Babylonian Gilgamesh. Дата сама по себе не понижала релевантность.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Историческое ядро</w:t>
      </w:r>
    </w:p>
    <w:p>
      <w:pPr>
        <w:pStyle w:val="ListBullet"/>
      </w:pPr>
      <w:r>
        <w:t>Правовые сборники: Laws of Ur-Namma, Laws of Lipit-Ishtar, Laws of Eshnunna и Codex Hammurapi, включая композиты, отдельные свидетели и старые/современные издания.</w:t>
      </w:r>
    </w:p>
    <w:p>
      <w:pPr>
        <w:pStyle w:val="ListBullet"/>
      </w:pPr>
      <w:r>
        <w:t>Школьная экосистема edubba: Schooldays, E-duba C, Three ox-drivers from Adab, curricular Tetrad и Decad, лексические списки и отдельный открытый student exercise tablet.</w:t>
      </w:r>
    </w:p>
    <w:p>
      <w:pPr>
        <w:pStyle w:val="ListBullet"/>
      </w:pPr>
      <w:r>
        <w:t>Мудрость и нормативность: Instructions of Shuruppag, The Farmer's Instructions, A man and his god и Sumerian proverb collections.</w:t>
      </w:r>
    </w:p>
    <w:p>
      <w:pPr>
        <w:pStyle w:val="ListBullet"/>
      </w:pPr>
      <w:r>
        <w:t>Спор как жанр: шесть ETCSL-композиций и расширяющий корпус DSSt.</w:t>
      </w:r>
    </w:p>
    <w:p>
      <w:pPr>
        <w:pStyle w:val="ListBullet"/>
      </w:pPr>
      <w:r>
        <w:t>Эпическая линия: шесть шумерских Bilgames/Gilgamesh-композиций, Old Babylonian Gilgamesh и Standard Babylonian recension как передача и переработка.</w:t>
      </w:r>
    </w:p>
    <w:p>
      <w:pPr>
        <w:pStyle w:val="Heading2"/>
      </w:pPr>
      <w:r>
        <w:t>2.2. Открытый хронологический контур</w:t>
      </w:r>
    </w:p>
    <w:p>
      <w:r>
        <w:t>Поиск назад включил Laws of Ur-Namma как непосредственный правовой предшественник, раннюю традицию Instructions of Shuruppag и шумерские Bilgames-тексты. Они не просто похожи по теме: старовавилонская школа копирует, переоформляет и передаёт этот материал.</w:t>
      </w:r>
    </w:p>
    <w:p>
      <w:r>
        <w:t>Поиск вперёд включил поздние копии law collections, лексические корпусы и Standard Babylonian Gilgamesh. Более удалённые поздние мудростные тексты - Babylonian Theodicy, Dialogue of Pessimism и Counsels of Wisdom - оставлены в gaps до получения устойчивых item-level страниц и достаточного правового evidence.</w:t>
      </w:r>
    </w:p>
    <w:p>
      <w:pPr>
        <w:pStyle w:val="Heading2"/>
      </w:pPr>
      <w:r>
        <w:t>2.3. Количественный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73F4F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4933"/>
            <w:shd w:fill="173F4F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Записей доступа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97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Различимых первичных произведений/корпусов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38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Центральных core-названий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14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Физических свидетелей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Dataset/API записей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8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Infrastructure записей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17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Пробелов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19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2D6475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relevance</w:t>
            </w:r>
          </w:p>
        </w:tc>
        <w:tc>
          <w:tcPr>
            <w:tcW w:type="dxa" w:w="4933"/>
            <w:shd w:fill="2D6475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записей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core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26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same_corpus_or_tradition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21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infrastructure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17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antecedent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14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secondary_navigation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7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supporting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7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transmission_or_preservation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</w:tr>
      <w:tr>
        <w:tc>
          <w:tcPr>
            <w:tcW w:type="dxa" w:w="4933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continuation</w:t>
            </w:r>
          </w:p>
        </w:tc>
        <w:tc>
          <w:tcPr>
            <w:tcW w:type="dxa" w:w="4933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</w:tbl>
    <w:p>
      <w:pPr>
        <w:pStyle w:val="SmallNote"/>
      </w:pPr>
      <w:r>
        <w:t>Число записей не равно числу произведений. Отдельные строки созданы только для практически отличимых языковых слоёв, изданий, свидетелей, репозиториев и правовых режимов; dataset release не раздут по внутренним файлам.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3.1. Правовые сборники</w:t>
      </w:r>
    </w:p>
    <w:p>
      <w:r>
        <w:t>Для Ur-Namma и Lipit-Ishtar лучший бесплатный текстовый слой - CDLI-композиты. Для Lipit-Ishtar найден и ETCSRI/Oracc: при доступности это самый свободный машиночитаемый вариант, поскольку Oracc по умолчанию использует CC BY-SA 3.0.</w:t>
      </w:r>
    </w:p>
    <w:p>
      <w:r>
        <w:t>Для Eshnunna подтверждён один CDLI-свидетель; связанный P480696 оставлен с низкой уверенностью. Для Hammurabi CDLI posting является лучшим навигационным входом, Louvre Sb 8 - лучшим музейным оригиналом. Louvre metadata открыты по Etalab, фотографии имеют более узкую научно-образовательную область. Harper 1904 - лучший старый полный download; Roth - лучший современный однотомник через borrow/preview.</w:t>
      </w:r>
    </w:p>
    <w:p>
      <w:r>
        <w:rPr>
          <w:b/>
        </w:rPr>
        <w:t xml:space="preserve">Проверенные входы: </w:t>
      </w:r>
      <w:hyperlink r:id="rId11">
        <w:r>
          <w:rPr>
            <w:rFonts w:ascii="Liberation Sans" w:hAnsi="Liberation Sans"/>
            <w:color w:val="0563C1"/>
            <w:u w:val="single"/>
          </w:rPr>
          <w:t>Ur-Namma/CDLI</w:t>
        </w:r>
      </w:hyperlink>
      <w:r>
        <w:t xml:space="preserve">  |  </w:t>
      </w:r>
      <w:hyperlink r:id="rId12">
        <w:r>
          <w:rPr>
            <w:rFonts w:ascii="Liberation Sans" w:hAnsi="Liberation Sans"/>
            <w:color w:val="0563C1"/>
            <w:u w:val="single"/>
          </w:rPr>
          <w:t>Lipit-Ishtar/CDLI</w:t>
        </w:r>
      </w:hyperlink>
      <w:r>
        <w:t xml:space="preserve">  |  </w:t>
      </w:r>
      <w:hyperlink r:id="rId13">
        <w:r>
          <w:rPr>
            <w:rFonts w:ascii="Liberation Sans" w:hAnsi="Liberation Sans"/>
            <w:color w:val="0563C1"/>
            <w:u w:val="single"/>
          </w:rPr>
          <w:t>Hammurabi/Louvre</w:t>
        </w:r>
      </w:hyperlink>
      <w:r>
        <w:t xml:space="preserve">  |  </w:t>
      </w:r>
      <w:hyperlink r:id="rId14">
        <w:r>
          <w:rPr>
            <w:rFonts w:ascii="Liberation Sans" w:hAnsi="Liberation Sans"/>
            <w:color w:val="0563C1"/>
            <w:u w:val="single"/>
          </w:rPr>
          <w:t>Roth/borrow</w:t>
        </w:r>
      </w:hyperlink>
      <w:r>
        <w:t xml:space="preserve">  |  </w:t>
      </w:r>
    </w:p>
    <w:p>
      <w:pPr>
        <w:pStyle w:val="Heading2"/>
      </w:pPr>
      <w:r>
        <w:t>3.2. Школа, edubba и учебные списки</w:t>
      </w:r>
    </w:p>
    <w:p>
      <w:r>
        <w:t>E-duba C в ETCSL - лучший полный бесплатный школьный текст, но translation и composite не имеют открытой лицензии для зеркалирования. Для материальной стороны школы наиболее свободен The Met 86.11.364: изображение и basic data отмечены Public Domain/Open Access и доступны по CC0, включая JSON API. Это лучший объект для легального OCR, индексации, embeddings и собственного чтения одного witness.</w:t>
      </w:r>
    </w:p>
    <w:p>
      <w:r>
        <w:t>DCCLT - основной машиночитаемый корпус лексических и школьных текстов. Tetrad/Decad пока представлены как corpus navigation и требуют composition-by-composition harvest. Полного открытого Schooldays не найдено: есть образовательный excerpt и защищённые современные книги через библиотечную выдачу.</w:t>
      </w:r>
    </w:p>
    <w:p>
      <w:pPr>
        <w:pStyle w:val="Heading2"/>
      </w:pPr>
      <w:r>
        <w:t>3.3. Мудрость и пословицы</w:t>
      </w:r>
    </w:p>
    <w:p>
      <w:r>
        <w:t>Instructions of Shuruppag, Farmer's Instructions и A man and his god лучше всего читать в ETCSL: английский перевод и шумерский composite доступны отдельно. Для Shuruppag найден Schøyen MS 2064/1, но права на изображение не подтверждены. Пословицы представлены корпусным каталогом и тремя крупными collection-парами; Bendt Alster остаётся главным современным ориентиром через preview/purchase.</w:t>
      </w:r>
    </w:p>
    <w:p>
      <w:pPr>
        <w:pStyle w:val="Heading2"/>
      </w:pPr>
      <w:r>
        <w:t>3.4. Disputation poems</w:t>
      </w:r>
    </w:p>
    <w:p>
      <w:r>
        <w:t>ETCSL даёт устойчивые item-level страницы перевода и composite для Hoe/Plough, Sheep/Grain, Winter/Summer, Bird/Fish, Silver/Copper и Date Palm/Tamarisk. DSSt/Oracc шире и свободнее по лицензии, потенциально лучше для зеркалирования, индексации и нового перевода. Часть Oracc-страниц возвращала 502, поэтому release и исключения должны быть зафиксированы до автоматического ingest.</w:t>
      </w:r>
    </w:p>
    <w:p>
      <w:pPr>
        <w:pStyle w:val="Heading2"/>
      </w:pPr>
      <w:r>
        <w:t>3.5. Gilgamesh</w:t>
      </w:r>
    </w:p>
    <w:p>
      <w:r>
        <w:t>Шесть шумерских antecedents представлены ETCSL-парами. Для Old Babylonian Gilgamesh самый свободный исторический путь - Jastrow/Clay 1920 на Project Gutenberg: HTML, EPUB и plain text; public-domain in the US с юрисдикционной оговоркой. IA scan полезен как контроль страницы/OCR. SEAL aggregate 312 - лучший discovery map тринадцати OB witnesses, но CC BY-NC-ND ограничивает производные версии.</w:t>
      </w:r>
    </w:p>
    <w:p>
      <w:r>
        <w:t>Для позднего Standard Babylonian continuation eBL является лучшим современным web corpus, однако общая лицензия текста не найдена. Andrew George 2003 остаётся научным эталоном через purchase/preview, но не для зеркалирования.</w:t>
      </w:r>
    </w:p>
    <w:p>
      <w:pPr>
        <w:pStyle w:val="Heading1"/>
      </w:pPr>
      <w:r>
        <w:t>4. Карта прав и практического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73F4F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3289"/>
            <w:shd w:fill="173F4F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Практика ToS</w:t>
            </w:r>
          </w:p>
        </w:tc>
        <w:tc>
          <w:tcPr>
            <w:tcW w:type="dxa" w:w="3289"/>
            <w:shd w:fill="173F4F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Главное ограничение</w:t>
            </w:r>
          </w:p>
        </w:tc>
      </w:tr>
      <w:tr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The Met CC0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Mirror, OCR, index, embeddings; перевод одного witness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Только объекты с OA/Public Domain flag и их coverage.</w:t>
            </w:r>
          </w:p>
        </w:tc>
      </w:tr>
      <w:tr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Oracc/DSSt/DCCLT/ETCSRI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Mirror с атрибуцией, index, embeddings, новый перевод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CC BY-SA; исключить third-party images.</w:t>
            </w:r>
          </w:p>
        </w:tc>
      </w:tr>
      <w:tr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CDLI text layer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Копирование, агрегация, index, embeddings, перевод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Фотографии/line art не входят; сохранять credits.</w:t>
            </w:r>
          </w:p>
        </w:tc>
      </w:tr>
      <w:tr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Louvre metadata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Mirror/adapt с атрибуцией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Текст отдельно от фотографий; указать source/date.</w:t>
            </w:r>
          </w:p>
        </w:tc>
      </w:tr>
      <w:tr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Louvre medium photos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Научно-образовательное размещение после проверки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Purpose-limited, credit+permalink; не open licence.</w:t>
            </w:r>
          </w:p>
        </w:tc>
      </w:tr>
      <w:tr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SEAL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Неизменное некоммерческое распространение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CC BY-NC-ND: перевод/нормализация/embeddings требуют review.</w:t>
            </w:r>
          </w:p>
        </w:tc>
      </w:tr>
      <w:tr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ETCSL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Ссылка, чтение, local research copy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Нет open licence; сборники для распространения - permission.</w:t>
            </w:r>
          </w:p>
        </w:tc>
      </w:tr>
      <w:tr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eBL Zenodo dataset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Download/local research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Licence field blank; public reuse не доказан.</w:t>
            </w:r>
          </w:p>
        </w:tc>
      </w:tr>
      <w:tr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Старые PD-издания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OCR/index/translation и потенциальный mirror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US public-domain inference, jurisdiction и site marks.</w:t>
            </w:r>
          </w:p>
        </w:tc>
      </w:tr>
      <w:tr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Современные издания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Borrow, preview, purchase, external link</w:t>
            </w:r>
          </w:p>
        </w:tc>
        <w:tc>
          <w:tcPr>
            <w:tcW w:type="dxa" w:w="3289"/>
            <w:vAlign w:val="top"/>
          </w:tcPr>
          <w:p>
            <w:pPr>
              <w:spacing w:after="40"/>
            </w:pPr>
            <w:r>
              <w:rPr>
                <w:rFonts w:ascii="Liberation Sans" w:hAnsi="Liberation Sans"/>
                <w:sz w:val="17"/>
              </w:rPr>
              <w:t>No mirror, corpus extraction или derivative publication.</w:t>
            </w:r>
          </w:p>
        </w:tc>
      </w:tr>
    </w:tbl>
    <w:p>
      <w:pPr>
        <w:pStyle w:val="Heading2"/>
      </w:pPr>
      <w:r>
        <w:t>4.1. Собственный перевод ToS</w:t>
      </w:r>
    </w:p>
    <w:p>
      <w:r>
        <w:t>OWN_TRANSLATION_POSSIBLE поставлен только при конкретной чистой основе: переиспользуемая оригинальная транслитерация CDLI, открытая транслитерация Oracc или доступное facsimile конкретного исторического свидетеля. Тег всегда ограничен coverage: один fragment означает только этот fragment.</w:t>
      </w:r>
    </w:p>
    <w:p>
      <w:r>
        <w:t>ETCSL composite, SEAL ND-текст, eBL reconstruction без лицензии и защищённые современные переводы не считаются чистой основой. Если рядом стоят положительный тег и RIGHTS_REVIEW_REQUIRED, положительный тег действует только для явно названного компонента, а review блокирует расширительное толкование.</w:t>
      </w:r>
    </w:p>
    <w:p>
      <w:pPr>
        <w:pStyle w:val="Heading1"/>
      </w:pPr>
      <w:r>
        <w:t>5. Характерные правовые тонкости</w:t>
      </w:r>
    </w:p>
    <w:p>
      <w:pPr>
        <w:pStyle w:val="ListBullet"/>
      </w:pPr>
      <w:r>
        <w:t>Древность произведения не освобождает современный перевод, критический аппарат, реконструкцию и комментарий.</w:t>
      </w:r>
    </w:p>
    <w:p>
      <w:pPr>
        <w:pStyle w:val="ListBullet"/>
      </w:pPr>
      <w:r>
        <w:t>CDLI и Louvre требуют компонентного разделения: текст/метаданные свободнее фотографий.</w:t>
      </w:r>
    </w:p>
    <w:p>
      <w:pPr>
        <w:pStyle w:val="ListBullet"/>
      </w:pPr>
      <w:r>
        <w:t>Oracc CC BY-SA полезна для ToS, но требует атрибуции и ShareAlike; внешние изображения лицензию не наследуют.</w:t>
      </w:r>
    </w:p>
    <w:p>
      <w:pPr>
        <w:pStyle w:val="ListBullet"/>
      </w:pPr>
      <w:r>
        <w:t>SEAL CC BY-NC-ND допускает неизменное некоммерческое распространение, но не автоматический перевод или нормализованный корпус.</w:t>
      </w:r>
    </w:p>
    <w:p>
      <w:pPr>
        <w:pStyle w:val="ListBullet"/>
      </w:pPr>
      <w:r>
        <w:t>Free download у Zenodo/Internet Archive не равен разрешению на mirror; eBL dataset особенно проблемен из-за пустого licence field.</w:t>
      </w:r>
    </w:p>
    <w:p>
      <w:pPr>
        <w:pStyle w:val="ListBullet"/>
      </w:pPr>
      <w:r>
        <w:t>Public domain in the United States не гарантирует общественное достояние в Мексике, России или другой юрисдикции.</w:t>
      </w:r>
    </w:p>
    <w:p>
      <w:pPr>
        <w:pStyle w:val="ListBullet"/>
      </w:pPr>
      <w:r>
        <w:t>Facsimile может быть основой чтения древнего текста, но повторное размещение музейной фотографии - отдельное действие.</w:t>
      </w:r>
    </w:p>
    <w:p>
      <w:pPr>
        <w:pStyle w:val="Heading1"/>
      </w:pPr>
      <w:r>
        <w:t>6. Пробелы и дальнейший поиск</w:t>
      </w:r>
    </w:p>
    <w:p>
      <w:r>
        <w:t>Лист gaps содержит 19 конкретных направлений. Наиболее полезные targeted follow-up:</w:t>
      </w:r>
    </w:p>
    <w:p>
      <w:pPr>
        <w:pStyle w:val="ListNumber"/>
      </w:pPr>
      <w:r>
        <w:rPr>
          <w:b/>
        </w:rPr>
        <w:t xml:space="preserve">Schooldays / Edubba A complete critical text. </w:t>
      </w:r>
      <w:r>
        <w:t>Find full transliteration, witnesses and lawful translation.</w:t>
      </w:r>
    </w:p>
    <w:p>
      <w:pPr>
        <w:pStyle w:val="ListNumber"/>
      </w:pPr>
      <w:r>
        <w:rPr>
          <w:b/>
        </w:rPr>
        <w:t xml:space="preserve">E-duba A, B, D, E and R. </w:t>
      </w:r>
      <w:r>
        <w:t>Search CUSAS/RIME/Oracc/author repositories and tablets.</w:t>
      </w:r>
    </w:p>
    <w:p>
      <w:pPr>
        <w:pStyle w:val="ListNumber"/>
      </w:pPr>
      <w:r>
        <w:rPr>
          <w:b/>
        </w:rPr>
        <w:t xml:space="preserve">Individual Ur-Namma law witnesses. </w:t>
      </w:r>
      <w:r>
        <w:t>Resolve P-numbers, repositories, photos and rights.</w:t>
      </w:r>
    </w:p>
    <w:p>
      <w:pPr>
        <w:pStyle w:val="ListNumber"/>
      </w:pPr>
      <w:r>
        <w:rPr>
          <w:b/>
        </w:rPr>
        <w:t xml:space="preserve">Individual Lipit-Ishtar law witnesses. </w:t>
      </w:r>
      <w:r>
        <w:t>Map Nippur fragments, inventories and image permissions.</w:t>
      </w:r>
    </w:p>
    <w:p>
      <w:pPr>
        <w:pStyle w:val="ListNumber"/>
      </w:pPr>
      <w:r>
        <w:rPr>
          <w:b/>
        </w:rPr>
        <w:t xml:space="preserve">Laws of Eshnunna witness cluster. </w:t>
      </w:r>
      <w:r>
        <w:t>Confirm identities, full witness set and publications.</w:t>
      </w:r>
    </w:p>
    <w:p>
      <w:pPr>
        <w:pStyle w:val="ListNumber"/>
      </w:pPr>
      <w:r>
        <w:rPr>
          <w:b/>
        </w:rPr>
        <w:t xml:space="preserve">Hammurabi CDLI composite text identifier. </w:t>
      </w:r>
      <w:r>
        <w:t>Resolve exact CDLI Q/P item and transliteration route.</w:t>
      </w:r>
    </w:p>
    <w:p>
      <w:pPr>
        <w:pStyle w:val="ListNumber"/>
      </w:pPr>
      <w:r>
        <w:rPr>
          <w:b/>
        </w:rPr>
        <w:t xml:space="preserve">ETCSL OTA package licence/files. </w:t>
      </w:r>
      <w:r>
        <w:t>Enumerate files/version and obtain explicit licence.</w:t>
      </w:r>
    </w:p>
    <w:p>
      <w:pPr>
        <w:pStyle w:val="ListNumber"/>
      </w:pPr>
      <w:r>
        <w:rPr>
          <w:b/>
        </w:rPr>
        <w:t xml:space="preserve">DSSt item pages and corpus dump. </w:t>
      </w:r>
      <w:r>
        <w:t>Extract all composition IDs/downloads/exceptions.</w:t>
      </w:r>
    </w:p>
    <w:p>
      <w:pPr>
        <w:pStyle w:val="ListNumber"/>
      </w:pPr>
      <w:r>
        <w:rPr>
          <w:b/>
        </w:rPr>
        <w:t xml:space="preserve">Tree and Reed disputation. </w:t>
      </w:r>
      <w:r>
        <w:t>Find stable text, translation, witnesses and rights.</w:t>
      </w:r>
    </w:p>
    <w:p>
      <w:pPr>
        <w:pStyle w:val="ListNumber"/>
      </w:pPr>
      <w:r>
        <w:rPr>
          <w:b/>
        </w:rPr>
        <w:t xml:space="preserve">DCCLT item-level school exercises. </w:t>
      </w:r>
      <w:r>
        <w:t>Harvest Nippur/Ur exercises with stable IDs/image rights.</w:t>
      </w:r>
    </w:p>
    <w:p>
      <w:pPr>
        <w:pStyle w:val="SmallNote"/>
      </w:pPr>
      <w:r>
        <w:t>Ключевые внепериодные незавершённые линии - item-level корпус поздних копий Hammurabi и точные страницы/лицензии Babylonian Theodicy, Dialogue of Pessimism и Counsels of Wisdom. Они обнаружены как конкретные продолжения, но не включены в registry без достаточного цифрового и правового входа.</w:t>
      </w:r>
    </w:p>
    <w:p>
      <w:pPr>
        <w:pStyle w:val="Heading1"/>
      </w:pPr>
      <w:r>
        <w:t>7. Итоговая оценка</w:t>
      </w:r>
    </w:p>
    <w:p>
      <w:r>
        <w:t>Корпусное ядро покрыто хорошо: все центральные группы из DR получили законный путь доступа или явный not-found в gaps. Сильнее всего представлены Sumerian literary texts в ETCSL, law composites в CDLI, музейный Hammurabi в Louvre и Old Babylonian Gilgamesh через Project Gutenberg/SEAL.</w:t>
      </w:r>
    </w:p>
    <w:p>
      <w:r>
        <w:t>Оригиналы доступны неравномерно. Наиболее свободный текстовый слой - CDLI и Oracc; наиболее свободный визуальный слой - The Met CC0. Английские переводы многочисленны, но часто защищены; правомерные русские полные переводы остаются отдельным пробелом.</w:t>
      </w:r>
    </w:p>
    <w:p>
      <w:r>
        <w:t>Главные ограничения сосредоточены в современных критических изданиях, музейной фотографии, ETCSL без open licence, SEAL с NoDerivatives и eBL с неустановленной лицензией корпуса. Это не уменьшает ценность link/borrow/preview/purchase, но исключает автоматическое зеркалирование.</w:t>
      </w:r>
    </w:p>
    <w:p>
      <w:r>
        <w:t>Пакет пригоден для Codex: XLSX имеет локальные record_id, явные rights_scope и coverage, item-level URLs, отдельный gaps-лист и не содержит служебного индекса. При ingest сначала применять rights_scope, затем coverage, и только после этого интерпретировать tos_use.</w:t>
      </w:r>
    </w:p>
    <w:p>
      <w:pPr>
        <w:pStyle w:val="Heading1"/>
      </w:pPr>
      <w:r>
        <w:t>Ключевые проверенные источники</w:t>
      </w:r>
    </w:p>
    <w:p>
      <w:pPr>
        <w:ind w:left="198"/>
      </w:pPr>
      <w:r>
        <w:rPr>
          <w:b/>
        </w:rPr>
        <w:t xml:space="preserve">ETCSL rights: </w:t>
      </w:r>
      <w:hyperlink r:id="rId15">
        <w:r>
          <w:rPr>
            <w:rFonts w:ascii="Liberation Sans" w:hAnsi="Liberation Sans"/>
            <w:color w:val="0563C1"/>
            <w:u w:val="single"/>
          </w:rPr>
          <w:t>https://etcsl.orinst.ox.ac.uk/credits.htm</w:t>
        </w:r>
      </w:hyperlink>
      <w:r>
        <w:t xml:space="preserve"> - печать отдельных композиций и permission</w:t>
      </w:r>
    </w:p>
    <w:p>
      <w:pPr>
        <w:ind w:left="198"/>
      </w:pPr>
      <w:r>
        <w:rPr>
          <w:b/>
        </w:rPr>
        <w:t xml:space="preserve">CDLI Terms: </w:t>
      </w:r>
      <w:hyperlink r:id="rId16">
        <w:r>
          <w:rPr>
            <w:rFonts w:ascii="Liberation Sans" w:hAnsi="Liberation Sans"/>
            <w:color w:val="0563C1"/>
            <w:u w:val="single"/>
          </w:rPr>
          <w:t>https://cdli.earth/terms-of-use</w:t>
        </w:r>
      </w:hyperlink>
      <w:r>
        <w:t xml:space="preserve"> - разделение text и images</w:t>
      </w:r>
    </w:p>
    <w:p>
      <w:pPr>
        <w:ind w:left="198"/>
      </w:pPr>
      <w:r>
        <w:rPr>
          <w:b/>
        </w:rPr>
        <w:t xml:space="preserve">Oracc licence evidence: </w:t>
      </w:r>
      <w:hyperlink r:id="rId17">
        <w:r>
          <w:rPr>
            <w:rFonts w:ascii="Liberation Sans" w:hAnsi="Liberation Sans"/>
            <w:color w:val="0563C1"/>
            <w:u w:val="single"/>
          </w:rPr>
          <w:t>https://oracc.museum.upenn.edu/dccmt/about/index.html</w:t>
        </w:r>
      </w:hyperlink>
      <w:r>
        <w:t xml:space="preserve"> - default CC BY-SA 3.0</w:t>
      </w:r>
    </w:p>
    <w:p>
      <w:pPr>
        <w:ind w:left="198"/>
      </w:pPr>
      <w:r>
        <w:rPr>
          <w:b/>
        </w:rPr>
        <w:t xml:space="preserve">SEAL: </w:t>
      </w:r>
      <w:hyperlink r:id="rId18">
        <w:r>
          <w:rPr>
            <w:rFonts w:ascii="Liberation Sans" w:hAnsi="Liberation Sans"/>
            <w:color w:val="0563C1"/>
            <w:u w:val="single"/>
          </w:rPr>
          <w:t>https://seal.huji.ac.il/</w:t>
        </w:r>
      </w:hyperlink>
      <w:r>
        <w:t xml:space="preserve"> - CC BY-NC-ND и fixed identifiers</w:t>
      </w:r>
    </w:p>
    <w:p>
      <w:pPr>
        <w:ind w:left="198"/>
      </w:pPr>
      <w:r>
        <w:rPr>
          <w:b/>
        </w:rPr>
        <w:t xml:space="preserve">Louvre terms: </w:t>
      </w:r>
      <w:hyperlink r:id="rId19">
        <w:r>
          <w:rPr>
            <w:rFonts w:ascii="Liberation Sans" w:hAnsi="Liberation Sans"/>
            <w:color w:val="0563C1"/>
            <w:u w:val="single"/>
          </w:rPr>
          <w:t>https://collections.louvre.fr/en/page/cgu</w:t>
        </w:r>
      </w:hyperlink>
      <w:r>
        <w:t xml:space="preserve"> - Etalab metadata и purpose-limited photos</w:t>
      </w:r>
    </w:p>
    <w:p>
      <w:pPr>
        <w:ind w:left="198"/>
      </w:pPr>
      <w:r>
        <w:rPr>
          <w:b/>
        </w:rPr>
        <w:t xml:space="preserve">The Met Open Access: </w:t>
      </w:r>
      <w:hyperlink r:id="rId20">
        <w:r>
          <w:rPr>
            <w:rFonts w:ascii="Liberation Sans" w:hAnsi="Liberation Sans"/>
            <w:color w:val="0563C1"/>
            <w:u w:val="single"/>
          </w:rPr>
          <w:t>https://www.metmuseum.org/hubs/open-access</w:t>
        </w:r>
      </w:hyperlink>
      <w:r>
        <w:t xml:space="preserve"> - CC0 images/data</w:t>
      </w:r>
    </w:p>
    <w:p>
      <w:pPr>
        <w:ind w:left="198"/>
      </w:pPr>
      <w:r>
        <w:rPr>
          <w:b/>
        </w:rPr>
        <w:t xml:space="preserve">Project Gutenberg licence: </w:t>
      </w:r>
      <w:hyperlink r:id="rId21">
        <w:r>
          <w:rPr>
            <w:rFonts w:ascii="Liberation Sans" w:hAnsi="Liberation Sans"/>
            <w:color w:val="0563C1"/>
            <w:u w:val="single"/>
          </w:rPr>
          <w:t>https://www.gutenberg.org/policy/license.html</w:t>
        </w:r>
      </w:hyperlink>
      <w:r>
        <w:t xml:space="preserve"> - US public domain and trademark caveat</w:t>
      </w:r>
    </w:p>
    <w:p>
      <w:pPr>
        <w:ind w:left="198"/>
      </w:pPr>
      <w:r>
        <w:rPr>
          <w:b/>
        </w:rPr>
        <w:t xml:space="preserve">CDLI Hammurabi posting: </w:t>
      </w:r>
      <w:hyperlink r:id="rId22">
        <w:r>
          <w:rPr>
            <w:rFonts w:ascii="Liberation Sans" w:hAnsi="Liberation Sans"/>
            <w:color w:val="0563C1"/>
            <w:u w:val="single"/>
          </w:rPr>
          <w:t>https://cdli.earth/postings/185</w:t>
        </w:r>
      </w:hyperlink>
      <w:r>
        <w:t xml:space="preserve"> - core navigation</w:t>
      </w:r>
    </w:p>
    <w:p>
      <w:pPr>
        <w:ind w:left="198"/>
      </w:pPr>
      <w:r>
        <w:rPr>
          <w:b/>
        </w:rPr>
        <w:t xml:space="preserve">Penn Museum school article: </w:t>
      </w:r>
      <w:hyperlink r:id="rId23">
        <w:r>
          <w:rPr>
            <w:rFonts w:ascii="Liberation Sans" w:hAnsi="Liberation Sans"/>
            <w:color w:val="0563C1"/>
            <w:u w:val="single"/>
          </w:rPr>
          <w:t>https://www.penn.museum/sites/expedition/texts-tablets-and-teaching/</w:t>
        </w:r>
      </w:hyperlink>
      <w:r>
        <w:t xml:space="preserve"> - curriculum and edubba</w:t>
      </w:r>
    </w:p>
    <w:p>
      <w:pPr>
        <w:ind w:left="198"/>
      </w:pPr>
      <w:r>
        <w:rPr>
          <w:b/>
        </w:rPr>
        <w:t xml:space="preserve">eBL Zenodo dataset: </w:t>
      </w:r>
      <w:hyperlink r:id="rId24">
        <w:r>
          <w:rPr>
            <w:rFonts w:ascii="Liberation Sans" w:hAnsi="Liberation Sans"/>
            <w:color w:val="0563C1"/>
            <w:u w:val="single"/>
          </w:rPr>
          <w:t>https://zenodo.org/records/10018951</w:t>
        </w:r>
      </w:hyperlink>
      <w:r>
        <w:t xml:space="preserve"> - downloadable fragments with blank licence</w:t>
      </w:r>
    </w:p>
    <w:p>
      <w:pPr>
        <w:pStyle w:val="SmallNote"/>
      </w:pPr>
      <w:r>
        <w:t>Полный построчный evidence trail, права, coverage, verification_status и checked_at находятся в XLSX; отчёт намеренно не дублирует все строки реестра.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A02 | проверка 02.09.2026 | 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Tree of Sophia / ToS Corpus &amp; Rights Registry - A02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F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D647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7A5C1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F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ubtitle">
    <w:name w:val="Report Subtitle"/>
    <w:pPr>
      <w:spacing w:after="160"/>
    </w:pPr>
    <w:rPr>
      <w:rFonts w:ascii="Liberation Sans" w:hAnsi="Liberation Sans"/>
      <w:color w:val="4D6973"/>
      <w:sz w:val="25"/>
    </w:rPr>
  </w:style>
  <w:style w:type="paragraph" w:customStyle="1" w:styleId="SmallNote">
    <w:name w:val="Small Note"/>
    <w:pPr>
      <w:spacing w:after="80" w:line="240" w:lineRule="auto"/>
    </w:pPr>
    <w:rPr>
      <w:rFonts w:ascii="Liberation Sans" w:hAnsi="Liberation Sans"/>
      <w:color w:val="5B67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dli.earth/P432130" TargetMode="External"/><Relationship Id="rId12" Type="http://schemas.openxmlformats.org/officeDocument/2006/relationships/hyperlink" Target="https://cdli.earth/P464355" TargetMode="External"/><Relationship Id="rId13" Type="http://schemas.openxmlformats.org/officeDocument/2006/relationships/hyperlink" Target="https://collections.louvre.fr/en/ark:/53355/cl010174436" TargetMode="External"/><Relationship Id="rId14" Type="http://schemas.openxmlformats.org/officeDocument/2006/relationships/hyperlink" Target="https://archive.org/details/lawcollectionsfr0000roth" TargetMode="External"/><Relationship Id="rId15" Type="http://schemas.openxmlformats.org/officeDocument/2006/relationships/hyperlink" Target="https://etcsl.orinst.ox.ac.uk/credits.htm" TargetMode="External"/><Relationship Id="rId16" Type="http://schemas.openxmlformats.org/officeDocument/2006/relationships/hyperlink" Target="https://cdli.earth/terms-of-use" TargetMode="External"/><Relationship Id="rId17" Type="http://schemas.openxmlformats.org/officeDocument/2006/relationships/hyperlink" Target="https://oracc.museum.upenn.edu/dccmt/about/index.html" TargetMode="External"/><Relationship Id="rId18" Type="http://schemas.openxmlformats.org/officeDocument/2006/relationships/hyperlink" Target="https://seal.huji.ac.il/" TargetMode="External"/><Relationship Id="rId19" Type="http://schemas.openxmlformats.org/officeDocument/2006/relationships/hyperlink" Target="https://collections.louvre.fr/en/page/cgu" TargetMode="External"/><Relationship Id="rId20" Type="http://schemas.openxmlformats.org/officeDocument/2006/relationships/hyperlink" Target="https://www.metmuseum.org/hubs/open-access" TargetMode="External"/><Relationship Id="rId21" Type="http://schemas.openxmlformats.org/officeDocument/2006/relationships/hyperlink" Target="https://www.gutenberg.org/policy/license.html" TargetMode="External"/><Relationship Id="rId22" Type="http://schemas.openxmlformats.org/officeDocument/2006/relationships/hyperlink" Target="https://cdli.earth/postings/185" TargetMode="External"/><Relationship Id="rId23" Type="http://schemas.openxmlformats.org/officeDocument/2006/relationships/hyperlink" Target="https://www.penn.museum/sites/expedition/texts-tablets-and-teaching/" TargetMode="External"/><Relationship Id="rId24" Type="http://schemas.openxmlformats.org/officeDocument/2006/relationships/hyperlink" Target="https://zenodo.org/records/100189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- A02</dc:title>
  <dc:subject>Старовавилонская школьная словесность, мудрость и право</dc:subject>
  <dc:creator>OpenAI - исследовательский пакет для Tree of Sophia</dc:creator>
  <cp:keywords>ToS; A02; Sumerian; Old Babylonian; corpus; rights; access</cp:keywords>
  <dc:description>Prepared 2026-09-02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