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" w:hAnsi="Noto Sans"/>
          <w:b/>
          <w:color w:val="0F766E"/>
          <w:sz w:val="24"/>
        </w:rPr>
        <w:t>ToS / Древо Софии</w:t>
      </w:r>
    </w:p>
    <w:p>
      <w:pPr>
        <w:spacing w:before="200"/>
        <w:jc w:val="center"/>
      </w:pPr>
      <w:r>
        <w:rPr>
          <w:rFonts w:ascii="Noto Sans" w:hAnsi="Noto Sans"/>
          <w:b/>
          <w:color w:val="123B4A"/>
          <w:sz w:val="58"/>
        </w:rPr>
        <w:t>ToS Corpus &amp; Rights Registry</w:t>
      </w:r>
    </w:p>
    <w:p>
      <w:pPr>
        <w:jc w:val="center"/>
      </w:pPr>
      <w:r>
        <w:rPr>
          <w:rFonts w:ascii="Noto Sans" w:hAnsi="Noto Sans"/>
          <w:b/>
          <w:color w:val="1F2937"/>
          <w:sz w:val="32"/>
        </w:rPr>
        <w:t>A19 — Южная Азия — Классическая брахманическая шастра и даршаны</w:t>
      </w:r>
    </w:p>
    <w:p>
      <w:pPr>
        <w:spacing w:before="360"/>
        <w:jc w:val="center"/>
      </w:pPr>
      <w:r>
        <w:rPr>
          <w:rFonts w:ascii="Noto Serif" w:hAnsi="Noto Serif"/>
          <w:i/>
          <w:color w:val="5F6B76"/>
          <w:sz w:val="23"/>
        </w:rPr>
        <w:t>Исследовательский пакет законных путей доступа, прав и практического использования</w:t>
      </w:r>
    </w:p>
    <w:p>
      <w:pPr>
        <w:spacing w:before="1360"/>
        <w:jc w:val="center"/>
      </w:pPr>
      <w:r>
        <w:rPr>
          <w:rFonts w:ascii="Noto Sans" w:hAnsi="Noto Sans"/>
          <w:color w:val="5F6B76"/>
          <w:sz w:val="18"/>
        </w:rPr>
        <w:t>Статус строки: A   •   уверенность исходного DR: 4/5   •   проверено: 3 сентября 2026</w:t>
      </w:r>
    </w:p>
    <w:p>
      <w:pPr>
        <w:jc w:val="center"/>
      </w:pPr>
      <w:r>
        <w:rPr>
          <w:rFonts w:ascii="Noto Sans" w:hAnsi="Noto Sans"/>
          <w:b/>
          <w:color w:val="0F766E"/>
          <w:sz w:val="18"/>
        </w:rPr>
        <w:t>105 записей доступа на листе registry   •   15 целевых пробелов на листе gaps</w:t>
      </w:r>
    </w:p>
    <w:p>
      <w:pPr>
        <w:spacing w:before="600"/>
        <w:jc w:val="center"/>
      </w:pPr>
      <w:r>
        <w:rPr>
          <w:rFonts w:ascii="Noto Sans" w:hAnsi="Noto Sans"/>
          <w:color w:val="5F6B76"/>
          <w:sz w:val="16"/>
        </w:rPr>
        <w:t>Версия research-first protocol v4.2</w:t>
      </w:r>
    </w:p>
    <w:p>
      <w:r>
        <w:br w:type="page"/>
      </w:r>
    </w:p>
    <w:p>
      <w:pPr>
        <w:pStyle w:val="Heading1"/>
        <w:pBdr>
          <w:bottom w:val="single" w:sz="18" w:space="3" w:color="0F766E"/>
        </w:pBdr>
      </w:pPr>
      <w:r>
        <w:t>Резюме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6F4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23B4A"/>
                <w:sz w:val="22"/>
              </w:rPr>
              <w:t>Главный вывод</w:t>
            </w:r>
          </w:p>
          <w:p>
            <w:pPr>
              <w:spacing w:after="0" w:line="252" w:lineRule="auto"/>
            </w:pPr>
            <w:r>
              <w:t>Для A19 существует не один «лучший сайт», а многослойная законная инфраструктура. Наиболее полезный открытый слой образуют item-level тексты GRETIL, четыре проверенных TEI-файла SARIT, китайская трансмиссия Sāṃkhyakārikā в CBETA, отдельные данные и сканы Кёльнского проекта, а также исторические издания, для которых подтверждён или обоснован публичнодоменный режим. Современные переводы, критические издания, рукописные изображения и смешанные порталы в основном остаются link-only, borrow, preview, purchase либо требуют ручной проверки.</w:t>
            </w:r>
          </w:p>
        </w:tc>
      </w:tr>
    </w:tbl>
    <w:p>
      <w:pPr>
        <w:pStyle w:val="Lead"/>
      </w:pPr>
      <w:r>
        <w:t xml:space="preserve">Реестр фиксирует 105 практически различимых способов доступа к 72 заголовочным первичным и непосредственно трансмиссионным объектам до глобальной дедупликации Codex. </w:t>
      </w:r>
      <w:r>
        <w:t>Количество ссылок сознательно не выдано за количество произведений: несколько записей могут вести к разным редакциям, переводам, свидетелям или режимам доступа одного текста.</w:t>
      </w:r>
    </w:p>
    <w:p>
      <w:pPr>
        <w:pStyle w:val="Small"/>
      </w:pPr>
      <w:r>
        <w:rPr>
          <w:b/>
        </w:rPr>
        <w:t xml:space="preserve">Правовая оговорка. </w:t>
      </w:r>
      <w:r>
        <w:t>Это операционная исследовательская карта, а не юридическое заключение. Любой положительный тег tos_use действует только в пределах конкретных rights_scope и coverage; бесплатное чтение или скачивание само по себе не означает право зеркалирования.</w:t>
      </w:r>
    </w:p>
    <w:p>
      <w:pPr>
        <w:pStyle w:val="Heading2"/>
      </w:pPr>
      <w:r>
        <w:t>Содержание</w:t>
      </w:r>
    </w:p>
    <w:p>
      <w:pPr>
        <w:pStyle w:val="ListBullet"/>
      </w:pPr>
      <w:r>
        <w:t>1. Паспорт</w:t>
      </w:r>
    </w:p>
    <w:p>
      <w:pPr>
        <w:pStyle w:val="ListBullet"/>
      </w:pPr>
      <w:r>
        <w:t>2. Охват корпуса</w:t>
      </w:r>
    </w:p>
    <w:p>
      <w:pPr>
        <w:pStyle w:val="ListBullet"/>
      </w:pPr>
      <w:r>
        <w:t>3. Лучшие пути доступа</w:t>
      </w:r>
    </w:p>
    <w:p>
      <w:pPr>
        <w:pStyle w:val="ListBullet"/>
      </w:pPr>
      <w:r>
        <w:t>4. Карта прав и практического использования</w:t>
      </w:r>
    </w:p>
    <w:p>
      <w:pPr>
        <w:pStyle w:val="ListBullet"/>
      </w:pPr>
      <w:r>
        <w:t>5. Характерные правовые тонкости</w:t>
      </w:r>
    </w:p>
    <w:p>
      <w:pPr>
        <w:pStyle w:val="ListBullet"/>
      </w:pPr>
      <w:r>
        <w:t>6. Пробелы и дальнейший поиск</w:t>
      </w:r>
    </w:p>
    <w:p>
      <w:pPr>
        <w:pStyle w:val="ListBullet"/>
      </w:pPr>
      <w:r>
        <w:t>7. Итоговая оценка</w:t>
      </w:r>
    </w:p>
    <w:p>
      <w:pPr>
        <w:pStyle w:val="Heading1"/>
        <w:pBdr>
          <w:bottom w:val="single" w:sz="18" w:space="3" w:color="0F766E"/>
        </w:pBdr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ID и название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A19 — Южная Азия — Классическая брахманическая шастра и даршаны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Исходный статус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A — доказуемо читаемый аргументативный и системный корпус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Исходная уверенность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4/5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Хронологическое ядро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ок. 200 до н. э. – 500 н. э.; датировки отдельных sūtra и ранних комментариев неравномерны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Исходный DR-документ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ToS Deep Research_ A19 — Южная Азия — Классическая брахманическая шастра и даршаны.docx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Дата проверки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2026-09-03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Языки поиска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русский, английский, санскрит в IAST и Harvard-Kyoto/ASCII-вариантах; выборочно немецкий, французский, испанский, китайский и арабский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Ядро корпуса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Mīmāṃsā, Nyāya, Vaiśeṣika, Sāṃkhya, Yoga и ранний Vedānta; связка mūla-sūtra / kārikā — bhāṣya — vārttika — subcommentary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Искомые объекты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произведения, корпусы, конкретные издания и переводы, рукописный свидетель, цифровые тексты и факсимиле, TEI/XML и datasets, каталоги, библиотечная выдача, preview и покупка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Единица реестра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один практически отличимый путь доступа к конкретной версии, редакции, языку, свидетелю, репозиторию или правовому режиму</w:t>
            </w:r>
          </w:p>
        </w:tc>
      </w:tr>
    </w:tbl>
    <w:p>
      <w:r>
        <w:t>Исходный DR задаёт A19 не как «общую историю индуизма», а как санскритскую шастрическую экосистему, в которой школа существует через жанровую цепь sūtra–bhāṣya–vārttika и через межшкольную аргументацию. Поэтому реестр удерживает отдельно краткий mūla-текст, канонизирующий комментарий, поздние линии чтения, переводы и цифровые слои доступа. Исторические границы мастер-строки не изменены: более ранние и поздние объекты включены только как документируемый хронологический ореол.</w:t>
      </w:r>
    </w:p>
    <w:p>
      <w:pPr>
        <w:pStyle w:val="Heading1"/>
        <w:pBdr>
          <w:bottom w:val="single" w:sz="18" w:space="3" w:color="0F766E"/>
        </w:pBdr>
      </w:pPr>
      <w:r>
        <w:t>2. Охват корпуса</w:t>
      </w:r>
    </w:p>
    <w:p>
      <w:pPr>
        <w:pStyle w:val="Heading2"/>
      </w:pPr>
      <w:r>
        <w:t>2.1. Ядро шести кластеров</w:t>
      </w:r>
    </w:p>
    <w:p>
      <w:r>
        <w:rPr>
          <w:b/>
          <w:color w:val="123B4A"/>
        </w:rPr>
        <w:t xml:space="preserve">Mīmāṃsā. </w:t>
      </w:r>
      <w:r>
        <w:t>В ядро включены Mīmāṃsāsūtra Джаймини, сохранившаяся связка с Śabarabhāṣya и более поздние линии Кумарилы, Прабхакары и Шаликанатхи. Поиск различает ранний sūtra-корпус, частичный ранний bhāṣya, vārttika и позднюю рецепцию; это особенно важно, потому что доступ к полному Śabarabhāṣya и Tantravārttika остаётся неравномерным.</w:t>
      </w:r>
    </w:p>
    <w:p>
      <w:r>
        <w:rPr>
          <w:b/>
          <w:color w:val="123B4A"/>
        </w:rPr>
        <w:t xml:space="preserve">Nyāya. </w:t>
      </w:r>
      <w:r>
        <w:t>Ядро образуют Nyāyasūtra и Nyāyabhāṣya Ватсьяяны. К ним добавлены Uddyotakara/Vācaspati, поздняя Navya-Nyāya через Tattvacintāmaṇi и современные научные переводы. Здесь найден один из самых сильных машиночитаемых путей: item-level TEI SARIT для Nyāyabhāṣya.</w:t>
      </w:r>
    </w:p>
    <w:p>
      <w:r>
        <w:rPr>
          <w:b/>
          <w:color w:val="123B4A"/>
        </w:rPr>
        <w:t xml:space="preserve">Vaiśeṣika. </w:t>
      </w:r>
      <w:r>
        <w:t>Включены Vaiśeṣikasūtra, Padārthadharmasaṃgraha Прашастапады, Nyāyakandalī и учебная поздняя линия Tarka-saṃgraha. Разнесены древний текст, систематизирующий compendium, исторические переводы и современное защищённое издание.</w:t>
      </w:r>
    </w:p>
    <w:p>
      <w:r>
        <w:rPr>
          <w:b/>
          <w:color w:val="123B4A"/>
        </w:rPr>
        <w:t xml:space="preserve">Sāṃkhya. </w:t>
      </w:r>
      <w:r>
        <w:t>Центр — Sāṃkhyakārikā Ишваракришны. Ореол включает Māṭharavṛtti, Gauḍapādabhāṣya, Jayamaṅgalā, Tattvakaumudī, Yuktidīpikā, китайскую Suvarṇasaptati и поздние Sāṃkhyasūtra как boundary-объект, а не как безусловное раннее ядро.</w:t>
      </w:r>
    </w:p>
    <w:p>
      <w:r>
        <w:rPr>
          <w:b/>
          <w:color w:val="123B4A"/>
        </w:rPr>
        <w:t xml:space="preserve">Yoga. </w:t>
      </w:r>
      <w:r>
        <w:t>Ядро сведено не к отдельно взятым афоризмам, а к Pātañjalayogaśāstra — Yogasūtra вместе с Vyāsabhāṣya. Добавлены Tattvavaiśāradī, Rājamārtaṇḍa, поздние комментарии, старые и современные переводы, русские издания и арабская передача у ал-Бируни.</w:t>
      </w:r>
    </w:p>
    <w:p>
      <w:r>
        <w:rPr>
          <w:b/>
          <w:color w:val="123B4A"/>
        </w:rPr>
        <w:t xml:space="preserve">Ранний Vedānta. </w:t>
      </w:r>
      <w:r>
        <w:t>В ядре находится Brahmasūtra как ранний систематизирующий anchor. Śaṅkara, Rāmānuja, Madhva, Bhāmatī и другие линии включены как поздняя комментарийная дивергенция и передача, не как доказательство готовых средневековых школ внутри исторического ядра A19.</w:t>
      </w:r>
    </w:p>
    <w:p>
      <w:pPr>
        <w:pStyle w:val="Heading2"/>
      </w:pPr>
      <w:r>
        <w:t>2.2. Что добавлено веб-поиском</w:t>
      </w:r>
    </w:p>
    <w:p>
      <w:pPr>
        <w:pStyle w:val="ListBullet"/>
      </w:pPr>
      <w:r>
        <w:t>item-level GRETIL-страницы и TEI/XML для mūla-текстов, комментариев и субкомментариев, вместо одной общей ссылки на портал;</w:t>
      </w:r>
    </w:p>
    <w:p>
      <w:pPr>
        <w:pStyle w:val="ListBullet"/>
      </w:pPr>
      <w:r>
        <w:t>четыре проверенных SARIT-файла с собственными availability statements: Pātañjalayogaśāstra, Nyāyabhāṣya, Padārthadharmasaṃgraha и Tattvavaiśāradī;</w:t>
      </w:r>
    </w:p>
    <w:p>
      <w:pPr>
        <w:pStyle w:val="ListBullet"/>
      </w:pPr>
      <w:r>
        <w:t>исторические англоязычные и санскритские издания в Internet Archive и Project Gutenberg, разделённые на явно публичнодоменные и требующие юрисдикционной проверки;</w:t>
      </w:r>
    </w:p>
    <w:p>
      <w:pPr>
        <w:pStyle w:val="ListBullet"/>
      </w:pPr>
      <w:r>
        <w:t>современные защищённые научные варианты: Kataoka по Кумариле, Dasti по Nyāyabhāṣya, Hackett/Routledge по Nyāya–Vaiśeṣika, Bryant по Yoga и современные Sāṃkhya-издания;</w:t>
      </w:r>
    </w:p>
    <w:p>
      <w:pPr>
        <w:pStyle w:val="ListBullet"/>
      </w:pPr>
      <w:r>
        <w:t>внеиндийские линии сохранения: китайская Sāṃkhya в CBETA, арабский Patañjali/al-Bīrūnī, а также русские переводы и академические издания;</w:t>
      </w:r>
    </w:p>
    <w:p>
      <w:pPr>
        <w:pStyle w:val="ListBullet"/>
      </w:pPr>
      <w:r>
        <w:t>смешанные инфраструктуры с сильными инструментами, но ограничениями на автоматический доступ или повторное размещение: Sanskrit Library, Gita Supersite, рукописный каталог Cambridge Digital Library.</w:t>
      </w:r>
    </w:p>
    <w:p>
      <w:pPr>
        <w:pStyle w:val="Heading2"/>
      </w:pPr>
      <w:r>
        <w:t>2.3. Открытый хронологический контур</w:t>
      </w:r>
    </w:p>
    <w:p>
      <w:r>
        <w:rPr>
          <w:b/>
        </w:rPr>
        <w:t xml:space="preserve">Поиск назад во времени. </w:t>
      </w:r>
      <w:r>
        <w:t>Включены ранние Упанишады и ведийский ритуально-герменевтический слой, Bhagavad Gītā как эпический мост Sāṃkhya–Yoga, а также Aṣṭādhyāyī, Mahābhāṣya и Vākyapadīya как конкретная входящая линия анализа языка. Буддийская аргументация представлена только в пограничных случаях, где есть прямая связь с Nyāya/Mīmāṃsā, а не как общая библиография буддизма.</w:t>
      </w:r>
    </w:p>
    <w:p>
      <w:r>
        <w:rPr>
          <w:b/>
        </w:rPr>
        <w:t xml:space="preserve">Поиск вперёд во времени. </w:t>
      </w:r>
      <w:r>
        <w:t>Добавлены поздние Mīmāṃsā-линии Кумарилы, Прабхакары и Шаликанатхи; комментарии и субкомментарии Nyāya–Vaiśeṣika; Navya-Nyāya; систематизаторы Sāṃkhya и Yoga; разветвление Brahmasūtra в Advaita, Viśiṣṭādvaita и Dvaita; китайская и арабская передача. Каждый объект снабжён меткой конкретной роли — continuation, commentary_or_reception или transmission_or_preservation.</w:t>
      </w:r>
    </w:p>
    <w:p>
      <w:pPr>
        <w:pStyle w:val="Heading2"/>
      </w:pPr>
      <w:r>
        <w:t>2.4. Количественные итоги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096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296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Количество</w:t>
            </w:r>
          </w:p>
        </w:tc>
        <w:tc>
          <w:tcPr>
            <w:tcW w:type="dxa" w:w="5256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Записи доступа</w:t>
            </w:r>
          </w:p>
        </w:tc>
        <w:tc>
          <w:tcPr>
            <w:tcW w:type="dxa" w:w="12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105</w:t>
            </w:r>
          </w:p>
        </w:tc>
        <w:tc>
          <w:tcPr>
            <w:tcW w:type="dxa" w:w="52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Различимые версии, репозитории, языки или режимы доступа.</w:t>
            </w:r>
          </w:p>
        </w:tc>
      </w:tr>
      <w:tr>
        <w:trPr>
          <w:cantSplit/>
        </w:trPr>
        <w:tc>
          <w:tcPr>
            <w:tcW w:type="dxa" w:w="30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Заголовочные первичные/трансмиссионные объекты</w:t>
            </w:r>
          </w:p>
        </w:tc>
        <w:tc>
          <w:tcPr>
            <w:tcW w:type="dxa" w:w="12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72</w:t>
            </w:r>
          </w:p>
        </w:tc>
        <w:tc>
          <w:tcPr>
            <w:tcW w:type="dxa" w:w="52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До нормализации синонимов и дедупликации Codex; не равно числу ссылок.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Свободное полное чтение</w:t>
            </w:r>
          </w:p>
        </w:tc>
        <w:tc>
          <w:tcPr>
            <w:tcW w:type="dxa" w:w="12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85</w:t>
            </w:r>
          </w:p>
        </w:tc>
        <w:tc>
          <w:tcPr>
            <w:tcW w:type="dxa" w:w="52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Полный цифровой объект или заявленное покрытие записи, не обязательно весь большой корпус.</w:t>
            </w:r>
          </w:p>
        </w:tc>
      </w:tr>
      <w:tr>
        <w:trPr>
          <w:cantSplit/>
        </w:trPr>
        <w:tc>
          <w:tcPr>
            <w:tcW w:type="dxa" w:w="30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Свободное скачивание</w:t>
            </w:r>
          </w:p>
        </w:tc>
        <w:tc>
          <w:tcPr>
            <w:tcW w:type="dxa" w:w="12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75</w:t>
            </w:r>
          </w:p>
        </w:tc>
        <w:tc>
          <w:tcPr>
            <w:tcW w:type="dxa" w:w="52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Не означает автоматически право повторного размещения.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Preview/snippet</w:t>
            </w:r>
          </w:p>
        </w:tc>
        <w:tc>
          <w:tcPr>
            <w:tcW w:type="dxa" w:w="12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52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Частичное ознакомление с защищённой версией.</w:t>
            </w:r>
          </w:p>
        </w:tc>
      </w:tr>
      <w:tr>
        <w:trPr>
          <w:cantSplit/>
        </w:trPr>
        <w:tc>
          <w:tcPr>
            <w:tcW w:type="dxa" w:w="30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Покупка</w:t>
            </w:r>
          </w:p>
        </w:tc>
        <w:tc>
          <w:tcPr>
            <w:tcW w:type="dxa" w:w="12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52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Официальная издательская или книготорговая страница.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Библиотечная выдача</w:t>
            </w:r>
          </w:p>
        </w:tc>
        <w:tc>
          <w:tcPr>
            <w:tcW w:type="dxa" w:w="129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52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Controlled Digital Lending / borrow; не публичное копирование.</w:t>
            </w:r>
          </w:p>
        </w:tc>
      </w:tr>
      <w:tr>
        <w:trPr>
          <w:cantSplit/>
        </w:trPr>
        <w:tc>
          <w:tcPr>
            <w:tcW w:type="dxa" w:w="30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Права: high / medium / low</w:t>
            </w:r>
          </w:p>
        </w:tc>
        <w:tc>
          <w:tcPr>
            <w:tcW w:type="dxa" w:w="129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84 / 18 / 3</w:t>
            </w:r>
          </w:p>
        </w:tc>
        <w:tc>
          <w:tcPr>
            <w:tcW w:type="dxa" w:w="52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Уверенность относится к описанному rights_scope, а не к произведению вообще.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6192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Релевантность</w:t>
            </w:r>
          </w:p>
        </w:tc>
        <w:tc>
          <w:tcPr>
            <w:tcW w:type="dxa" w:w="1728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Записей</w:t>
            </w:r>
          </w:p>
        </w:tc>
      </w:tr>
      <w:tr>
        <w:trPr>
          <w:cantSplit/>
        </w:trPr>
        <w:tc>
          <w:tcPr>
            <w:tcW w:type="dxa" w:w="619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core</w:t>
            </w:r>
          </w:p>
        </w:tc>
        <w:tc>
          <w:tcPr>
            <w:tcW w:type="dxa" w:w="1728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619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same_corpus_or_tradition</w:t>
            </w:r>
          </w:p>
        </w:tc>
        <w:tc>
          <w:tcPr>
            <w:tcW w:type="dxa" w:w="1728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619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antecedent</w:t>
            </w:r>
          </w:p>
        </w:tc>
        <w:tc>
          <w:tcPr>
            <w:tcW w:type="dxa" w:w="1728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619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continuation</w:t>
            </w:r>
          </w:p>
        </w:tc>
        <w:tc>
          <w:tcPr>
            <w:tcW w:type="dxa" w:w="1728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619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commentary_or_reception</w:t>
            </w:r>
          </w:p>
        </w:tc>
        <w:tc>
          <w:tcPr>
            <w:tcW w:type="dxa" w:w="1728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619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transmission_or_preservation</w:t>
            </w:r>
          </w:p>
        </w:tc>
        <w:tc>
          <w:tcPr>
            <w:tcW w:type="dxa" w:w="1728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30</w:t>
            </w:r>
          </w:p>
        </w:tc>
      </w:tr>
      <w:tr>
        <w:trPr>
          <w:cantSplit/>
        </w:trPr>
        <w:tc>
          <w:tcPr>
            <w:tcW w:type="dxa" w:w="619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supporting</w:t>
            </w:r>
          </w:p>
        </w:tc>
        <w:tc>
          <w:tcPr>
            <w:tcW w:type="dxa" w:w="1728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619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boundary</w:t>
            </w:r>
          </w:p>
        </w:tc>
        <w:tc>
          <w:tcPr>
            <w:tcW w:type="dxa" w:w="1728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619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1728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619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secondary_navigation</w:t>
            </w:r>
          </w:p>
        </w:tc>
        <w:tc>
          <w:tcPr>
            <w:tcW w:type="dxa" w:w="1728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  <w:t>8</w:t>
            </w:r>
          </w:p>
        </w:tc>
      </w:tr>
    </w:tbl>
    <w:p>
      <w:pPr>
        <w:pStyle w:val="Heading1"/>
        <w:pBdr>
          <w:bottom w:val="single" w:sz="18" w:space="3" w:color="0F766E"/>
        </w:pBdr>
      </w:pPr>
      <w:r>
        <w:t>3. Лучшие пути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181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Кластер</w:t>
            </w:r>
          </w:p>
        </w:tc>
        <w:tc>
          <w:tcPr>
            <w:tcW w:type="dxa" w:w="2059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Лучший бесплатный слой</w:t>
            </w:r>
          </w:p>
        </w:tc>
        <w:tc>
          <w:tcPr>
            <w:tcW w:type="dxa" w:w="1843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Старый перевод/издание</w:t>
            </w:r>
          </w:p>
        </w:tc>
        <w:tc>
          <w:tcPr>
            <w:tcW w:type="dxa" w:w="2131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Современный научный слой</w:t>
            </w:r>
          </w:p>
        </w:tc>
        <w:tc>
          <w:tcPr>
            <w:tcW w:type="dxa" w:w="2275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Машиночитаемый слой и оговорка</w:t>
            </w:r>
          </w:p>
        </w:tc>
      </w:tr>
      <w:tr>
        <w:trPr>
          <w:cantSplit/>
        </w:trPr>
        <w:tc>
          <w:tcPr>
            <w:tcW w:type="dxa" w:w="118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Mīmāṃsā</w:t>
            </w:r>
          </w:p>
        </w:tc>
        <w:tc>
          <w:tcPr>
            <w:tcW w:type="dxa" w:w="2059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GRETIL: Mīmāṃsāsūtra; 1–7 с Śabara</w:t>
            </w:r>
          </w:p>
        </w:tc>
        <w:tc>
          <w:tcPr>
            <w:tcW w:type="dxa" w:w="1843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Basu / Sandal / Jha в IA</w:t>
            </w:r>
          </w:p>
        </w:tc>
        <w:tc>
          <w:tcPr>
            <w:tcW w:type="dxa" w:w="213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Kataoka/OEAW; другие критические издания через покупку/библиотеку</w:t>
            </w:r>
          </w:p>
        </w:tc>
        <w:tc>
          <w:tcPr>
            <w:tcW w:type="dxa" w:w="2275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TEI, CC BY-NC-SA; полный Śabara и Tantravārttika требуют доработки</w:t>
            </w:r>
          </w:p>
        </w:tc>
      </w:tr>
      <w:tr>
        <w:trPr>
          <w:cantSplit/>
        </w:trPr>
        <w:tc>
          <w:tcPr>
            <w:tcW w:type="dxa" w:w="118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Nyāya</w:t>
            </w:r>
          </w:p>
        </w:tc>
        <w:tc>
          <w:tcPr>
            <w:tcW w:type="dxa" w:w="2059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mūla + bhāṣya; SARIT Nyāyabhāṣya</w:t>
            </w:r>
          </w:p>
        </w:tc>
        <w:tc>
          <w:tcPr>
            <w:tcW w:type="dxa" w:w="1843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Vidyabhusana/Jha в IA</w:t>
            </w:r>
          </w:p>
        </w:tc>
        <w:tc>
          <w:tcPr>
            <w:tcW w:type="dxa" w:w="213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Hackett selections; Dasti/OUP</w:t>
            </w:r>
          </w:p>
        </w:tc>
        <w:tc>
          <w:tcPr>
            <w:tcW w:type="dxa" w:w="2275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SARIT TEI CC BY-SA 3.0 — наиболее чистый открытый машинный вход</w:t>
            </w:r>
          </w:p>
        </w:tc>
      </w:tr>
      <w:tr>
        <w:trPr>
          <w:cantSplit/>
        </w:trPr>
        <w:tc>
          <w:tcPr>
            <w:tcW w:type="dxa" w:w="118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Vaiśeṣika</w:t>
            </w:r>
          </w:p>
        </w:tc>
        <w:tc>
          <w:tcPr>
            <w:tcW w:type="dxa" w:w="2059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Vaiśeṣikasūtra; SARIT Praśastapāda</w:t>
            </w:r>
          </w:p>
        </w:tc>
        <w:tc>
          <w:tcPr>
            <w:tcW w:type="dxa" w:w="1843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Sinha 1923 и старые издания IA</w:t>
            </w:r>
          </w:p>
        </w:tc>
        <w:tc>
          <w:tcPr>
            <w:tcW w:type="dxa" w:w="213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Routledge translation</w:t>
            </w:r>
          </w:p>
        </w:tc>
        <w:tc>
          <w:tcPr>
            <w:tcW w:type="dxa" w:w="2275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SARIT TEI для Padārthadharmasaṃgraha; GRETIL для sūtra и комментариев</w:t>
            </w:r>
          </w:p>
        </w:tc>
      </w:tr>
      <w:tr>
        <w:trPr>
          <w:cantSplit/>
        </w:trPr>
        <w:tc>
          <w:tcPr>
            <w:tcW w:type="dxa" w:w="118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Sāṃkhya</w:t>
            </w:r>
          </w:p>
        </w:tc>
        <w:tc>
          <w:tcPr>
            <w:tcW w:type="dxa" w:w="2059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Kārikā + комментарии; CBETA T2137</w:t>
            </w:r>
          </w:p>
        </w:tc>
        <w:tc>
          <w:tcPr>
            <w:tcW w:type="dxa" w:w="1843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Davies 1881 / Jha-era prints</w:t>
            </w:r>
          </w:p>
        </w:tc>
        <w:tc>
          <w:tcPr>
            <w:tcW w:type="dxa" w:w="213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современные Kairós, Inner Traditions, MLBD</w:t>
            </w:r>
          </w:p>
        </w:tc>
        <w:tc>
          <w:tcPr>
            <w:tcW w:type="dxa" w:w="2275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TEI; CBETA NC-SA с особыми требованиями к неизменённому core</w:t>
            </w:r>
          </w:p>
        </w:tc>
      </w:tr>
      <w:tr>
        <w:trPr>
          <w:cantSplit/>
        </w:trPr>
        <w:tc>
          <w:tcPr>
            <w:tcW w:type="dxa" w:w="118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Yoga</w:t>
            </w:r>
          </w:p>
        </w:tc>
        <w:tc>
          <w:tcPr>
            <w:tcW w:type="dxa" w:w="2059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SARIT/GRETIL Pātañjalayogaśāstra</w:t>
            </w:r>
          </w:p>
        </w:tc>
        <w:tc>
          <w:tcPr>
            <w:tcW w:type="dxa" w:w="1843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Woods 1914; старые Sanskrit/English editions</w:t>
            </w:r>
          </w:p>
        </w:tc>
        <w:tc>
          <w:tcPr>
            <w:tcW w:type="dxa" w:w="213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Bryant; официальные русские издания; al-Bīrūnī LAL</w:t>
            </w:r>
          </w:p>
        </w:tc>
        <w:tc>
          <w:tcPr>
            <w:tcW w:type="dxa" w:w="2275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SARIT TEI CC BY-SA; CUDL manuscript images требуют отдельной проверки</w:t>
            </w:r>
          </w:p>
        </w:tc>
      </w:tr>
      <w:tr>
        <w:trPr>
          <w:cantSplit/>
        </w:trPr>
        <w:tc>
          <w:tcPr>
            <w:tcW w:type="dxa" w:w="118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Vedānta</w:t>
            </w:r>
          </w:p>
        </w:tc>
        <w:tc>
          <w:tcPr>
            <w:tcW w:type="dxa" w:w="2059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Brahmasūtra и bhāṣya-линии</w:t>
            </w:r>
          </w:p>
        </w:tc>
        <w:tc>
          <w:tcPr>
            <w:tcW w:type="dxa" w:w="1843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Thibaut/Śaṅkara/Rāmānuja в PG/IA</w:t>
            </w:r>
          </w:p>
        </w:tc>
        <w:tc>
          <w:tcPr>
            <w:tcW w:type="dxa" w:w="2131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современные критические издания — главным образом purchase/library</w:t>
            </w:r>
          </w:p>
        </w:tc>
        <w:tc>
          <w:tcPr>
            <w:tcW w:type="dxa" w:w="2275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 TEI открыт для NC-SA, но не заменяет критический аппарат</w:t>
            </w:r>
          </w:p>
        </w:tc>
      </w:tr>
      <w:tr>
        <w:trPr>
          <w:cantSplit/>
        </w:trPr>
        <w:tc>
          <w:tcPr>
            <w:tcW w:type="dxa" w:w="118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Предшественники</w:t>
            </w:r>
          </w:p>
        </w:tc>
        <w:tc>
          <w:tcPr>
            <w:tcW w:type="dxa" w:w="2059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GRETIL/SARIT-подобные тексты; Vedic portals link-only</w:t>
            </w:r>
          </w:p>
        </w:tc>
        <w:tc>
          <w:tcPr>
            <w:tcW w:type="dxa" w:w="1843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старые Upaniṣad/Gītā editions</w:t>
            </w:r>
          </w:p>
        </w:tc>
        <w:tc>
          <w:tcPr>
            <w:tcW w:type="dxa" w:w="2131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академические переводы и критические серии</w:t>
            </w:r>
          </w:p>
        </w:tc>
        <w:tc>
          <w:tcPr>
            <w:tcW w:type="dxa" w:w="2275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Vedic Heritage и Gita Supersite имеют смешанные/ограниченные условия</w:t>
            </w:r>
          </w:p>
        </w:tc>
      </w:tr>
    </w:tbl>
    <w:p>
      <w:pPr>
        <w:pStyle w:val="Heading2"/>
      </w:pPr>
      <w:r>
        <w:t>3.1. Mīmāṃsā</w:t>
      </w:r>
    </w:p>
    <w:p>
      <w:pPr>
        <w:pStyle w:val="ListBullet"/>
      </w:pPr>
      <w:r>
        <w:t>Лучший бесплатный mūla-текст: item-level GRETIL Mīmāṃsāsūtra с HTML и TEI/XML, лицензия цифрового слоя CC BY-NC-SA 4.0.</w:t>
      </w:r>
    </w:p>
    <w:p>
      <w:pPr>
        <w:pStyle w:val="ListBullet"/>
      </w:pPr>
      <w:r>
        <w:t>Лучший доступ к раннему комментарию в найденном открытом слое: GRETIL Mīmāṃsāsūtra 1–7 с Śabarabhāṣya; coverage не распространяется автоматически на полный bhāṣya.</w:t>
      </w:r>
    </w:p>
    <w:p>
      <w:pPr>
        <w:pStyle w:val="ListBullet"/>
      </w:pPr>
      <w:r>
        <w:t>Лучший старый англоязычный маршрут: исторические тома Basu/Sandal/Jha в Internet Archive; отдельные записи различают санскритский текст, перевод и явность rights statement.</w:t>
      </w:r>
    </w:p>
    <w:p>
      <w:pPr>
        <w:pStyle w:val="ListBullet"/>
      </w:pPr>
      <w:r>
        <w:t>Лучший современный научный маршрут: Kataoka/OEAW по Кумариле; легальный preview/purchase, но без зеркалирования современного текста.</w:t>
      </w:r>
    </w:p>
    <w:p>
      <w:pPr>
        <w:pStyle w:val="Heading2"/>
      </w:pPr>
      <w:r>
        <w:t>3.2. Nyāya и Vaiśeṣika</w:t>
      </w:r>
    </w:p>
    <w:p>
      <w:pPr>
        <w:pStyle w:val="ListBullet"/>
      </w:pPr>
      <w:r>
        <w:t>Nyāyabhāṣya в SARIT — лучший сочетанный вариант для чтения, скачивания, полнотекстовой индексации и собственного перевода на основе открытой санскритской TEI-транскрипции.</w:t>
      </w:r>
    </w:p>
    <w:p>
      <w:pPr>
        <w:pStyle w:val="ListBullet"/>
      </w:pPr>
      <w:r>
        <w:t>GRETIL обеспечивает параллельные mūla/comm input layers, полезные для сверки; их нельзя автоматически называть критическим изданием.</w:t>
      </w:r>
    </w:p>
    <w:p>
      <w:pPr>
        <w:pStyle w:val="ListBullet"/>
      </w:pPr>
      <w:r>
        <w:t>Для Vaiśeṣika открыт SARIT Padārthadharmasaṃgraha и исторический перевод Nandalal Sinha; современная Routledge-версия добавлена как защищённый научный вариант.</w:t>
      </w:r>
    </w:p>
    <w:p>
      <w:pPr>
        <w:pStyle w:val="Heading2"/>
      </w:pPr>
      <w:r>
        <w:t>3.3. Sāṃkhya и Yoga</w:t>
      </w:r>
    </w:p>
    <w:p>
      <w:pPr>
        <w:pStyle w:val="ListBullet"/>
      </w:pPr>
      <w:r>
        <w:t>Sāṃkhyakārikā имеет наиболее богатый открытый комментарийный слой: Māṭhara, Gauḍapāda, Jayamaṅgalā, Vācaspati и Yuktidīpikā в GRETIL.</w:t>
      </w:r>
    </w:p>
    <w:p>
      <w:pPr>
        <w:pStyle w:val="ListBullet"/>
      </w:pPr>
      <w:r>
        <w:t>CBETA T2137 даёт китайскую линию Suvarṇasaptati и машинный файл, но лицензия NC-SA и специальные правила об unchanged core/notice не позволяют обращаться с проектом как с простым public-domain зеркалом.</w:t>
      </w:r>
    </w:p>
    <w:p>
      <w:pPr>
        <w:pStyle w:val="ListBullet"/>
      </w:pPr>
      <w:r>
        <w:t>Для Yoga наиболее чистый открытый вход — SARIT Pātañjalayogaśāstra; Woods 1914 служит сильным историческим английским маршрутом, Bryant — современным научным, а al-Bīrūnī — арабской линией передачи.</w:t>
      </w:r>
    </w:p>
    <w:p>
      <w:pPr>
        <w:pStyle w:val="Heading2"/>
      </w:pPr>
      <w:r>
        <w:t>3.4. Brahmasūtra и ранний Vedānta</w:t>
      </w:r>
    </w:p>
    <w:p>
      <w:pPr>
        <w:pStyle w:val="ListBullet"/>
      </w:pPr>
      <w:r>
        <w:t>GRETIL даёт mūla-текст и несколько комментарийных ветвей, включая Śaṅkara и субкомментарии; лицензия относится к конкретному e-text layer.</w:t>
      </w:r>
    </w:p>
    <w:p>
      <w:pPr>
        <w:pStyle w:val="ListBullet"/>
      </w:pPr>
      <w:r>
        <w:t>Thibaut и исторические Sacred Books of the East доступны через Project Gutenberg и Internet Archive; повторное использование требует учитывать юрисдикцию и условия пакета Project Gutenberg.</w:t>
      </w:r>
    </w:p>
    <w:p>
      <w:pPr>
        <w:pStyle w:val="ListBullet"/>
      </w:pPr>
      <w:r>
        <w:t>Для современного критического аппарата чистого открытого item-level пути не найдено; эта часть остаётся purchase/library/research-rights territory.</w:t>
      </w:r>
    </w:p>
    <w:p>
      <w:pPr>
        <w:pStyle w:val="Heading1"/>
        <w:pBdr>
          <w:bottom w:val="single" w:sz="18" w:space="3" w:color="0F766E"/>
        </w:pBdr>
      </w:pPr>
      <w:r>
        <w:t>4. Карта прав и практического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944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Группа</w:t>
            </w:r>
          </w:p>
        </w:tc>
        <w:tc>
          <w:tcPr>
            <w:tcW w:type="dxa" w:w="3672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Что найдено</w:t>
            </w:r>
          </w:p>
        </w:tc>
        <w:tc>
          <w:tcPr>
            <w:tcW w:type="dxa" w:w="3456"/>
            <w:shd w:fill="123B4A"/>
            <w:tcMar>
              <w:top w:w="85" w:type="dxa"/>
              <w:start w:w="75" w:type="dxa"/>
              <w:bottom w:w="85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Практический режим ToS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Потенциальное зеркалирование</w:t>
            </w:r>
          </w:p>
        </w:tc>
        <w:tc>
          <w:tcPr>
            <w:tcW w:type="dxa" w:w="367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GRETIL e-texts, отдельные SARIT TEI, Cologne data, явно PD исторические издания</w:t>
            </w:r>
          </w:p>
        </w:tc>
        <w:tc>
          <w:tcPr>
            <w:tcW w:type="dxa" w:w="34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Только в доказанном scope. Сохранять атрибуцию, NC/SA и notices; для PD — проверять юрисдикцию и provenance.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Некоммерческий открытый слой</w:t>
            </w:r>
          </w:p>
        </w:tc>
        <w:tc>
          <w:tcPr>
            <w:tcW w:type="dxa" w:w="367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Большинство проверенных GRETIL item pages; CBETA T2137; MW scans</w:t>
            </w:r>
          </w:p>
        </w:tc>
        <w:tc>
          <w:tcPr>
            <w:tcW w:type="dxa" w:w="34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MIRROR_NONCOMMERCIAL / SHAREALIKE_REQUIRED; исключить сторонние компоненты и соблюдать unchanged/notice там, где это требуется.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Только неизменённый компонент</w:t>
            </w:r>
          </w:p>
        </w:tc>
        <w:tc>
          <w:tcPr>
            <w:tcW w:type="dxa" w:w="367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CBETA core files и некоторые институциональные пакеты с особыми условиями</w:t>
            </w:r>
          </w:p>
        </w:tc>
        <w:tc>
          <w:tcPr>
            <w:tcW w:type="dxa" w:w="34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Не смешивать с собственной редакцией без отдельной маркировки; собственные производные хранить отдельным слоем.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Можно читать/скачивать, но mirror не доказан</w:t>
            </w:r>
          </w:p>
        </w:tc>
        <w:tc>
          <w:tcPr>
            <w:tcW w:type="dxa" w:w="367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Часть IA items, LAL PDF al-Bīrūnī, порталы с неясной item-level лицензией</w:t>
            </w:r>
          </w:p>
        </w:tc>
        <w:tc>
          <w:tcPr>
            <w:tcW w:type="dxa" w:w="34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LINK_OK, FREE_READ/FREE_DOWNLOAD, LOCAL_RESEARCH_COPY; публичное повторное размещение блокируется RIGHTS_REVIEW_REQUIRED.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Link-only / borrow / preview / purchase</w:t>
            </w:r>
          </w:p>
        </w:tc>
        <w:tc>
          <w:tcPr>
            <w:tcW w:type="dxa" w:w="3672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Современные переводы и монографии, CDL items, Google Books/издательские preview</w:t>
            </w:r>
          </w:p>
        </w:tc>
        <w:tc>
          <w:tcPr>
            <w:tcW w:type="dxa" w:w="3456"/>
            <w:shd w:fill="FFFFFF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Сохранять законную внешнюю ссылку; не выполнять OCR, публичный fulltext index или embeddings из защищённого полного текста без основания.</w:t>
            </w:r>
          </w:p>
        </w:tc>
      </w:tr>
      <w:tr>
        <w:trPr>
          <w:cantSplit/>
        </w:trPr>
        <w:tc>
          <w:tcPr>
            <w:tcW w:type="dxa" w:w="1944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Смешанные права</w:t>
            </w:r>
          </w:p>
        </w:tc>
        <w:tc>
          <w:tcPr>
            <w:tcW w:type="dxa" w:w="3672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Sanskrit Library, Gita Supersite, CUDL, GitHub-проекты с разными правами на код/данные/изображения</w:t>
            </w:r>
          </w:p>
        </w:tc>
        <w:tc>
          <w:tcPr>
            <w:tcW w:type="dxa" w:w="3456"/>
            <w:shd w:fill="F6F8FA"/>
            <w:tcMar>
              <w:top w:w="75" w:type="dxa"/>
              <w:start w:w="75" w:type="dxa"/>
              <w:bottom w:w="75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Оценивать текст, markup, код, метаданные и изображения отдельно; общую лицензию сайта не переносить на item.</w:t>
            </w:r>
          </w:p>
        </w:tc>
      </w:tr>
    </w:tbl>
    <w:p>
      <w:pPr>
        <w:pStyle w:val="Heading2"/>
      </w:pPr>
      <w:r>
        <w:t>4.1. Собственный перевод ToS</w:t>
      </w:r>
    </w:p>
    <w:p>
      <w:pPr>
        <w:pStyle w:val="ListBullet"/>
      </w:pPr>
      <w:r>
        <w:t>Сильная основа: открыто лицензированный санскритский текст GRETIL или конкретный SARIT TEI. Тег OWN_TRANSLATION_POSSIBLE ограничен заявленным coverage и конкретной редакцией.</w:t>
      </w:r>
    </w:p>
    <w:p>
      <w:pPr>
        <w:pStyle w:val="ListBullet"/>
      </w:pPr>
      <w:r>
        <w:t>Условная основа: историческая санскритская печать, предположительно public domain. До публикации перевода нужна юрисдикционная и provenance-проверка конкретного скана/издания.</w:t>
      </w:r>
    </w:p>
    <w:p>
      <w:pPr>
        <w:pStyle w:val="ListBullet"/>
      </w:pPr>
      <w:r>
        <w:t>Не чистая основа: защищённое современное критическое издание, реконструкция или перевод-посредник. Такие записи помечены RIGHTS_REVIEW_REQUIRED и не дают безусловного OWN_TRANSLATION_POSSIBLE.</w:t>
      </w:r>
    </w:p>
    <w:p>
      <w:pPr>
        <w:pStyle w:val="ListBullet"/>
      </w:pPr>
      <w:r>
        <w:t>Для фрагментов, выбранных разделов и одного свидетеля возможность собственного перевода относится только к доступному слою, а не ко всему произведению или корпусу.</w:t>
      </w:r>
    </w:p>
    <w:p>
      <w:pPr>
        <w:pStyle w:val="Heading1"/>
        <w:pBdr>
          <w:bottom w:val="single" w:sz="18" w:space="3" w:color="0F766E"/>
        </w:pBdr>
      </w:pPr>
      <w:r>
        <w:t>5. Характерные правовые тонкости</w:t>
      </w:r>
    </w:p>
    <w:p>
      <w:r>
        <w:rPr>
          <w:b/>
          <w:color w:val="123B4A"/>
        </w:rPr>
        <w:t xml:space="preserve">Древний оригинал и современная версия. </w:t>
      </w:r>
      <w:r>
        <w:t>Возраст Mīmāṃsāsūtra, Nyāyasūtra или Yogasūtra не освобождает современный перевод, критическую реконструкцию, комментарий или аппарат.</w:t>
      </w:r>
    </w:p>
    <w:p>
      <w:r>
        <w:rPr>
          <w:b/>
          <w:color w:val="123B4A"/>
        </w:rPr>
        <w:t xml:space="preserve">GRETIL. </w:t>
      </w:r>
      <w:r>
        <w:t>Высокая открытость относится к конкретному цифровому тексту и TEI-header item page. Она не переносится автоматически на исходное печатное издание, сканы или материалы третьих лиц.</w:t>
      </w:r>
    </w:p>
    <w:p>
      <w:r>
        <w:rPr>
          <w:b/>
          <w:color w:val="123B4A"/>
        </w:rPr>
        <w:t xml:space="preserve">SARIT. </w:t>
      </w:r>
      <w:r>
        <w:t>Проверка проведена на уровне отдельных файлов. CC BY-SA 3.0 установлена для четырёх конкретных TEI files; нельзя считать весь репозиторий однородно лицензированным без file-level проверки.</w:t>
      </w:r>
    </w:p>
    <w:p>
      <w:r>
        <w:rPr>
          <w:b/>
          <w:color w:val="123B4A"/>
        </w:rPr>
        <w:t xml:space="preserve">Internet Archive. </w:t>
      </w:r>
      <w:r>
        <w:t>Дата издания и кнопка Download недостаточны. Реестр различает явное NOT_IN_COPYRIGHT/PD statement и вывод по дате, а также отдельно хранит Controlled Digital Lending.</w:t>
      </w:r>
    </w:p>
    <w:p>
      <w:r>
        <w:rPr>
          <w:b/>
          <w:color w:val="123B4A"/>
        </w:rPr>
        <w:t xml:space="preserve">Project Gutenberg. </w:t>
      </w:r>
      <w:r>
        <w:t>Пакет полезен для старых переводов, но public-domain вывод ориентирован прежде всего на США; условия бренда, заголовка лицензии и распространения пакета надо сохранять.</w:t>
      </w:r>
    </w:p>
    <w:p>
      <w:r>
        <w:rPr>
          <w:b/>
          <w:color w:val="123B4A"/>
        </w:rPr>
        <w:t xml:space="preserve">Sanskrit Library. </w:t>
      </w:r>
      <w:r>
        <w:t>Сайт даёт исследовательский доступ и инструменты, но пользовательское соглашение ограничивает копирование, redistributing, automated access и deep linking; поэтому это link-only/institutional research layer.</w:t>
      </w:r>
    </w:p>
    <w:p>
      <w:r>
        <w:rPr>
          <w:b/>
          <w:color w:val="123B4A"/>
        </w:rPr>
        <w:t xml:space="preserve">CBETA. </w:t>
      </w:r>
      <w:r>
        <w:t>Лицензия открыта для некоммерческого ShareAlike-использования, но действует компонентно; требования к неизменённому core, уведомлениям и версии должны сохраняться.</w:t>
      </w:r>
    </w:p>
    <w:p>
      <w:r>
        <w:rPr>
          <w:b/>
          <w:color w:val="123B4A"/>
        </w:rPr>
        <w:t xml:space="preserve">Бесплатный официальный PDF. </w:t>
      </w:r>
      <w:r>
        <w:t>LAL PDF al-Bīrūnī можно законно скачать и читать, однако отсутствие открытой лицензии не позволяет зеркалировать современную билингвальную редакцию.</w:t>
      </w:r>
    </w:p>
    <w:p>
      <w:r>
        <w:rPr>
          <w:b/>
          <w:color w:val="123B4A"/>
        </w:rPr>
        <w:t xml:space="preserve">Рукописные изображения. </w:t>
      </w:r>
      <w:r>
        <w:t>Публичнодоменный исторический текст и права на современные изображения/IIIF не совпадают. Для Rājamārtaṇḍa в CUDL найден catalogue entry, но права изображений и автоматический viewer access требуют ручной проверки.</w:t>
      </w:r>
    </w:p>
    <w:p>
      <w:r>
        <w:rPr>
          <w:b/>
          <w:color w:val="123B4A"/>
        </w:rPr>
        <w:t xml:space="preserve">Реконструкция из перевода. </w:t>
      </w:r>
      <w:r>
        <w:t>Tarkaśāstra, реконструированная из китайского, содержит современный реконструктивный слой; древний материал не делает этот слой свободным.</w:t>
      </w:r>
    </w:p>
    <w:p>
      <w:pPr>
        <w:pStyle w:val="Heading1"/>
        <w:pBdr>
          <w:bottom w:val="single" w:sz="18" w:space="3" w:color="0F766E"/>
        </w:pBdr>
      </w:pPr>
      <w:r>
        <w:t>6. Пробелы и дальнейший поиск</w:t>
      </w:r>
    </w:p>
    <w:p>
      <w:r>
        <w:t>На листе gaps зафиксировано 15 объектов и задач, для которых не найден достаточно чистый item-level цифровой вход либо связь/права требуют продолжения проверки. Пробел — не исключение из корпуса, а приоритет следующего прохода.</w:t>
      </w:r>
    </w:p>
    <w:p>
      <w:pPr>
        <w:pStyle w:val="Heading2"/>
      </w:pPr>
      <w:r>
        <w:t>6.1. Приоритетные пробелы</w:t>
      </w:r>
    </w:p>
    <w:p>
      <w:pPr>
        <w:pStyle w:val="ListBullet"/>
      </w:pPr>
      <w:r>
        <w:rPr>
          <w:b/>
        </w:rPr>
        <w:t xml:space="preserve">Полные Mīmāṃsāsūtra + Śabarabhāṣya, все 12 adhyāya, в вычитанном открытом издании: </w:t>
      </w:r>
      <w:r>
        <w:t>Проверенный объединённый файл GRETIL покрывает только 1–7. Следующий шаг: Искать по adhyāya/adhikaraṇa в институциональных санскритских репозиториях и проектах критических изданий.</w:t>
      </w:r>
    </w:p>
    <w:p>
      <w:pPr>
        <w:pStyle w:val="ListBullet"/>
      </w:pPr>
      <w:r>
        <w:rPr>
          <w:b/>
        </w:rPr>
        <w:t xml:space="preserve">Полные Tantravārttika и Ṭuptīkā в чистом TEI/XML: </w:t>
      </w:r>
      <w:r>
        <w:t>Текущие TEI-ссылки не работают; legacy-текст частичен и основан на современной редакции. Следующий шаг: Связаться с участниками и редакторами GRETIL/SARIT; искать авторские депозиты.</w:t>
      </w:r>
    </w:p>
    <w:p>
      <w:pPr>
        <w:pStyle w:val="ListBullet"/>
      </w:pPr>
      <w:r>
        <w:rPr>
          <w:b/>
        </w:rPr>
        <w:t xml:space="preserve">Открытый корпус Prābhākara сверх частичных Bṛhatī и Prakaraṇapañcikā: </w:t>
      </w:r>
      <w:r>
        <w:t>Доступные сканы и e-texts неполны либо не вычитаны. Следующий шаг: Искать Śālikanātha, Ṛjuvimalāpañcikā и Prabhākara по shelfmarks.</w:t>
      </w:r>
    </w:p>
    <w:p>
      <w:pPr>
        <w:pStyle w:val="ListBullet"/>
      </w:pPr>
      <w:r>
        <w:rPr>
          <w:b/>
        </w:rPr>
        <w:t xml:space="preserve">Полные открытые Yoga-vārttika и Rājamārtaṇḍa плюс повторно используемые факсимиле: </w:t>
      </w:r>
      <w:r>
        <w:t>Cambridge witness найден, но права на изображения не проверены; полного машинного текста нет. Следующий шаг: Вручную проверить CUDL/IIIF; искать Muktabodha и рукописные порталы.</w:t>
      </w:r>
    </w:p>
    <w:p>
      <w:pPr>
        <w:pStyle w:val="ListBullet"/>
      </w:pPr>
      <w:r>
        <w:rPr>
          <w:b/>
        </w:rPr>
        <w:t xml:space="preserve">Критическое издание Brahmasūtra с открытым аппаратом и recension data: </w:t>
      </w:r>
      <w:r>
        <w:t>Открытые mūla e-texts есть, современного открытого критического аппарата нет. Следующий шаг: Искать национальные репозитории и critical series; разделять права mūla и аппарата.</w:t>
      </w:r>
    </w:p>
    <w:p>
      <w:pPr>
        <w:pStyle w:val="ListBullet"/>
      </w:pPr>
      <w:r>
        <w:rPr>
          <w:b/>
        </w:rPr>
        <w:t xml:space="preserve">Покомпонентный аудит прав Gita Supersite: </w:t>
      </w:r>
      <w:r>
        <w:t>Портал читается, но item-level матрица лицензий не найдена. Следующий шаг: Связаться с IIT Kanpur и идентифицировать каждое исходное издание и переводчика.</w:t>
      </w:r>
    </w:p>
    <w:p>
      <w:pPr>
        <w:pStyle w:val="ListBullet"/>
      </w:pPr>
      <w:r>
        <w:rPr>
          <w:b/>
        </w:rPr>
        <w:t xml:space="preserve">Современные пользовательские загрузки, помеченные CC0 вопреки защищённому содержанию: </w:t>
      </w:r>
      <w:r>
        <w:t>Лицензия загрузчика не очищает права третьих лиц; такие файлы исключены из сильных рекомендаций. Следующий шаг: Использовать депозиты издателей/авторов, библиотечную выдачу или явное разрешение правообладателя.</w:t>
      </w:r>
    </w:p>
    <w:p>
      <w:pPr>
        <w:pStyle w:val="Heading2"/>
      </w:pPr>
      <w:r>
        <w:t>6.2. Остальные целевые задачи</w:t>
      </w:r>
    </w:p>
    <w:p>
      <w:pPr>
        <w:pStyle w:val="ListBullet"/>
      </w:pPr>
      <w:r>
        <w:rPr>
          <w:b/>
        </w:rPr>
        <w:t xml:space="preserve">Рукописные факсимиле ядра Nyāya со стабильными item rights и IIIF: </w:t>
      </w:r>
      <w:r>
        <w:t>Проверенное факсимиле рукописи не закреплено. Следующий шаг: Искать точные варианты и shelfmarks в CUDL, Bodleian, BnF, NGMCP и индийских миссиях.</w:t>
      </w:r>
    </w:p>
    <w:p>
      <w:pPr>
        <w:pStyle w:val="ListBullet"/>
      </w:pPr>
      <w:r>
        <w:rPr>
          <w:b/>
        </w:rPr>
        <w:t xml:space="preserve">Nyāyakandalī и Kiraṇāvalī в вычитанных открытых машинных изданиях: </w:t>
      </w:r>
      <w:r>
        <w:t>Для Nyāyakandalī найден старый скан, но нет ясного открытого TEI; Kiraṇāvalī не разрешена. Следующий шаг: Искать транслитерации и институциональные репозитории; проверять лицензии.</w:t>
      </w:r>
    </w:p>
    <w:p>
      <w:pPr>
        <w:pStyle w:val="ListBullet"/>
      </w:pPr>
      <w:r>
        <w:rPr>
          <w:b/>
        </w:rPr>
        <w:t xml:space="preserve">Полные вычитанные Yuktidīpikā и Tattvakaumudī с открытым критическим аппаратом: </w:t>
      </w:r>
      <w:r>
        <w:t>Открытые транскрипции и сканы существуют, но полный открытый аппарат не установлен. Следующий шаг: Искать авторские и грантовые депозиты; отделять права на аппарат.</w:t>
      </w:r>
    </w:p>
    <w:p>
      <w:pPr>
        <w:pStyle w:val="ListBullet"/>
      </w:pPr>
      <w:r>
        <w:rPr>
          <w:b/>
        </w:rPr>
        <w:t xml:space="preserve">Полные открытые комментарийные цепи Rāmānuja и Madhva на Brahmasūtra: </w:t>
      </w:r>
      <w:r>
        <w:t>Есть исторические переводы и выбранные санскритские тексты, но не полные открытые цепи. Следующий шаг: Искать варианты Śrībhāṣya/Madhvabhāṣya в GRETIL, SARIT и Muktabodha.</w:t>
      </w:r>
    </w:p>
    <w:p>
      <w:pPr>
        <w:pStyle w:val="ListBullet"/>
      </w:pPr>
      <w:r>
        <w:rPr>
          <w:b/>
        </w:rPr>
        <w:t xml:space="preserve">Полный Tattvacintāmaṇi / Navya-Nyāya сверх Śabdakhaṇḍa: </w:t>
      </w:r>
      <w:r>
        <w:t>Проверен только выбранный раздел GRETIL. Следующий шаг: Искать четыре khaṇḍa, Gaṅgeśa и главные комментарии.</w:t>
      </w:r>
    </w:p>
    <w:p>
      <w:pPr>
        <w:pStyle w:val="ListBullet"/>
      </w:pPr>
      <w:r>
        <w:rPr>
          <w:b/>
        </w:rPr>
        <w:t xml:space="preserve">Авторизованные полнотекстовые русские переводы ядра A19: </w:t>
      </w:r>
      <w:r>
        <w:t>Найдены официальные метаданные и пути покупки, но не авторизованные полные копии. Следующий шаг: Обратиться к издательствам, институтам и наследникам; искать лицензированные OA-переиздания.</w:t>
      </w:r>
    </w:p>
    <w:p>
      <w:pPr>
        <w:pStyle w:val="ListBullet"/>
      </w:pPr>
      <w:r>
        <w:rPr>
          <w:b/>
        </w:rPr>
        <w:t xml:space="preserve">Версионно закреплённый прямой XML/TEI URL для CBETA T2137: </w:t>
      </w:r>
      <w:r>
        <w:t>Item и лицензия проверены, но точный стабильный download не закреплён. Следующий шаг: Установить точный файл и зафиксировать commit/version hash.</w:t>
      </w:r>
    </w:p>
    <w:p>
      <w:pPr>
        <w:pStyle w:val="ListBullet"/>
      </w:pPr>
      <w:r>
        <w:rPr>
          <w:b/>
        </w:rPr>
        <w:t xml:space="preserve">Rights-clean арабский текст al-Bīrūnī независимо от издания 2020 года: </w:t>
      </w:r>
      <w:r>
        <w:t>Официальный PDF свободно доступен, но современная редакция защищена; старое факсимиле не подтверждено. Следующий шаг: Определить рукописи/shelfmarks или старые издания с явным rights statement.</w:t>
      </w:r>
    </w:p>
    <w:p>
      <w:pPr>
        <w:pStyle w:val="Heading2"/>
      </w:pPr>
      <w:r>
        <w:t>6.3. Что требует ручной проверки</w:t>
      </w:r>
    </w:p>
    <w:p>
      <w:pPr>
        <w:pStyle w:val="ListBullet"/>
      </w:pPr>
      <w:r>
        <w:t>сломанную или перенесённую item-level страницу Tantravārttika в GRETIL и источник её цифровой редакции;</w:t>
      </w:r>
    </w:p>
    <w:p>
      <w:pPr>
        <w:pStyle w:val="ListBullet"/>
      </w:pPr>
      <w:r>
        <w:t>viewer и component-level image rights для Cambridge Digital Library manuscript of Rājamārtaṇḍa;</w:t>
      </w:r>
    </w:p>
    <w:p>
      <w:pPr>
        <w:pStyle w:val="ListBullet"/>
      </w:pPr>
      <w:r>
        <w:t>community-uploaded Internet Archive scans, особенно там, где rights metadata создана загрузчиком, а не правообладателем;</w:t>
      </w:r>
    </w:p>
    <w:p>
      <w:pPr>
        <w:pStyle w:val="ListBullet"/>
      </w:pPr>
      <w:r>
        <w:t>точные условия Gita Supersite и Sanskrit Library для каждого source edition, OCR, automated access и indexing;</w:t>
      </w:r>
    </w:p>
    <w:p>
      <w:pPr>
        <w:pStyle w:val="ListBullet"/>
      </w:pPr>
      <w:r>
        <w:t>современные русские издания: наличие авторских/институциональных OA-deposits и разрешений правообладателей.</w:t>
      </w:r>
    </w:p>
    <w:p>
      <w:pPr>
        <w:pStyle w:val="Heading2"/>
      </w:pPr>
      <w:r>
        <w:t>6.4. Targeted follow-up</w:t>
      </w:r>
    </w:p>
    <w:p>
      <w:pPr>
        <w:ind w:left="259" w:hanging="259"/>
      </w:pPr>
      <w:r>
        <w:rPr>
          <w:b/>
        </w:rPr>
        <w:t xml:space="preserve">1. </w:t>
      </w:r>
      <w:r>
        <w:t>Искать точные shelfmarks и item pages рукописей шести mūla-корпусов и ранних bhāṣya в NGMCP, CUDL, BnF, Bodleian, BORI, GOML и национальных индийских каталогах; отдельно фиксировать image/IIIF rights.</w:t>
      </w:r>
    </w:p>
    <w:p>
      <w:pPr>
        <w:ind w:left="259" w:hanging="259"/>
      </w:pPr>
      <w:r>
        <w:rPr>
          <w:b/>
        </w:rPr>
        <w:t xml:space="preserve">2. </w:t>
      </w:r>
      <w:r>
        <w:t>Связаться с GRETIL/SARIT по Tantravārttika и полному Śabarabhāṣya: выяснить source edition, доступные XML, broken links и component-level лицензии.</w:t>
      </w:r>
    </w:p>
    <w:p>
      <w:pPr>
        <w:ind w:left="259" w:hanging="259"/>
      </w:pPr>
      <w:r>
        <w:rPr>
          <w:b/>
        </w:rPr>
        <w:t xml:space="preserve">3. </w:t>
      </w:r>
      <w:r>
        <w:t>Зафиксировать стабильный CBETA release/commit и machine-download для T2137, сохранив Category A/NC-SA, unchanged core и version notice.</w:t>
      </w:r>
    </w:p>
    <w:p>
      <w:pPr>
        <w:ind w:left="259" w:hanging="259"/>
      </w:pPr>
      <w:r>
        <w:rPr>
          <w:b/>
        </w:rPr>
        <w:t xml:space="preserve">4. </w:t>
      </w:r>
      <w:r>
        <w:t>Расширить Prābhākara-line: найти item-level цифровые входы для Bṛhatī, Ṛjuvimalāpañcikā, Prakaraṇapañcikā и Nyāyasiddhi с доказательством прав.</w:t>
      </w:r>
    </w:p>
    <w:p>
      <w:pPr>
        <w:ind w:left="259" w:hanging="259"/>
      </w:pPr>
      <w:r>
        <w:rPr>
          <w:b/>
        </w:rPr>
        <w:t xml:space="preserve">5. </w:t>
      </w:r>
      <w:r>
        <w:t>Искать author/institutional deposits современных критических изданий Nyāya, Mīmāṃsā, Sāṃkhya и Yoga в университетских репозиториях, а не на неавторизованных зеркалах.</w:t>
      </w:r>
    </w:p>
    <w:p>
      <w:pPr>
        <w:ind w:left="259" w:hanging="259"/>
      </w:pPr>
      <w:r>
        <w:rPr>
          <w:b/>
        </w:rPr>
        <w:t xml:space="preserve">6. </w:t>
      </w:r>
      <w:r>
        <w:t>Получить письменные разъяснения IIT Kanpur и Sanskrit Library о permissible OCR, local indexing, embeddings и deep links для конкретных текстовых компонентов.</w:t>
      </w:r>
    </w:p>
    <w:p>
      <w:pPr>
        <w:ind w:left="259" w:hanging="259"/>
      </w:pPr>
      <w:r>
        <w:rPr>
          <w:b/>
        </w:rPr>
        <w:t xml:space="preserve">7. </w:t>
      </w:r>
      <w:r>
        <w:t>Для ал-Бируни найти rights-clean Arabic base: историческое издание или manuscript facsimile с ясным rights statement, чтобы отделить древний текст от современной LAL-редакции.</w:t>
      </w:r>
    </w:p>
    <w:p>
      <w:pPr>
        <w:ind w:left="259" w:hanging="259"/>
      </w:pPr>
      <w:r>
        <w:rPr>
          <w:b/>
        </w:rPr>
        <w:t xml:space="preserve">8. </w:t>
      </w:r>
      <w:r>
        <w:t>Проверить IVRAN/авторские страницы и правообладателей русских переводов на OA, self-archiving или некоммерческое разрешение для ToS.</w:t>
      </w:r>
    </w:p>
    <w:p>
      <w:pPr>
        <w:pStyle w:val="Heading1"/>
        <w:pBdr>
          <w:bottom w:val="single" w:sz="18" w:space="3" w:color="0F766E"/>
        </w:pBdr>
      </w:pPr>
      <w:r>
        <w:t>7. Итоговая оценка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7D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23B4A"/>
                <w:sz w:val="22"/>
              </w:rPr>
              <w:t>Готовность пакета для Codex</w:t>
            </w:r>
          </w:p>
          <w:p>
            <w:pPr>
              <w:spacing w:after="0" w:line="252" w:lineRule="auto"/>
            </w:pPr>
            <w:r>
              <w:t>Пакет пригоден для следующего этапа нормализации и графового переноса. В XLSX сохранены item-level ссылки, версии, покрытия, четыре слоя прав, доказательства, уверенность и ограниченные практические теги. Codex может дедуплицировать синонимы, отделить work/edition/digital object и построить связи, не теряя правовой гранулярности.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Покрытие корпуса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Высокое для шести центральных традиций и их главных комментарийных линий; неравномерное для полного Śabarabhāṣya, Tantravārttika и рукописных свидетелей.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Оригинальные тексты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Высокая доступность нормализованных санскритских e-texts; качество и редакционная природа различаются, поэтому электронный текст не всегда равен критическому изданию.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Переводы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Хорошо покрыты старые английские переводы и выборочно современные научные варианты; русские открытые маршруты существенно слабее.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Наиболее свободный слой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GRETIL item-level CC BY-NC-SA, проверенные SARIT CC BY-SA files, CBETA T2137 при соблюдении специальных условий, Cologne data/scans и исторические public-domain editions.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Главные ограничения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Современные критические издания и переводы, смешанные платформы, рукописные изображения, неопределённые source-edition rights и территориальность public domain.</w:t>
            </w:r>
          </w:p>
        </w:tc>
      </w:tr>
      <w:tr>
        <w:trPr>
          <w:cantSplit/>
        </w:trPr>
        <w:tc>
          <w:tcPr>
            <w:tcW w:type="dxa" w:w="2880"/>
            <w:shd w:fill="F4F7F9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Хронологический ореол</w:t>
            </w:r>
          </w:p>
        </w:tc>
        <w:tc>
          <w:tcPr>
            <w:tcW w:type="dxa" w:w="662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Сформирован в обе стороны и привязан к конкретным функциям: ведийско-упанишадические/эпические/грамматические antecedents; поздние комментарии, Navya-Nyāya, Vedānta, китайская и арабская transmission.</w:t>
            </w:r>
          </w:p>
        </w:tc>
      </w:tr>
      <w:tr>
        <w:trPr>
          <w:cantSplit/>
        </w:trPr>
        <w:tc>
          <w:tcPr>
            <w:tcW w:type="dxa" w:w="288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/>
              </w:rPr>
              <w:t>Вердикт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t>Да: результат пригоден для передачи Codex как исследовательский пакет, при условии сохранения rights_scope/coverage и ручной проверки medium/low-confidence записей перед публикационными действиями.</w:t>
            </w:r>
          </w:p>
        </w:tc>
      </w:tr>
    </w:tbl>
    <w:p>
      <w:pPr>
        <w:pStyle w:val="Heading2"/>
      </w:pPr>
      <w:r>
        <w:t>Ключевые официальные условия и инфраструктуры</w:t>
      </w:r>
    </w:p>
    <w:p>
      <w:pPr>
        <w:pStyle w:val="ListBullet"/>
      </w:pPr>
      <w:hyperlink r:id="rId11">
        <w:r>
          <w:rPr>
            <w:color w:val="0B5CAD"/>
            <w:u w:val="single"/>
          </w:rPr>
          <w:t>GRETIL — corpus index</w:t>
        </w:r>
      </w:hyperlink>
    </w:p>
    <w:p>
      <w:pPr>
        <w:pStyle w:val="ListBullet"/>
      </w:pPr>
      <w:hyperlink r:id="rId12">
        <w:r>
          <w:rPr>
            <w:color w:val="0B5CAD"/>
            <w:u w:val="single"/>
          </w:rPr>
          <w:t>SARIT — corpus repository</w:t>
        </w:r>
      </w:hyperlink>
    </w:p>
    <w:p>
      <w:pPr>
        <w:pStyle w:val="ListBullet"/>
      </w:pPr>
      <w:hyperlink r:id="rId13">
        <w:r>
          <w:rPr>
            <w:color w:val="0B5CAD"/>
            <w:u w:val="single"/>
          </w:rPr>
          <w:t>Sanskrit Library — user agreement</w:t>
        </w:r>
      </w:hyperlink>
    </w:p>
    <w:p>
      <w:pPr>
        <w:pStyle w:val="ListBullet"/>
      </w:pPr>
      <w:hyperlink r:id="rId14">
        <w:r>
          <w:rPr>
            <w:color w:val="0B5CAD"/>
            <w:u w:val="single"/>
          </w:rPr>
          <w:t>Project Gutenberg — license</w:t>
        </w:r>
      </w:hyperlink>
    </w:p>
    <w:p>
      <w:pPr>
        <w:pStyle w:val="ListBullet"/>
      </w:pPr>
      <w:hyperlink r:id="rId15">
        <w:r>
          <w:rPr>
            <w:color w:val="0B5CAD"/>
            <w:u w:val="single"/>
          </w:rPr>
          <w:t>CBETA — copyright and categories</w:t>
        </w:r>
      </w:hyperlink>
    </w:p>
    <w:p>
      <w:pPr>
        <w:pStyle w:val="ListBullet"/>
      </w:pPr>
      <w:hyperlink r:id="rId16">
        <w:r>
          <w:rPr>
            <w:color w:val="0B5CAD"/>
            <w:u w:val="single"/>
          </w:rPr>
          <w:t>Vedic Heritage Portal — copyright policy</w:t>
        </w:r>
      </w:hyperlink>
    </w:p>
    <w:p>
      <w:pPr>
        <w:pStyle w:val="ListBullet"/>
      </w:pPr>
      <w:hyperlink r:id="rId17">
        <w:r>
          <w:rPr>
            <w:color w:val="0B5CAD"/>
            <w:u w:val="single"/>
          </w:rPr>
          <w:t>Cologne Sanskrit lexicon data</w:t>
        </w:r>
      </w:hyperlink>
    </w:p>
    <w:p>
      <w:pPr>
        <w:pStyle w:val="Small"/>
      </w:pPr>
      <w:r>
        <w:t>Полный набор из 105 access records, все landing/download/evidence URLs и 15 gaps находятся в сопроводительном XLSX. Отчёт намеренно не дублирует реестр построчно.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893" w:left="1037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18" w:space="3" w:color="0F766E"/>
      </w:pBdr>
    </w:pPr>
    <w:r>
      <w:rPr>
        <w:rFonts w:ascii="Noto Sans" w:hAnsi="Noto Sans"/>
        <w:color w:val="5F6B76"/>
        <w:sz w:val="16"/>
      </w:rPr>
      <w:t>ToS Corpus &amp; Rights Registry  •  A19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erif" w:hAnsi="Noto Serif" w:eastAsia="Noto Serif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23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23B4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23B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80" w:line="276" w:lineRule="auto"/>
    </w:pPr>
    <w:rPr>
      <w:rFonts w:ascii="Noto Serif" w:hAnsi="Noto Serif"/>
      <w:color w:val="334155"/>
      <w:sz w:val="22"/>
    </w:rPr>
  </w:style>
  <w:style w:type="paragraph" w:customStyle="1" w:styleId="Small">
    <w:name w:val="Small"/>
    <w:pPr>
      <w:spacing w:after="60"/>
    </w:pPr>
    <w:rPr>
      <w:rFonts w:ascii="Noto Sans" w:hAnsi="Noto Sans"/>
      <w:color w:val="5F6B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.html" TargetMode="External"/><Relationship Id="rId12" Type="http://schemas.openxmlformats.org/officeDocument/2006/relationships/hyperlink" Target="https://github.com/sarit/SARIT-corpus" TargetMode="External"/><Relationship Id="rId13" Type="http://schemas.openxmlformats.org/officeDocument/2006/relationships/hyperlink" Target="https://sanskritlibrary.org/agreement.html" TargetMode="External"/><Relationship Id="rId14" Type="http://schemas.openxmlformats.org/officeDocument/2006/relationships/hyperlink" Target="https://www.gutenberg.org/policy/license.html" TargetMode="External"/><Relationship Id="rId15" Type="http://schemas.openxmlformats.org/officeDocument/2006/relationships/hyperlink" Target="https://cbeta.org/en/copyright" TargetMode="External"/><Relationship Id="rId16" Type="http://schemas.openxmlformats.org/officeDocument/2006/relationships/hyperlink" Target="https://vedicheritage.gov.in/copyright-policy/" TargetMode="External"/><Relationship Id="rId17" Type="http://schemas.openxmlformats.org/officeDocument/2006/relationships/hyperlink" Target="https://github.com/sanskrit-lexicon/csl-or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A19</dc:title>
  <dc:subject>Южная Азия — Классическая брахманическая шастра и даршаны</dc:subject>
  <dc:creator>ToS / Древо Софии</dc:creator>
  <cp:keywords>A19, Sanskrit, Mīmāṃsā, Nyāya, Vaiśeṣika, Sāṃkhya, Yoga, Vedānta, rights, corpus</cp:keywords>
  <dc:description>Research-first rights and access report; checked 2026-09-03.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