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T2-17 · Гаонская и ранняя иудео-арабская философия</w:t>
      </w:r>
    </w:p>
    <w:p>
      <w:r>
        <w:t>Исследовательский пакет: 61 маршрут доступа и 28 записей о пробелах. Основной результат — отдельный XLSX с построчной идентификацией версий, полноты, прав и допустимых действий; этот отчёт объясняет покрытие и приоритеты использования.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Мастер-строка</w:t>
            </w:r>
          </w:p>
        </w:tc>
        <w:tc>
          <w:tcPr>
            <w:tcW w:type="dxa" w:w="7313"/>
            <w:vAlign w:val="top"/>
            <w:shd w:fill="F5F8F9"/>
          </w:tcPr>
          <w:p>
            <w:pPr>
              <w:spacing w:after="100" w:before="80"/>
            </w:pPr>
            <w:r>
              <w:rPr>
                <w:sz w:val="20"/>
              </w:rPr>
              <w:t>T2-17. Гаонская и ранняя иудео-арабская философия. Исходный статус A; исходная уверенность 5/5.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Хронология</w:t>
            </w:r>
          </w:p>
        </w:tc>
        <w:tc>
          <w:tcPr>
            <w:tcW w:type="dxa" w:w="7313"/>
            <w:vAlign w:val="top"/>
            <w:shd w:fill="FFFFFF"/>
          </w:tcPr>
          <w:p>
            <w:pPr>
              <w:spacing w:after="100" w:before="80"/>
            </w:pPr>
            <w:r>
              <w:rPr>
                <w:sz w:val="20"/>
              </w:rPr>
              <w:t>Формирование VIII–X вв.; письменная фиксация и передача IX–XI вв.; канонизация и комментарий X–XII вв. Историческое ядро DR: IX – середина XI в. Границы и статус не изменены.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Исходный документ</w:t>
            </w:r>
          </w:p>
        </w:tc>
        <w:tc>
          <w:tcPr>
            <w:tcW w:type="dxa" w:w="7313"/>
            <w:vAlign w:val="top"/>
            <w:shd w:fill="F5F8F9"/>
          </w:tcPr>
          <w:p>
            <w:pPr>
              <w:spacing w:after="100" w:before="80"/>
            </w:pPr>
            <w:r>
              <w:rPr>
                <w:sz w:val="20"/>
              </w:rPr>
              <w:t>ToS Deep Research_ T2-17 — Гаонская и ранняя иудео-арабская философия(1).docx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Дата и языки проверки</w:t>
            </w:r>
          </w:p>
        </w:tc>
        <w:tc>
          <w:tcPr>
            <w:tcW w:type="dxa" w:w="7313"/>
            <w:vAlign w:val="top"/>
            <w:shd w:fill="FFFFFF"/>
          </w:tcPr>
          <w:p>
            <w:pPr>
              <w:spacing w:after="100" w:before="80"/>
            </w:pPr>
            <w:r>
              <w:rPr>
                <w:sz w:val="20"/>
              </w:rPr>
              <w:t>4 сентября 2026. Запросы на русском, английском, иврите, арабском, французском и немецком; вариантные латинские транслитерации и библиотечные идентификаторы.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Поставка</w:t>
            </w:r>
          </w:p>
        </w:tc>
        <w:tc>
          <w:tcPr>
            <w:tcW w:type="dxa" w:w="7313"/>
            <w:vAlign w:val="top"/>
            <w:shd w:fill="F5F8F9"/>
          </w:tcPr>
          <w:p>
            <w:pPr>
              <w:spacing w:after="100" w:before="80"/>
            </w:pPr>
            <w:r>
              <w:rPr>
                <w:sz w:val="20"/>
              </w:rPr>
              <w:t>ToS_Corpus_Rights_T2-17_registry.xlsx: registry — 61 запись, 32 поля; gaps — 28 записей. Настоящий DOCX — пояснительный отчёт.</w:t>
            </w:r>
          </w:p>
        </w:tc>
      </w:tr>
    </w:tbl>
    <w:p>
      <w:pPr>
        <w:spacing w:after="0"/>
      </w:pPr>
    </w:p>
    <w:p>
      <w:r>
        <w:t>Из DR извлечены два философских центра — «Двадцать глав» ал-Мукаммиса и Amānāt Саадии, — библейский Tafsīr и отдельные комментарии, толкование Sefer Yetzirah, Egron, Siddur, гаонские responsa, календарная полемика 921/922, полемика с Хиви и караимские контр-тексты. Рукописные ориентиры, названия изданий и цифровых проектов использованы как поисковые подсказки, а не как уже проверенный реестр прав. Основание инвентаризации: разделы 6, 16 и библиография исходного DR.</w:t>
      </w:r>
    </w:p>
    <w:p>
      <w:r>
        <w:t>Искались самостоятельные тексты, корпусные сборники, переводы, критические и старопечатные издания, конкретные рукописи и генизные фрагменты, фотографии, цифровые тексты, IIIF и наборы данных. Для доступа использованы библиотеки, университетские репозитории, официальные издатели и торговые страницы, HathiTrust, институциональные загрузки Internet Archive, Wikisource/Commons, Open Siddur. Для идентификации — каталоги, титулы и академические издания; для прав — item-level уведомления, манифест, официальные лицензии и применимые условия проекта.</w:t>
      </w:r>
    </w:p>
    <w:p>
      <w:r>
        <w:t>В таблице access source и evidence source различаются полями: landing_url/direct_download_url показывают путь к объекту, rights_evidence_url — основание правового вывода. Дополнительное библиографическое подтверждение вынесено в notes. Ссылки R001–R061 в отчёте ведут к соответствующим источникам и совпадают с суффиксами record_id в XLSX. Поисковая выдача без открытой страницы не считалась проверкой полного текста или лицензии.</w:t>
      </w:r>
    </w:p>
    <w:p>
      <w:r>
        <w:t>Часть кандидатов осталась в gaps, в том числе неподтверждённый авторский след Kitāb al-Ḥāwī. Новый саадиевский фрагмент, упомянутый DR под июнем 2026, также не объявлен установленным: доступная карточка T-S 13J3.6 пока даёт более осторожную атрибуцию. Wikipedia не используется в поставке как источник доступа, метаданных или прав.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Ядро DR и результаты расширения</w:t>
      </w:r>
    </w:p>
    <w:p>
      <w:r>
        <w:t>Все крупные корпусные группы исходного DR получили конкретный доступный маршрут, каталожную запись или обозначенный пробел. Amānāt представлен арабским изданием, средневековым еврейским переводом в факсимиле, современным еврейским текстом, английским, немецким и русским переводческими входами. У ал-Мукаммиса разведены критическое издание 1989 и новое параллельное издание 2015/2016; название «Двадцать глав» не трактуется как обещание сохранности всех двадцати глав.</w:t>
      </w:r>
      <w:r>
        <w:rPr>
          <w:sz w:val="18"/>
        </w:rPr>
        <w:t xml:space="preserve">  [</w:t>
      </w:r>
      <w:hyperlink r:id="rId11">
        <w:r>
          <w:rPr>
            <w:color w:val="1B6F80"/>
            <w:sz w:val="18"/>
          </w:rPr>
          <w:t>R001</w:t>
        </w:r>
      </w:hyperlink>
      <w:r>
        <w:rPr>
          <w:sz w:val="18"/>
        </w:rPr>
        <w:t xml:space="preserve">; </w:t>
      </w:r>
      <w:hyperlink r:id="rId12">
        <w:r>
          <w:rPr>
            <w:color w:val="1B6F80"/>
            <w:sz w:val="18"/>
          </w:rPr>
          <w:t>R002</w:t>
        </w:r>
      </w:hyperlink>
      <w:r>
        <w:rPr>
          <w:sz w:val="18"/>
        </w:rPr>
        <w:t xml:space="preserve">; </w:t>
      </w:r>
      <w:hyperlink r:id="rId13">
        <w:r>
          <w:rPr>
            <w:color w:val="1B6F80"/>
            <w:sz w:val="18"/>
          </w:rPr>
          <w:t>R003</w:t>
        </w:r>
      </w:hyperlink>
      <w:r>
        <w:rPr>
          <w:sz w:val="18"/>
        </w:rPr>
        <w:t xml:space="preserve">; </w:t>
      </w:r>
      <w:hyperlink r:id="rId14">
        <w:r>
          <w:rPr>
            <w:color w:val="1B6F80"/>
            <w:sz w:val="18"/>
          </w:rPr>
          <w:t>R004</w:t>
        </w:r>
      </w:hyperlink>
      <w:r>
        <w:rPr>
          <w:sz w:val="18"/>
        </w:rPr>
        <w:t xml:space="preserve">; </w:t>
      </w:r>
      <w:hyperlink r:id="rId15">
        <w:r>
          <w:rPr>
            <w:color w:val="1B6F80"/>
            <w:sz w:val="18"/>
          </w:rPr>
          <w:t>R010</w:t>
        </w:r>
      </w:hyperlink>
      <w:r>
        <w:rPr>
          <w:sz w:val="18"/>
        </w:rPr>
        <w:t xml:space="preserve">; </w:t>
      </w:r>
      <w:hyperlink r:id="rId16">
        <w:r>
          <w:rPr>
            <w:color w:val="1B6F80"/>
            <w:sz w:val="18"/>
          </w:rPr>
          <w:t>R035</w:t>
        </w:r>
      </w:hyperlink>
      <w:r>
        <w:rPr>
          <w:sz w:val="18"/>
        </w:rPr>
        <w:t xml:space="preserve">; </w:t>
      </w:r>
      <w:hyperlink r:id="rId17">
        <w:r>
          <w:rPr>
            <w:color w:val="1B6F80"/>
            <w:sz w:val="18"/>
          </w:rPr>
          <w:t>R048</w:t>
        </w:r>
      </w:hyperlink>
      <w:r>
        <w:rPr>
          <w:sz w:val="18"/>
        </w:rPr>
        <w:t xml:space="preserve">; </w:t>
      </w:r>
      <w:hyperlink r:id="rId18">
        <w:r>
          <w:rPr>
            <w:color w:val="1B6F80"/>
            <w:sz w:val="18"/>
          </w:rPr>
          <w:t>R049</w:t>
        </w:r>
      </w:hyperlink>
      <w:r>
        <w:rPr>
          <w:sz w:val="18"/>
        </w:rPr>
        <w:t>]</w:t>
      </w:r>
    </w:p>
    <w:p>
      <w:r>
        <w:t>Tafsīr не сведён к одному «переводу всей Библии». Отдельно учтены Пятикнижие, Бытие, Исход, фрагмент Левита, Исайя, Притчи, Иов, Псалмы 73–89, Эсфирь и Даниил. Полные печатные издания отдельных книг, новый фрагмент, старый свидетель и современный перевод имеют разное покрытие. Особенно заметны добавленные веб-поиском оригинальные арабографические торговые издания, бамиянский фрагмент Исайи и публикация Бытия 2026.</w:t>
      </w:r>
      <w:r>
        <w:rPr>
          <w:sz w:val="18"/>
        </w:rPr>
        <w:t xml:space="preserve">  [</w:t>
      </w:r>
      <w:hyperlink r:id="rId19">
        <w:r>
          <w:rPr>
            <w:color w:val="1B6F80"/>
            <w:sz w:val="18"/>
          </w:rPr>
          <w:t>R005</w:t>
        </w:r>
      </w:hyperlink>
      <w:r>
        <w:rPr>
          <w:sz w:val="18"/>
        </w:rPr>
        <w:t xml:space="preserve">; </w:t>
      </w:r>
      <w:hyperlink r:id="rId20">
        <w:r>
          <w:rPr>
            <w:color w:val="1B6F80"/>
            <w:sz w:val="18"/>
          </w:rPr>
          <w:t>R006</w:t>
        </w:r>
      </w:hyperlink>
      <w:r>
        <w:rPr>
          <w:sz w:val="18"/>
        </w:rPr>
        <w:t xml:space="preserve">; </w:t>
      </w:r>
      <w:hyperlink r:id="rId21">
        <w:r>
          <w:rPr>
            <w:color w:val="1B6F80"/>
            <w:sz w:val="18"/>
          </w:rPr>
          <w:t>R007</w:t>
        </w:r>
      </w:hyperlink>
      <w:r>
        <w:rPr>
          <w:sz w:val="18"/>
        </w:rPr>
        <w:t xml:space="preserve">; </w:t>
      </w:r>
      <w:hyperlink r:id="rId22">
        <w:r>
          <w:rPr>
            <w:color w:val="1B6F80"/>
            <w:sz w:val="18"/>
          </w:rPr>
          <w:t>R009</w:t>
        </w:r>
      </w:hyperlink>
      <w:r>
        <w:rPr>
          <w:sz w:val="18"/>
        </w:rPr>
        <w:t xml:space="preserve">; </w:t>
      </w:r>
      <w:hyperlink r:id="rId23">
        <w:r>
          <w:rPr>
            <w:color w:val="1B6F80"/>
            <w:sz w:val="18"/>
          </w:rPr>
          <w:t>R015</w:t>
        </w:r>
      </w:hyperlink>
      <w:r>
        <w:rPr>
          <w:sz w:val="18"/>
        </w:rPr>
        <w:t xml:space="preserve">; </w:t>
      </w:r>
      <w:hyperlink r:id="rId24">
        <w:r>
          <w:rPr>
            <w:color w:val="1B6F80"/>
            <w:sz w:val="18"/>
          </w:rPr>
          <w:t>R018</w:t>
        </w:r>
      </w:hyperlink>
      <w:r>
        <w:rPr>
          <w:sz w:val="18"/>
        </w:rPr>
        <w:t xml:space="preserve">; </w:t>
      </w:r>
      <w:hyperlink r:id="rId25">
        <w:r>
          <w:rPr>
            <w:color w:val="1B6F80"/>
            <w:sz w:val="18"/>
          </w:rPr>
          <w:t>R019</w:t>
        </w:r>
      </w:hyperlink>
      <w:r>
        <w:rPr>
          <w:sz w:val="18"/>
        </w:rPr>
        <w:t xml:space="preserve">; </w:t>
      </w:r>
      <w:hyperlink r:id="rId26">
        <w:r>
          <w:rPr>
            <w:color w:val="1B6F80"/>
            <w:sz w:val="18"/>
          </w:rPr>
          <w:t>R027</w:t>
        </w:r>
      </w:hyperlink>
      <w:r>
        <w:rPr>
          <w:sz w:val="18"/>
        </w:rPr>
        <w:t xml:space="preserve">; </w:t>
      </w:r>
      <w:hyperlink r:id="rId27">
        <w:r>
          <w:rPr>
            <w:color w:val="1B6F80"/>
            <w:sz w:val="18"/>
          </w:rPr>
          <w:t>R028</w:t>
        </w:r>
      </w:hyperlink>
      <w:r>
        <w:rPr>
          <w:sz w:val="18"/>
        </w:rPr>
        <w:t xml:space="preserve">; </w:t>
      </w:r>
      <w:hyperlink r:id="rId28">
        <w:r>
          <w:rPr>
            <w:color w:val="1B6F80"/>
            <w:sz w:val="18"/>
          </w:rPr>
          <w:t>R029</w:t>
        </w:r>
      </w:hyperlink>
      <w:r>
        <w:rPr>
          <w:sz w:val="18"/>
        </w:rPr>
        <w:t xml:space="preserve">; </w:t>
      </w:r>
      <w:hyperlink r:id="rId29">
        <w:r>
          <w:rPr>
            <w:color w:val="1B6F80"/>
            <w:sz w:val="18"/>
          </w:rPr>
          <w:t>R032</w:t>
        </w:r>
      </w:hyperlink>
      <w:r>
        <w:rPr>
          <w:sz w:val="18"/>
        </w:rPr>
        <w:t xml:space="preserve">; </w:t>
      </w:r>
      <w:hyperlink r:id="rId30">
        <w:r>
          <w:rPr>
            <w:color w:val="1B6F80"/>
            <w:sz w:val="18"/>
          </w:rPr>
          <w:t>R046</w:t>
        </w:r>
      </w:hyperlink>
      <w:r>
        <w:rPr>
          <w:sz w:val="18"/>
        </w:rPr>
        <w:t xml:space="preserve">; </w:t>
      </w:r>
      <w:hyperlink r:id="rId31">
        <w:r>
          <w:rPr>
            <w:color w:val="1B6F80"/>
            <w:sz w:val="18"/>
          </w:rPr>
          <w:t>R056</w:t>
        </w:r>
      </w:hyperlink>
      <w:r>
        <w:rPr>
          <w:sz w:val="18"/>
        </w:rPr>
        <w:t xml:space="preserve">; </w:t>
      </w:r>
      <w:hyperlink r:id="rId32">
        <w:r>
          <w:rPr>
            <w:color w:val="1B6F80"/>
            <w:sz w:val="18"/>
          </w:rPr>
          <w:t>R057</w:t>
        </w:r>
      </w:hyperlink>
      <w:r>
        <w:rPr>
          <w:sz w:val="18"/>
        </w:rPr>
        <w:t>]</w:t>
      </w:r>
    </w:p>
    <w:p>
      <w:r>
        <w:t>За пределами стартового списка найдены нормативно-филологические и полемические группы: грамматическая «Книга чистоты еврейского языка» в реконструкции Dotan, Sefer ha-Galui вместе с ответами Мевассера, трактаты Самуила бен Хофни, Sheʾiltot, Halakhot Gedolot, Seder Amram, самостоятельная антисаадиевская книга Салмона и поздний комментарий Перлы к перечню заповедей. Их связь конкретна: тот же авторский, гаонский институциональный или непосредственно полемический корпус.</w:t>
      </w:r>
      <w:r>
        <w:rPr>
          <w:sz w:val="18"/>
        </w:rPr>
        <w:t xml:space="preserve">  [</w:t>
      </w:r>
      <w:hyperlink r:id="rId33">
        <w:r>
          <w:rPr>
            <w:color w:val="1B6F80"/>
            <w:sz w:val="18"/>
          </w:rPr>
          <w:t>R033</w:t>
        </w:r>
      </w:hyperlink>
      <w:r>
        <w:rPr>
          <w:sz w:val="18"/>
        </w:rPr>
        <w:t xml:space="preserve">; </w:t>
      </w:r>
      <w:hyperlink r:id="rId34">
        <w:r>
          <w:rPr>
            <w:color w:val="1B6F80"/>
            <w:sz w:val="18"/>
          </w:rPr>
          <w:t>R040</w:t>
        </w:r>
      </w:hyperlink>
      <w:r>
        <w:rPr>
          <w:sz w:val="18"/>
        </w:rPr>
        <w:t xml:space="preserve">; </w:t>
      </w:r>
      <w:hyperlink r:id="rId35">
        <w:r>
          <w:rPr>
            <w:color w:val="1B6F80"/>
            <w:sz w:val="18"/>
          </w:rPr>
          <w:t>R041</w:t>
        </w:r>
      </w:hyperlink>
      <w:r>
        <w:rPr>
          <w:sz w:val="18"/>
        </w:rPr>
        <w:t xml:space="preserve">; </w:t>
      </w:r>
      <w:hyperlink r:id="rId36">
        <w:r>
          <w:rPr>
            <w:color w:val="1B6F80"/>
            <w:sz w:val="18"/>
          </w:rPr>
          <w:t>R042</w:t>
        </w:r>
      </w:hyperlink>
      <w:r>
        <w:rPr>
          <w:sz w:val="18"/>
        </w:rPr>
        <w:t xml:space="preserve">; </w:t>
      </w:r>
      <w:hyperlink r:id="rId37">
        <w:r>
          <w:rPr>
            <w:color w:val="1B6F80"/>
            <w:sz w:val="18"/>
          </w:rPr>
          <w:t>R043</w:t>
        </w:r>
      </w:hyperlink>
      <w:r>
        <w:rPr>
          <w:sz w:val="18"/>
        </w:rPr>
        <w:t xml:space="preserve">; </w:t>
      </w:r>
      <w:hyperlink r:id="rId38">
        <w:r>
          <w:rPr>
            <w:color w:val="1B6F80"/>
            <w:sz w:val="18"/>
          </w:rPr>
          <w:t>R044</w:t>
        </w:r>
      </w:hyperlink>
      <w:r>
        <w:rPr>
          <w:sz w:val="18"/>
        </w:rPr>
        <w:t xml:space="preserve">; </w:t>
      </w:r>
      <w:hyperlink r:id="rId39">
        <w:r>
          <w:rPr>
            <w:color w:val="1B6F80"/>
            <w:sz w:val="18"/>
          </w:rPr>
          <w:t>R045</w:t>
        </w:r>
      </w:hyperlink>
      <w:r>
        <w:rPr>
          <w:sz w:val="18"/>
        </w:rPr>
        <w:t xml:space="preserve">; </w:t>
      </w:r>
      <w:hyperlink r:id="rId40">
        <w:r>
          <w:rPr>
            <w:color w:val="1B6F80"/>
            <w:sz w:val="18"/>
          </w:rPr>
          <w:t>R055</w:t>
        </w:r>
      </w:hyperlink>
      <w:r>
        <w:rPr>
          <w:sz w:val="18"/>
        </w:rPr>
        <w:t>]</w:t>
      </w:r>
    </w:p>
    <w:p>
      <w:pPr>
        <w:pStyle w:val="Heading2"/>
      </w:pPr>
      <w:r>
        <w:t>Поиск назад</w:t>
      </w:r>
    </w:p>
    <w:p>
      <w:r>
        <w:t>Sefer Yetzirah включён как непосредственный исходный текст саадиевского комментария, а не как общий «мистический фон». Современный синоптический Hayman помогает различать редакции, но его аппарат нельзя считать свободным древним оригиналом. Досаадиевский перевод Притч T-S Ar.53.8 представляет раннюю переводную практику, предшествующую программе Саадии; из доступного изображения одного фрагмента не выводится существование полной доступной Библии этой версии. Seder Amram — более ранняя гаонская литургическая систематизация, непосредственно сопоставимая с Siddur Саадии.</w:t>
      </w:r>
      <w:r>
        <w:rPr>
          <w:sz w:val="18"/>
        </w:rPr>
        <w:t xml:space="preserve">  [</w:t>
      </w:r>
      <w:hyperlink r:id="rId41">
        <w:r>
          <w:rPr>
            <w:color w:val="1B6F80"/>
            <w:sz w:val="18"/>
          </w:rPr>
          <w:t>R025</w:t>
        </w:r>
      </w:hyperlink>
      <w:r>
        <w:rPr>
          <w:sz w:val="18"/>
        </w:rPr>
        <w:t xml:space="preserve">; </w:t>
      </w:r>
      <w:hyperlink r:id="rId42">
        <w:r>
          <w:rPr>
            <w:color w:val="1B6F80"/>
            <w:sz w:val="18"/>
          </w:rPr>
          <w:t>R034</w:t>
        </w:r>
      </w:hyperlink>
      <w:r>
        <w:rPr>
          <w:sz w:val="18"/>
        </w:rPr>
        <w:t xml:space="preserve">; </w:t>
      </w:r>
      <w:hyperlink r:id="rId38">
        <w:r>
          <w:rPr>
            <w:color w:val="1B6F80"/>
            <w:sz w:val="18"/>
          </w:rPr>
          <w:t>R044</w:t>
        </w:r>
      </w:hyperlink>
      <w:r>
        <w:rPr>
          <w:sz w:val="18"/>
        </w:rPr>
        <w:t>]</w:t>
      </w:r>
    </w:p>
    <w:p>
      <w:r>
        <w:t>Древний Танах, Вавилонский Талмуд и арабский kalām входят в карту исходных оснований DR. Однако здесь не выбран проверенный открытый цифровой текст каждого входящего канона и не установлена зависимость от конкретного отдельного мусульманского трактата. Эти задачи оставлены в G023–G024. Общее сходство аргументации не превращено в вымышленную цитатную генеалогию.</w:t>
      </w:r>
    </w:p>
    <w:p>
      <w:pPr>
        <w:pStyle w:val="Heading2"/>
      </w:pPr>
      <w:r>
        <w:t>Поиск вперёд и комментарийный ореол</w:t>
      </w:r>
    </w:p>
    <w:p>
      <w:r>
        <w:t>Прямая поздняя рецепция представлена защитой Саадии у Ибн Эзры в Sefat Yeter, комментарием Иехуды бен Барзиллая к Sefer Yetzirah и развёрнутым комментарием Перлы к Sefer ha-mitzvot. Дунаш ибн Тамим и Донноло добавлены как самостоятельные члены той же ранней комментарийной семьи; это не утверждение прямой зависимости каждого из них от Саадии. Средневековый перевод Ибн Тиббона, поздние печати и современные издания составляют отдельную линию передачи.</w:t>
      </w:r>
      <w:r>
        <w:rPr>
          <w:sz w:val="18"/>
        </w:rPr>
        <w:t xml:space="preserve">  [</w:t>
      </w:r>
      <w:hyperlink r:id="rId16">
        <w:r>
          <w:rPr>
            <w:color w:val="1B6F80"/>
            <w:sz w:val="18"/>
          </w:rPr>
          <w:t>R035</w:t>
        </w:r>
      </w:hyperlink>
      <w:r>
        <w:rPr>
          <w:sz w:val="18"/>
        </w:rPr>
        <w:t xml:space="preserve">; </w:t>
      </w:r>
      <w:hyperlink r:id="rId43">
        <w:r>
          <w:rPr>
            <w:color w:val="1B6F80"/>
            <w:sz w:val="18"/>
          </w:rPr>
          <w:t>R036</w:t>
        </w:r>
      </w:hyperlink>
      <w:r>
        <w:rPr>
          <w:sz w:val="18"/>
        </w:rPr>
        <w:t xml:space="preserve">; </w:t>
      </w:r>
      <w:hyperlink r:id="rId44">
        <w:r>
          <w:rPr>
            <w:color w:val="1B6F80"/>
            <w:sz w:val="18"/>
          </w:rPr>
          <w:t>R037</w:t>
        </w:r>
      </w:hyperlink>
      <w:r>
        <w:rPr>
          <w:sz w:val="18"/>
        </w:rPr>
        <w:t xml:space="preserve">; </w:t>
      </w:r>
      <w:hyperlink r:id="rId45">
        <w:r>
          <w:rPr>
            <w:color w:val="1B6F80"/>
            <w:sz w:val="18"/>
          </w:rPr>
          <w:t>R038</w:t>
        </w:r>
      </w:hyperlink>
      <w:r>
        <w:rPr>
          <w:sz w:val="18"/>
        </w:rPr>
        <w:t xml:space="preserve">; </w:t>
      </w:r>
      <w:hyperlink r:id="rId46">
        <w:r>
          <w:rPr>
            <w:color w:val="1B6F80"/>
            <w:sz w:val="18"/>
          </w:rPr>
          <w:t>R053</w:t>
        </w:r>
      </w:hyperlink>
      <w:r>
        <w:rPr>
          <w:sz w:val="18"/>
        </w:rPr>
        <w:t xml:space="preserve">; </w:t>
      </w:r>
      <w:hyperlink r:id="rId47">
        <w:r>
          <w:rPr>
            <w:color w:val="1B6F80"/>
            <w:sz w:val="18"/>
          </w:rPr>
          <w:t>R054</w:t>
        </w:r>
      </w:hyperlink>
      <w:r>
        <w:rPr>
          <w:sz w:val="18"/>
        </w:rPr>
        <w:t xml:space="preserve">; </w:t>
      </w:r>
      <w:hyperlink r:id="rId40">
        <w:r>
          <w:rPr>
            <w:color w:val="1B6F80"/>
            <w:sz w:val="18"/>
          </w:rPr>
          <w:t>R055</w:t>
        </w:r>
      </w:hyperlink>
      <w:r>
        <w:rPr>
          <w:sz w:val="18"/>
        </w:rPr>
        <w:t>]</w:t>
      </w:r>
    </w:p>
    <w:p>
      <w:r>
        <w:t>Работа Kiener открывает дальнейший поиск анонимной еврейской парафразы Amānāt, её рукописей и ранних изданий частей VII–VIII. Эти первичные объекты не объявлены уже доступными: в registry включён навигационный источник, а сами свидетели и редкие печати — в gaps. Бахья, Галеви и Маймонид не исключены по дате; их крупные корпуса пока не включены без проверки конкретных мест использования, цитирования или полемики.</w:t>
      </w:r>
      <w:r>
        <w:rPr>
          <w:sz w:val="18"/>
        </w:rPr>
        <w:t xml:space="preserve">  [</w:t>
      </w:r>
      <w:hyperlink r:id="rId48">
        <w:r>
          <w:rPr>
            <w:color w:val="1B6F80"/>
            <w:sz w:val="18"/>
          </w:rPr>
          <w:t>R060</w:t>
        </w:r>
      </w:hyperlink>
      <w:r>
        <w:rPr>
          <w:sz w:val="18"/>
        </w:rPr>
        <w:t>]</w:t>
      </w:r>
    </w:p>
    <w:p>
      <w:pPr>
        <w:pStyle w:val="Heading2"/>
      </w:pPr>
      <w:r>
        <w:t>Релевантность и количественный итог</w:t>
      </w:r>
    </w:p>
    <w:p>
      <w:r>
        <w:t>В 61 записи содержатся 56 маршрутов к первичным текстам, сборникам, версиям и свидетелям; ещё три записи описывают инфраструктуру и две — необходимую вторичную навигацию. Это порядка 35–40 первичных произведений и корпусных групп, а не 61 отдельное произведение. Точный глобальный подсчёт не навязывается: Saadyana и Geonica пересекаются с самостоятельными текстами, а одна публикация иногда содержит несколько полемических ответов.</w:t>
      </w:r>
    </w:p>
    <w:p>
      <w:r>
        <w:t>Core образуют философские трактаты и основные саадиевские корпуса; same_corpus_or_tradition — другие саадиевские сочинения, гаонские правовые и прямые караимские контр-тексты. Antecedent выделяет ранние основания; commentary_or_reception и transmission_or_preservation — комментарии, защиту, переводы и редакционную передачу. Supporting — первичный книжный список T-S K6.45; infrastructure — PGP, Sefaria и ALHaTorah. Отдельный тег continuation не присваивался искусственно: поздние случаи точнее описываются как комментарии и передача. Пограничный Псевдо-Саадия оставлен в gaps.</w:t>
      </w:r>
      <w:r>
        <w:rPr>
          <w:sz w:val="18"/>
        </w:rPr>
        <w:t xml:space="preserve">  [</w:t>
      </w:r>
      <w:hyperlink r:id="rId49">
        <w:r>
          <w:rPr>
            <w:color w:val="1B6F80"/>
            <w:sz w:val="18"/>
          </w:rPr>
          <w:t>R051</w:t>
        </w:r>
      </w:hyperlink>
      <w:r>
        <w:rPr>
          <w:sz w:val="18"/>
        </w:rPr>
        <w:t xml:space="preserve">; </w:t>
      </w:r>
      <w:hyperlink r:id="rId50">
        <w:r>
          <w:rPr>
            <w:color w:val="1B6F80"/>
            <w:sz w:val="18"/>
          </w:rPr>
          <w:t>R052</w:t>
        </w:r>
      </w:hyperlink>
      <w:r>
        <w:rPr>
          <w:sz w:val="18"/>
        </w:rPr>
        <w:t xml:space="preserve">; </w:t>
      </w:r>
      <w:hyperlink r:id="rId51">
        <w:r>
          <w:rPr>
            <w:color w:val="1B6F80"/>
            <w:sz w:val="18"/>
          </w:rPr>
          <w:t>R058</w:t>
        </w:r>
      </w:hyperlink>
      <w:r>
        <w:rPr>
          <w:sz w:val="18"/>
        </w:rPr>
        <w:t xml:space="preserve">; </w:t>
      </w:r>
      <w:hyperlink r:id="rId52">
        <w:r>
          <w:rPr>
            <w:color w:val="1B6F80"/>
            <w:sz w:val="18"/>
          </w:rPr>
          <w:t>R059</w:t>
        </w:r>
      </w:hyperlink>
      <w:r>
        <w:rPr>
          <w:sz w:val="18"/>
        </w:rPr>
        <w:t>]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Amānāt — Книга верований и мнений</w:t>
      </w:r>
    </w:p>
    <w:p>
      <w:r>
        <w:t>Лучший проверенный свободный вход в арабский текст — институциональная копия издания Landauer 1880 на Internet Archive: предусмотрены чтение и несколько форматов загрузки. Это рабочий текст, не замена современной сверке вариантов. Для быстрого чтения на иврите пригоден Daat с переводом Qafih; разрешение на зеркало там не установлено. Факсимиле еврейского Ибн Тиббона доступно в Wikisource, но фактический файл содержит перепечатку Makor 1972, воспроизводящую печать 1562.</w:t>
      </w:r>
      <w:r>
        <w:rPr>
          <w:sz w:val="18"/>
        </w:rPr>
        <w:t xml:space="preserve">  [</w:t>
      </w:r>
      <w:hyperlink r:id="rId11">
        <w:r>
          <w:rPr>
            <w:color w:val="1B6F80"/>
            <w:sz w:val="18"/>
          </w:rPr>
          <w:t>R001</w:t>
        </w:r>
      </w:hyperlink>
      <w:r>
        <w:rPr>
          <w:sz w:val="18"/>
        </w:rPr>
        <w:t xml:space="preserve">; </w:t>
      </w:r>
      <w:hyperlink r:id="rId15">
        <w:r>
          <w:rPr>
            <w:color w:val="1B6F80"/>
            <w:sz w:val="18"/>
          </w:rPr>
          <w:t>R010</w:t>
        </w:r>
      </w:hyperlink>
      <w:r>
        <w:rPr>
          <w:sz w:val="18"/>
        </w:rPr>
        <w:t xml:space="preserve">; </w:t>
      </w:r>
      <w:hyperlink r:id="rId16">
        <w:r>
          <w:rPr>
            <w:color w:val="1B6F80"/>
            <w:sz w:val="18"/>
          </w:rPr>
          <w:t>R035</w:t>
        </w:r>
      </w:hyperlink>
      <w:r>
        <w:rPr>
          <w:sz w:val="18"/>
        </w:rPr>
        <w:t>]</w:t>
      </w:r>
    </w:p>
    <w:p>
      <w:r>
        <w:t>Старый немецкий Fürst 1845 — наиболее полезный найденный потенциально публичнодоменный переводческий путь; каталог HathiTrust предлагает Full view, хотя просмотрщик не был проверен постранично. Английский Rosenblatt представлен официальной Yale-карточкой; русский перевод Корзаковой 2016 — карточкой РГБ. Оба сохраняются как законные входы, не как свободные тексты. Открытый исходный слой для собственного перевода арабского оригинала ещё требует правовой проверки; для исторической еврейской версии R035 основа указана отдельно и ограниченно.</w:t>
      </w:r>
      <w:r>
        <w:rPr>
          <w:sz w:val="18"/>
        </w:rPr>
        <w:t xml:space="preserve">  [</w:t>
      </w:r>
      <w:hyperlink r:id="rId12">
        <w:r>
          <w:rPr>
            <w:color w:val="1B6F80"/>
            <w:sz w:val="18"/>
          </w:rPr>
          <w:t>R002</w:t>
        </w:r>
      </w:hyperlink>
      <w:r>
        <w:rPr>
          <w:sz w:val="18"/>
        </w:rPr>
        <w:t xml:space="preserve">; </w:t>
      </w:r>
      <w:hyperlink r:id="rId14">
        <w:r>
          <w:rPr>
            <w:color w:val="1B6F80"/>
            <w:sz w:val="18"/>
          </w:rPr>
          <w:t>R004</w:t>
        </w:r>
      </w:hyperlink>
      <w:r>
        <w:rPr>
          <w:sz w:val="18"/>
        </w:rPr>
        <w:t xml:space="preserve">; </w:t>
      </w:r>
      <w:hyperlink r:id="rId16">
        <w:r>
          <w:rPr>
            <w:color w:val="1B6F80"/>
            <w:sz w:val="18"/>
          </w:rPr>
          <w:t>R035</w:t>
        </w:r>
      </w:hyperlink>
      <w:r>
        <w:rPr>
          <w:sz w:val="18"/>
        </w:rPr>
        <w:t xml:space="preserve">; </w:t>
      </w:r>
      <w:hyperlink r:id="rId17">
        <w:r>
          <w:rPr>
            <w:color w:val="1B6F80"/>
            <w:sz w:val="18"/>
          </w:rPr>
          <w:t>R048</w:t>
        </w:r>
      </w:hyperlink>
      <w:r>
        <w:rPr>
          <w:sz w:val="18"/>
        </w:rPr>
        <w:t>]</w:t>
      </w:r>
    </w:p>
    <w:p>
      <w:pPr>
        <w:pStyle w:val="Heading2"/>
      </w:pPr>
      <w:r>
        <w:t>Ал-Мукаммис</w:t>
      </w:r>
    </w:p>
    <w:p>
      <w:r>
        <w:t>Предпочтительный современный путь — параллельное издание Sarah Stroumsa у BYU Press через University of Chicago Press: оригинальный арабский слой, транслитерация, английский перевод и аппарат. Каталог издателя и каталоги библиотеки расходятся по обозначению 2015/2016; это сохранено в notes, а не сведено к ложной единственной дате. Издание Brill 1989 — отдельный библиотечный ориентир. Законный полный бесплатный текст современного издания и чистый открытый набор для перевода в этом поиске не подтверждены.</w:t>
      </w:r>
      <w:r>
        <w:rPr>
          <w:sz w:val="18"/>
        </w:rPr>
        <w:t xml:space="preserve">  [</w:t>
      </w:r>
      <w:hyperlink r:id="rId13">
        <w:r>
          <w:rPr>
            <w:color w:val="1B6F80"/>
            <w:sz w:val="18"/>
          </w:rPr>
          <w:t>R003</w:t>
        </w:r>
      </w:hyperlink>
      <w:r>
        <w:rPr>
          <w:sz w:val="18"/>
        </w:rPr>
        <w:t xml:space="preserve">; </w:t>
      </w:r>
      <w:hyperlink r:id="rId18">
        <w:r>
          <w:rPr>
            <w:color w:val="1B6F80"/>
            <w:sz w:val="18"/>
          </w:rPr>
          <w:t>R049</w:t>
        </w:r>
      </w:hyperlink>
      <w:r>
        <w:rPr>
          <w:sz w:val="18"/>
        </w:rPr>
        <w:t>]</w:t>
      </w:r>
    </w:p>
    <w:p>
      <w:pPr>
        <w:pStyle w:val="Heading2"/>
      </w:pPr>
      <w:r>
        <w:t>Tafsīr и библейские комментарии</w:t>
      </w:r>
    </w:p>
    <w:p>
      <w:r>
        <w:t>Для скачивания нескольких книжных частей удобен Freimann-проект Франкфуртского университета: тома Пятикнижия, Исайи, Притч, Иова и правовых сочинений имеют item-level страницы и PDF-ссылки. Важная оговорка — оцифрованы репринты Olms 1979 старых изданий, а свободные метаданные каталога не освобождают автоматически весь PDF. Для просмотра и собственной работы с конкретным историческим оригиналом лучший найденный открыто лицензированный свидетель — Bodleian MS. Huntington 463; его IIIF-манифест указывает CC BY-NC 4.0.</w:t>
      </w:r>
      <w:r>
        <w:rPr>
          <w:sz w:val="18"/>
        </w:rPr>
        <w:t xml:space="preserve">  [</w:t>
      </w:r>
      <w:hyperlink r:id="rId19">
        <w:r>
          <w:rPr>
            <w:color w:val="1B6F80"/>
            <w:sz w:val="18"/>
          </w:rPr>
          <w:t>R005</w:t>
        </w:r>
      </w:hyperlink>
      <w:r>
        <w:rPr>
          <w:sz w:val="18"/>
        </w:rPr>
        <w:t xml:space="preserve">; </w:t>
      </w:r>
      <w:hyperlink r:id="rId20">
        <w:r>
          <w:rPr>
            <w:color w:val="1B6F80"/>
            <w:sz w:val="18"/>
          </w:rPr>
          <w:t>R006</w:t>
        </w:r>
      </w:hyperlink>
      <w:r>
        <w:rPr>
          <w:sz w:val="18"/>
        </w:rPr>
        <w:t xml:space="preserve">; </w:t>
      </w:r>
      <w:hyperlink r:id="rId21">
        <w:r>
          <w:rPr>
            <w:color w:val="1B6F80"/>
            <w:sz w:val="18"/>
          </w:rPr>
          <w:t>R007</w:t>
        </w:r>
      </w:hyperlink>
      <w:r>
        <w:rPr>
          <w:sz w:val="18"/>
        </w:rPr>
        <w:t xml:space="preserve">; </w:t>
      </w:r>
      <w:hyperlink r:id="rId53">
        <w:r>
          <w:rPr>
            <w:color w:val="1B6F80"/>
            <w:sz w:val="18"/>
          </w:rPr>
          <w:t>R008</w:t>
        </w:r>
      </w:hyperlink>
      <w:r>
        <w:rPr>
          <w:sz w:val="18"/>
        </w:rPr>
        <w:t xml:space="preserve">; </w:t>
      </w:r>
      <w:hyperlink r:id="rId22">
        <w:r>
          <w:rPr>
            <w:color w:val="1B6F80"/>
            <w:sz w:val="18"/>
          </w:rPr>
          <w:t>R009</w:t>
        </w:r>
      </w:hyperlink>
      <w:r>
        <w:rPr>
          <w:sz w:val="18"/>
        </w:rPr>
        <w:t xml:space="preserve">; </w:t>
      </w:r>
      <w:hyperlink r:id="rId54">
        <w:r>
          <w:rPr>
            <w:color w:val="1B6F80"/>
            <w:sz w:val="18"/>
          </w:rPr>
          <w:t>R030</w:t>
        </w:r>
      </w:hyperlink>
      <w:r>
        <w:rPr>
          <w:sz w:val="18"/>
        </w:rPr>
        <w:t>]</w:t>
      </w:r>
    </w:p>
    <w:p>
      <w:r>
        <w:t>Научные входы по отдельным книгам: Goodman для Иова, Wechsler для Эсфири, Alobaidi и позднее арабское издание для Даниила, Zucker для Бытия, Ratzaby для Исхода. Доступ варьируется от официальной покупки и preview до одной каталожной записи или отсутствия товара. Для Псалмов найденный старый полный просмотр относится только к разделу 73–89; нельзя называть это доступом ко всему саадиевскому Псалтирю.</w:t>
      </w:r>
      <w:r>
        <w:rPr>
          <w:sz w:val="18"/>
        </w:rPr>
        <w:t xml:space="preserve">  [</w:t>
      </w:r>
      <w:hyperlink r:id="rId23">
        <w:r>
          <w:rPr>
            <w:color w:val="1B6F80"/>
            <w:sz w:val="18"/>
          </w:rPr>
          <w:t>R015</w:t>
        </w:r>
      </w:hyperlink>
      <w:r>
        <w:rPr>
          <w:sz w:val="18"/>
        </w:rPr>
        <w:t xml:space="preserve">; </w:t>
      </w:r>
      <w:hyperlink r:id="rId55">
        <w:r>
          <w:rPr>
            <w:color w:val="1B6F80"/>
            <w:sz w:val="18"/>
          </w:rPr>
          <w:t>R017</w:t>
        </w:r>
      </w:hyperlink>
      <w:r>
        <w:rPr>
          <w:sz w:val="18"/>
        </w:rPr>
        <w:t xml:space="preserve">; </w:t>
      </w:r>
      <w:hyperlink r:id="rId24">
        <w:r>
          <w:rPr>
            <w:color w:val="1B6F80"/>
            <w:sz w:val="18"/>
          </w:rPr>
          <w:t>R018</w:t>
        </w:r>
      </w:hyperlink>
      <w:r>
        <w:rPr>
          <w:sz w:val="18"/>
        </w:rPr>
        <w:t xml:space="preserve">; </w:t>
      </w:r>
      <w:hyperlink r:id="rId25">
        <w:r>
          <w:rPr>
            <w:color w:val="1B6F80"/>
            <w:sz w:val="18"/>
          </w:rPr>
          <w:t>R019</w:t>
        </w:r>
      </w:hyperlink>
      <w:r>
        <w:rPr>
          <w:sz w:val="18"/>
        </w:rPr>
        <w:t xml:space="preserve">; </w:t>
      </w:r>
      <w:hyperlink r:id="rId26">
        <w:r>
          <w:rPr>
            <w:color w:val="1B6F80"/>
            <w:sz w:val="18"/>
          </w:rPr>
          <w:t>R027</w:t>
        </w:r>
      </w:hyperlink>
      <w:r>
        <w:rPr>
          <w:sz w:val="18"/>
        </w:rPr>
        <w:t xml:space="preserve">; </w:t>
      </w:r>
      <w:hyperlink r:id="rId30">
        <w:r>
          <w:rPr>
            <w:color w:val="1B6F80"/>
            <w:sz w:val="18"/>
          </w:rPr>
          <w:t>R046</w:t>
        </w:r>
      </w:hyperlink>
      <w:r>
        <w:rPr>
          <w:sz w:val="18"/>
        </w:rPr>
        <w:t xml:space="preserve">; </w:t>
      </w:r>
      <w:hyperlink r:id="rId32">
        <w:r>
          <w:rPr>
            <w:color w:val="1B6F80"/>
            <w:sz w:val="18"/>
          </w:rPr>
          <w:t>R057</w:t>
        </w:r>
      </w:hyperlink>
      <w:r>
        <w:rPr>
          <w:sz w:val="18"/>
        </w:rPr>
        <w:t>]</w:t>
      </w:r>
    </w:p>
    <w:p>
      <w:r>
        <w:t>Фрагменты дают качественно иной доступ: T-S AS 72.79 содержит лишь часть Исхода; бамиянская рукопись — часть Исайи; публикация Seewald — листы Левита и полемическое приложение; Zewi–Ashur 2026 — вводный материал и Бытие 1:1–3:5 конкретного генизного свидетеля. Их ценность — ранний текст и варианты, а не количественное увеличение «полных книг». У статьи 2026 проверена издательская страница с лицензией, но не выполнен полный аудит PDF и всех иллюстраций.</w:t>
      </w:r>
      <w:r>
        <w:rPr>
          <w:sz w:val="18"/>
        </w:rPr>
        <w:t xml:space="preserve">  [</w:t>
      </w:r>
      <w:hyperlink r:id="rId56">
        <w:r>
          <w:rPr>
            <w:color w:val="1B6F80"/>
            <w:sz w:val="18"/>
          </w:rPr>
          <w:t>R013</w:t>
        </w:r>
      </w:hyperlink>
      <w:r>
        <w:rPr>
          <w:sz w:val="18"/>
        </w:rPr>
        <w:t xml:space="preserve">; </w:t>
      </w:r>
      <w:hyperlink r:id="rId27">
        <w:r>
          <w:rPr>
            <w:color w:val="1B6F80"/>
            <w:sz w:val="18"/>
          </w:rPr>
          <w:t>R028</w:t>
        </w:r>
      </w:hyperlink>
      <w:r>
        <w:rPr>
          <w:sz w:val="18"/>
        </w:rPr>
        <w:t xml:space="preserve">; </w:t>
      </w:r>
      <w:hyperlink r:id="rId28">
        <w:r>
          <w:rPr>
            <w:color w:val="1B6F80"/>
            <w:sz w:val="18"/>
          </w:rPr>
          <w:t>R029</w:t>
        </w:r>
      </w:hyperlink>
      <w:r>
        <w:rPr>
          <w:sz w:val="18"/>
        </w:rPr>
        <w:t xml:space="preserve">; </w:t>
      </w:r>
      <w:hyperlink r:id="rId29">
        <w:r>
          <w:rPr>
            <w:color w:val="1B6F80"/>
            <w:sz w:val="18"/>
          </w:rPr>
          <w:t>R032</w:t>
        </w:r>
      </w:hyperlink>
      <w:r>
        <w:rPr>
          <w:sz w:val="18"/>
        </w:rPr>
        <w:t>]</w:t>
      </w:r>
    </w:p>
    <w:p>
      <w:pPr>
        <w:pStyle w:val="Heading2"/>
      </w:pPr>
      <w:r>
        <w:t>Sefer Yetzirah и комментарии</w:t>
      </w:r>
    </w:p>
    <w:p>
      <w:r>
        <w:t>Для саадиевского комментария — старое издание Lambert 1891 с французским переводом через HathiTrust. Синоптический Hayman 2004/2020 — сильный современный способ установить состав исходного Sefer Yetzirah, но защищённый критический аппарат не пригоден для безусловного зеркала. Иехуда бен Барзиллай доступен в старом печатном переводно-комментарийном окружении Google Play; для Дунаша ибн Тамима и Донноло зафиксированы библиографические входы, а не обещанный полный цифровой текст.</w:t>
      </w:r>
      <w:r>
        <w:rPr>
          <w:sz w:val="18"/>
        </w:rPr>
        <w:t xml:space="preserve">  [</w:t>
      </w:r>
      <w:hyperlink r:id="rId57">
        <w:r>
          <w:rPr>
            <w:color w:val="1B6F80"/>
            <w:sz w:val="18"/>
          </w:rPr>
          <w:t>R011</w:t>
        </w:r>
      </w:hyperlink>
      <w:r>
        <w:rPr>
          <w:sz w:val="18"/>
        </w:rPr>
        <w:t xml:space="preserve">; </w:t>
      </w:r>
      <w:hyperlink r:id="rId42">
        <w:r>
          <w:rPr>
            <w:color w:val="1B6F80"/>
            <w:sz w:val="18"/>
          </w:rPr>
          <w:t>R034</w:t>
        </w:r>
      </w:hyperlink>
      <w:r>
        <w:rPr>
          <w:sz w:val="18"/>
        </w:rPr>
        <w:t xml:space="preserve">; </w:t>
      </w:r>
      <w:hyperlink r:id="rId45">
        <w:r>
          <w:rPr>
            <w:color w:val="1B6F80"/>
            <w:sz w:val="18"/>
          </w:rPr>
          <w:t>R038</w:t>
        </w:r>
      </w:hyperlink>
      <w:r>
        <w:rPr>
          <w:sz w:val="18"/>
        </w:rPr>
        <w:t xml:space="preserve">; </w:t>
      </w:r>
      <w:hyperlink r:id="rId46">
        <w:r>
          <w:rPr>
            <w:color w:val="1B6F80"/>
            <w:sz w:val="18"/>
          </w:rPr>
          <w:t>R053</w:t>
        </w:r>
      </w:hyperlink>
      <w:r>
        <w:rPr>
          <w:sz w:val="18"/>
        </w:rPr>
        <w:t xml:space="preserve">; </w:t>
      </w:r>
      <w:hyperlink r:id="rId47">
        <w:r>
          <w:rPr>
            <w:color w:val="1B6F80"/>
            <w:sz w:val="18"/>
          </w:rPr>
          <w:t>R054</w:t>
        </w:r>
      </w:hyperlink>
      <w:r>
        <w:rPr>
          <w:sz w:val="18"/>
        </w:rPr>
        <w:t>]</w:t>
      </w:r>
    </w:p>
    <w:p>
      <w:pPr>
        <w:pStyle w:val="Heading2"/>
      </w:pPr>
      <w:r>
        <w:t>Грамматика, литургия и заповеди</w:t>
      </w:r>
    </w:p>
    <w:p>
      <w:r>
        <w:t>Egron Allony и грамматический Dotan — опорные научные издания, но доступ к их полным файлам не найден или не подтверждён. Для Siddur практически полезен открытый небольшой текст на Open Siddur с переводом благословений Шма на исходе субботы; это не полный молитвенник. Поздний комментарий Перлы сохраняется как отдельный путь к саадиевскому перечню заповедей. В этих группах главная недостача — не идентификация корпуса, а полный законный цифровой оригинал с определёнными правами.</w:t>
      </w:r>
      <w:r>
        <w:rPr>
          <w:sz w:val="18"/>
        </w:rPr>
        <w:t xml:space="preserve">  [</w:t>
      </w:r>
      <w:hyperlink r:id="rId58">
        <w:r>
          <w:rPr>
            <w:color w:val="1B6F80"/>
            <w:sz w:val="18"/>
          </w:rPr>
          <w:t>R020</w:t>
        </w:r>
      </w:hyperlink>
      <w:r>
        <w:rPr>
          <w:sz w:val="18"/>
        </w:rPr>
        <w:t xml:space="preserve">; </w:t>
      </w:r>
      <w:hyperlink r:id="rId59">
        <w:r>
          <w:rPr>
            <w:color w:val="1B6F80"/>
            <w:sz w:val="18"/>
          </w:rPr>
          <w:t>R021</w:t>
        </w:r>
      </w:hyperlink>
      <w:r>
        <w:rPr>
          <w:sz w:val="18"/>
        </w:rPr>
        <w:t xml:space="preserve">; </w:t>
      </w:r>
      <w:hyperlink r:id="rId60">
        <w:r>
          <w:rPr>
            <w:color w:val="1B6F80"/>
            <w:sz w:val="18"/>
          </w:rPr>
          <w:t>R022</w:t>
        </w:r>
      </w:hyperlink>
      <w:r>
        <w:rPr>
          <w:sz w:val="18"/>
        </w:rPr>
        <w:t xml:space="preserve">; </w:t>
      </w:r>
      <w:hyperlink r:id="rId33">
        <w:r>
          <w:rPr>
            <w:color w:val="1B6F80"/>
            <w:sz w:val="18"/>
          </w:rPr>
          <w:t>R033</w:t>
        </w:r>
      </w:hyperlink>
      <w:r>
        <w:rPr>
          <w:sz w:val="18"/>
        </w:rPr>
        <w:t xml:space="preserve">; </w:t>
      </w:r>
      <w:hyperlink r:id="rId40">
        <w:r>
          <w:rPr>
            <w:color w:val="1B6F80"/>
            <w:sz w:val="18"/>
          </w:rPr>
          <w:t>R055</w:t>
        </w:r>
      </w:hyperlink>
      <w:r>
        <w:rPr>
          <w:sz w:val="18"/>
        </w:rPr>
        <w:t>]</w:t>
      </w:r>
    </w:p>
    <w:p>
      <w:pPr>
        <w:pStyle w:val="Heading2"/>
      </w:pPr>
      <w:r>
        <w:t>Календарь, полемики и караимские контр-тексты</w:t>
      </w:r>
    </w:p>
    <w:p>
      <w:r>
        <w:t>Календарный корпус следует читать по критической реконструкции Stern 2019, сохраняющей письма, вычисления и полемические документы вместе; общая старая история спора её не заменяет. Для полемики против Хиви есть институциональный скан Davidson 1915. Sefer ha-Galui с двумя ответами Мевассера доступен через издательскую карточку Yad Izhak Ben-Zvi; открытая короткая публикация Open Siddur передаёт лишь один тематический фрагмент.</w:t>
      </w:r>
      <w:r>
        <w:rPr>
          <w:sz w:val="18"/>
        </w:rPr>
        <w:t xml:space="preserve">  [</w:t>
      </w:r>
      <w:hyperlink r:id="rId61">
        <w:r>
          <w:rPr>
            <w:color w:val="1B6F80"/>
            <w:sz w:val="18"/>
          </w:rPr>
          <w:t>R012</w:t>
        </w:r>
      </w:hyperlink>
      <w:r>
        <w:rPr>
          <w:sz w:val="18"/>
        </w:rPr>
        <w:t xml:space="preserve">; </w:t>
      </w:r>
      <w:hyperlink r:id="rId62">
        <w:r>
          <w:rPr>
            <w:color w:val="1B6F80"/>
            <w:sz w:val="18"/>
          </w:rPr>
          <w:t>R016</w:t>
        </w:r>
      </w:hyperlink>
      <w:r>
        <w:rPr>
          <w:sz w:val="18"/>
        </w:rPr>
        <w:t xml:space="preserve">; </w:t>
      </w:r>
      <w:hyperlink r:id="rId34">
        <w:r>
          <w:rPr>
            <w:color w:val="1B6F80"/>
            <w:sz w:val="18"/>
          </w:rPr>
          <w:t>R040</w:t>
        </w:r>
      </w:hyperlink>
      <w:r>
        <w:rPr>
          <w:sz w:val="18"/>
        </w:rPr>
        <w:t xml:space="preserve">; </w:t>
      </w:r>
      <w:hyperlink r:id="rId63">
        <w:r>
          <w:rPr>
            <w:color w:val="1B6F80"/>
            <w:sz w:val="18"/>
          </w:rPr>
          <w:t>R047</w:t>
        </w:r>
      </w:hyperlink>
      <w:r>
        <w:rPr>
          <w:sz w:val="18"/>
        </w:rPr>
        <w:t>]</w:t>
      </w:r>
    </w:p>
    <w:p>
      <w:r>
        <w:t>Статья Vidro 2024 предоставляет первичные параллельные отрывки и важное уточнение идентичности опровержения Ибн Сакавайха: два наименования не следует автоматически превращать в два разных произведения. Из караимских оппонентов сохранены Kitāb al-Anwār ал-Киркисани, Milḥamot Adonai Салмона и избранные части его комментария к Плачу у Andruss. Последний ресурс — не полный перевод всего комментария.</w:t>
      </w:r>
      <w:r>
        <w:rPr>
          <w:sz w:val="18"/>
        </w:rPr>
        <w:t xml:space="preserve">  [</w:t>
      </w:r>
      <w:hyperlink r:id="rId64">
        <w:r>
          <w:rPr>
            <w:color w:val="1B6F80"/>
            <w:sz w:val="18"/>
          </w:rPr>
          <w:t>R026</w:t>
        </w:r>
      </w:hyperlink>
      <w:r>
        <w:rPr>
          <w:sz w:val="18"/>
        </w:rPr>
        <w:t xml:space="preserve">; </w:t>
      </w:r>
      <w:hyperlink r:id="rId65">
        <w:r>
          <w:rPr>
            <w:color w:val="1B6F80"/>
            <w:sz w:val="18"/>
          </w:rPr>
          <w:t>R031</w:t>
        </w:r>
      </w:hyperlink>
      <w:r>
        <w:rPr>
          <w:sz w:val="18"/>
        </w:rPr>
        <w:t xml:space="preserve">; </w:t>
      </w:r>
      <w:hyperlink r:id="rId66">
        <w:r>
          <w:rPr>
            <w:color w:val="1B6F80"/>
            <w:sz w:val="18"/>
          </w:rPr>
          <w:t>R039</w:t>
        </w:r>
      </w:hyperlink>
      <w:r>
        <w:rPr>
          <w:sz w:val="18"/>
        </w:rPr>
        <w:t xml:space="preserve">; </w:t>
      </w:r>
      <w:hyperlink r:id="rId39">
        <w:r>
          <w:rPr>
            <w:color w:val="1B6F80"/>
            <w:sz w:val="18"/>
          </w:rPr>
          <w:t>R045</w:t>
        </w:r>
      </w:hyperlink>
      <w:r>
        <w:rPr>
          <w:sz w:val="18"/>
        </w:rPr>
        <w:t>]</w:t>
      </w:r>
    </w:p>
    <w:p>
      <w:pPr>
        <w:pStyle w:val="Heading2"/>
      </w:pPr>
      <w:r>
        <w:t>Гаонские responsa и машинный вход</w:t>
      </w:r>
    </w:p>
    <w:p>
      <w:r>
        <w:t>Geonica II 1909 и Saadyana 1903 — полезные старые сборники для скачивания и поиска, но не полные корпуса всех responsa. Послание Шериры доступно также в старом французском переводе. Для непосредственного свидетельства юридической практики особенно ценно письмо Хайи 1037: PGP показывает соединённые фрагменты и транскрипции. Книжный список T-S K6.45 помогает обнаруживать реально сосуществовавшие гаонские сочинения.</w:t>
      </w:r>
      <w:r>
        <w:rPr>
          <w:sz w:val="18"/>
        </w:rPr>
        <w:t xml:space="preserve">  [</w:t>
      </w:r>
      <w:hyperlink r:id="rId67">
        <w:r>
          <w:rPr>
            <w:color w:val="1B6F80"/>
            <w:sz w:val="18"/>
          </w:rPr>
          <w:t>R014</w:t>
        </w:r>
      </w:hyperlink>
      <w:r>
        <w:rPr>
          <w:sz w:val="18"/>
        </w:rPr>
        <w:t xml:space="preserve">; </w:t>
      </w:r>
      <w:hyperlink r:id="rId68">
        <w:r>
          <w:rPr>
            <w:color w:val="1B6F80"/>
            <w:sz w:val="18"/>
          </w:rPr>
          <w:t>R023</w:t>
        </w:r>
      </w:hyperlink>
      <w:r>
        <w:rPr>
          <w:sz w:val="18"/>
        </w:rPr>
        <w:t xml:space="preserve">; </w:t>
      </w:r>
      <w:hyperlink r:id="rId69">
        <w:r>
          <w:rPr>
            <w:color w:val="1B6F80"/>
            <w:sz w:val="18"/>
          </w:rPr>
          <w:t>R024</w:t>
        </w:r>
      </w:hyperlink>
      <w:r>
        <w:rPr>
          <w:sz w:val="18"/>
        </w:rPr>
        <w:t xml:space="preserve">; </w:t>
      </w:r>
      <w:hyperlink r:id="rId70">
        <w:r>
          <w:rPr>
            <w:color w:val="1B6F80"/>
            <w:sz w:val="18"/>
          </w:rPr>
          <w:t>R050</w:t>
        </w:r>
      </w:hyperlink>
      <w:r>
        <w:rPr>
          <w:sz w:val="18"/>
        </w:rPr>
        <w:t xml:space="preserve">; </w:t>
      </w:r>
      <w:hyperlink r:id="rId49">
        <w:r>
          <w:rPr>
            <w:color w:val="1B6F80"/>
            <w:sz w:val="18"/>
          </w:rPr>
          <w:t>R051</w:t>
        </w:r>
      </w:hyperlink>
      <w:r>
        <w:rPr>
          <w:sz w:val="18"/>
        </w:rPr>
        <w:t>]</w:t>
      </w:r>
    </w:p>
    <w:p>
      <w:r>
        <w:t>Лучший воспроизводимый машинный вход — PGP dataset v1.1 с устойчивым DOI, метаданными и ссылками на свидетели. Это инфраструктура поиска релевантной выборки, не готовый полный текст T2-17. Sefaria полезна только после выбора и проверки конкретной версии через официальный экспорт/API. ALHaTorah сохранена для ручного сопоставительного чтения; её условия не разрешают несанкционированный автоматический сбор.</w:t>
      </w:r>
      <w:r>
        <w:rPr>
          <w:sz w:val="18"/>
        </w:rPr>
        <w:t xml:space="preserve">  [</w:t>
      </w:r>
      <w:hyperlink r:id="rId50">
        <w:r>
          <w:rPr>
            <w:color w:val="1B6F80"/>
            <w:sz w:val="18"/>
          </w:rPr>
          <w:t>R052</w:t>
        </w:r>
      </w:hyperlink>
      <w:r>
        <w:rPr>
          <w:sz w:val="18"/>
        </w:rPr>
        <w:t xml:space="preserve">; </w:t>
      </w:r>
      <w:hyperlink r:id="rId51">
        <w:r>
          <w:rPr>
            <w:color w:val="1B6F80"/>
            <w:sz w:val="18"/>
          </w:rPr>
          <w:t>R058</w:t>
        </w:r>
      </w:hyperlink>
      <w:r>
        <w:rPr>
          <w:sz w:val="18"/>
        </w:rPr>
        <w:t xml:space="preserve">; </w:t>
      </w:r>
      <w:hyperlink r:id="rId52">
        <w:r>
          <w:rPr>
            <w:color w:val="1B6F80"/>
            <w:sz w:val="18"/>
          </w:rPr>
          <w:t>R059</w:t>
        </w:r>
      </w:hyperlink>
      <w:r>
        <w:rPr>
          <w:sz w:val="18"/>
        </w:rPr>
        <w:t>]</w:t>
      </w:r>
    </w:p>
    <w:p>
      <w:pPr>
        <w:pStyle w:val="Heading1"/>
      </w:pPr>
      <w:r>
        <w:t>4. Карта прав и практического использования</w:t>
      </w:r>
    </w:p>
    <w:p>
      <w:r>
        <w:t>Реестр представляет исследовательскую оценку, а не универсальное юридическое разрешение. Положительные теги действуют только совместно с rights_scope, coverage и verification_status. RIGHTS_REVIEW_REQUIRED не отменяет подтверждённое право читать, но блокирует автоматическое расширение разрешения на другие компоненты или действия.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Некоммерческое зеркало</w:t>
            </w:r>
          </w:p>
        </w:tc>
        <w:tc>
          <w:tcPr>
            <w:tcW w:type="dxa" w:w="7313"/>
            <w:vAlign w:val="top"/>
            <w:shd w:fill="F5F8F9"/>
          </w:tcPr>
          <w:p>
            <w:pPr>
              <w:spacing w:after="100" w:before="80"/>
            </w:pPr>
            <w:r>
              <w:rPr>
                <w:sz w:val="20"/>
              </w:rPr>
              <w:t>R030: фотографии MS. Huntington 463 под CC BY-NC 4.0 с атрибуцией. R052: собственные метаданные PGP под CC BY-NC 4.0. Не весь Tafsīr и не внешние изображения PGP.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Открытый текст с ShareAlike</w:t>
            </w:r>
          </w:p>
        </w:tc>
        <w:tc>
          <w:tcPr>
            <w:tcW w:type="dxa" w:w="7313"/>
            <w:vAlign w:val="top"/>
            <w:shd w:fill="FFFFFF"/>
          </w:tcPr>
          <w:p>
            <w:pPr>
              <w:spacing w:after="100" w:before="80"/>
            </w:pPr>
            <w:r>
              <w:rPr>
                <w:sz w:val="20"/>
              </w:rPr>
              <w:t>R021 и R047: лицензированные текстовые вклады Open Siddur под CC BY-SA 4.0. Сохранять атрибуцию, ссылку на лицензию и условия SA для распространяемых адаптаций; исходные издания и иллюстрации проверять отдельно.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Только неизменённое распространение</w:t>
            </w:r>
          </w:p>
        </w:tc>
        <w:tc>
          <w:tcPr>
            <w:tcW w:type="dxa" w:w="7313"/>
            <w:vAlign w:val="top"/>
            <w:shd w:fill="F5F8F9"/>
          </w:tcPr>
          <w:p>
            <w:pPr>
              <w:spacing w:after="100" w:before="80"/>
            </w:pPr>
            <w:r>
              <w:rPr>
                <w:sz w:val="20"/>
              </w:rPr>
              <w:t>R031 и R032: CC BY-NC-ND 4.0 для указанного авторского слоя. Перед публичной копией проверить исключения третьих лиц; новая редакция/перевод статьи не разрешены этой лицензией.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Чтение/скачивание без доказанного зеркала</w:t>
            </w:r>
          </w:p>
        </w:tc>
        <w:tc>
          <w:tcPr>
            <w:tcW w:type="dxa" w:w="7313"/>
            <w:vAlign w:val="top"/>
            <w:shd w:fill="FFFFFF"/>
          </w:tcPr>
          <w:p>
            <w:pPr>
              <w:spacing w:after="100" w:before="80"/>
            </w:pPr>
            <w:r>
              <w:rPr>
                <w:sz w:val="20"/>
              </w:rPr>
              <w:t>Старые институциональные сканы, Frankfurt, Daat и ряд генизных изображений. Download и Full view — свойства доступа, не лицензии.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E8F0F2"/>
          </w:tcPr>
          <w:p>
            <w:pPr>
              <w:spacing w:after="100" w:before="80"/>
            </w:pPr>
            <w:r>
              <w:rPr>
                <w:b/>
                <w:sz w:val="20"/>
              </w:rPr>
              <w:t>Ссылка, каталог, preview, покупка</w:t>
            </w:r>
          </w:p>
        </w:tc>
        <w:tc>
          <w:tcPr>
            <w:tcW w:type="dxa" w:w="7313"/>
            <w:vAlign w:val="top"/>
            <w:shd w:fill="F5F8F9"/>
          </w:tcPr>
          <w:p>
            <w:pPr>
              <w:spacing w:after="100" w:before="80"/>
            </w:pPr>
            <w:r>
              <w:rPr>
                <w:sz w:val="20"/>
              </w:rPr>
              <w:t>Защищённые современные критические издания и переводы, а также сайты с запретом массового сбора. Конкретная библиотечная выдача и CDL не подтверждены.</w:t>
            </w:r>
          </w:p>
        </w:tc>
      </w:tr>
    </w:tbl>
    <w:p>
      <w:pPr>
        <w:spacing w:after="0"/>
      </w:pPr>
    </w:p>
    <w:p>
      <w:r>
        <w:t>Для OCR, полнотекстового поиска и embeddings разрешения не слиты в один флаг. На открыто лицензированных фотографиях R030 возможно изготовление собственной транскрипции и её последующая индексация в некоммерческом контуре с атрибуцией. На собственных метаданных PGP индекс и embeddings допустимы в том же NC-контуре; OCR к ним не относится. У Open Siddur позитивные теги индексирования относятся к лицензированным текстовым вкладам, но не к чужому научному изданию, из которого могли быть взяты исходные чтения.</w:t>
      </w:r>
      <w:r>
        <w:rPr>
          <w:sz w:val="18"/>
        </w:rPr>
        <w:t xml:space="preserve">  [</w:t>
      </w:r>
      <w:hyperlink r:id="rId59">
        <w:r>
          <w:rPr>
            <w:color w:val="1B6F80"/>
            <w:sz w:val="18"/>
          </w:rPr>
          <w:t>R021</w:t>
        </w:r>
      </w:hyperlink>
      <w:r>
        <w:rPr>
          <w:sz w:val="18"/>
        </w:rPr>
        <w:t xml:space="preserve">; </w:t>
      </w:r>
      <w:hyperlink r:id="rId54">
        <w:r>
          <w:rPr>
            <w:color w:val="1B6F80"/>
            <w:sz w:val="18"/>
          </w:rPr>
          <w:t>R030</w:t>
        </w:r>
      </w:hyperlink>
      <w:r>
        <w:rPr>
          <w:sz w:val="18"/>
        </w:rPr>
        <w:t xml:space="preserve">; </w:t>
      </w:r>
      <w:hyperlink r:id="rId63">
        <w:r>
          <w:rPr>
            <w:color w:val="1B6F80"/>
            <w:sz w:val="18"/>
          </w:rPr>
          <w:t>R047</w:t>
        </w:r>
      </w:hyperlink>
      <w:r>
        <w:rPr>
          <w:sz w:val="18"/>
        </w:rPr>
        <w:t xml:space="preserve">; </w:t>
      </w:r>
      <w:hyperlink r:id="rId50">
        <w:r>
          <w:rPr>
            <w:color w:val="1B6F80"/>
            <w:sz w:val="18"/>
          </w:rPr>
          <w:t>R052</w:t>
        </w:r>
      </w:hyperlink>
      <w:r>
        <w:rPr>
          <w:sz w:val="18"/>
        </w:rPr>
        <w:t>]</w:t>
      </w:r>
    </w:p>
    <w:p>
      <w:r>
        <w:t>Для собственного перевода ToS наиболее ясная основа — доступные листы MS. Huntington 463: исторический иудео-арабский свидетель плюс явная лицензия на цифровые изображения. Второй ограниченный случай — средневековый еврейский текст Ибн Тиббона, видимый в факсимиле R035; новый перевод будет переводом этой еврейской версии, не арабского оригинала. Это не разрешение публиковать файл перепечатки 1972 или новые элементы его оформления.</w:t>
      </w:r>
      <w:r>
        <w:rPr>
          <w:sz w:val="18"/>
        </w:rPr>
        <w:t xml:space="preserve">  [</w:t>
      </w:r>
      <w:hyperlink r:id="rId54">
        <w:r>
          <w:rPr>
            <w:color w:val="1B6F80"/>
            <w:sz w:val="18"/>
          </w:rPr>
          <w:t>R030</w:t>
        </w:r>
      </w:hyperlink>
      <w:r>
        <w:rPr>
          <w:sz w:val="18"/>
        </w:rPr>
        <w:t xml:space="preserve">; </w:t>
      </w:r>
      <w:hyperlink r:id="rId16">
        <w:r>
          <w:rPr>
            <w:color w:val="1B6F80"/>
            <w:sz w:val="18"/>
          </w:rPr>
          <w:t>R035</w:t>
        </w:r>
      </w:hyperlink>
      <w:r>
        <w:rPr>
          <w:sz w:val="18"/>
        </w:rPr>
        <w:t>]</w:t>
      </w:r>
    </w:p>
    <w:p>
      <w:r>
        <w:t>Современные реконструкции Stroumsa, Qafih, Hayman, Dotan и другие критические тексты не получили безусловного OWN_TRANSLATION_POSSIBLE лишь потому, что их авторы издают древние сочинения. Законно приобретённая книга остаётся пригодной для чтения и исследования; право публиковать переработку защищённого слоя или открытый полнотекстовый индекс требует отдельного основания.</w:t>
      </w:r>
      <w:r>
        <w:rPr>
          <w:sz w:val="18"/>
        </w:rPr>
        <w:t xml:space="preserve">  [</w:t>
      </w:r>
      <w:hyperlink r:id="rId13">
        <w:r>
          <w:rPr>
            <w:color w:val="1B6F80"/>
            <w:sz w:val="18"/>
          </w:rPr>
          <w:t>R003</w:t>
        </w:r>
      </w:hyperlink>
      <w:r>
        <w:rPr>
          <w:sz w:val="18"/>
        </w:rPr>
        <w:t xml:space="preserve">; </w:t>
      </w:r>
      <w:hyperlink r:id="rId15">
        <w:r>
          <w:rPr>
            <w:color w:val="1B6F80"/>
            <w:sz w:val="18"/>
          </w:rPr>
          <w:t>R010</w:t>
        </w:r>
      </w:hyperlink>
      <w:r>
        <w:rPr>
          <w:sz w:val="18"/>
        </w:rPr>
        <w:t xml:space="preserve">; </w:t>
      </w:r>
      <w:hyperlink r:id="rId58">
        <w:r>
          <w:rPr>
            <w:color w:val="1B6F80"/>
            <w:sz w:val="18"/>
          </w:rPr>
          <w:t>R020</w:t>
        </w:r>
      </w:hyperlink>
      <w:r>
        <w:rPr>
          <w:sz w:val="18"/>
        </w:rPr>
        <w:t xml:space="preserve">; </w:t>
      </w:r>
      <w:hyperlink r:id="rId33">
        <w:r>
          <w:rPr>
            <w:color w:val="1B6F80"/>
            <w:sz w:val="18"/>
          </w:rPr>
          <w:t>R033</w:t>
        </w:r>
      </w:hyperlink>
      <w:r>
        <w:rPr>
          <w:sz w:val="18"/>
        </w:rPr>
        <w:t xml:space="preserve">; </w:t>
      </w:r>
      <w:hyperlink r:id="rId42">
        <w:r>
          <w:rPr>
            <w:color w:val="1B6F80"/>
            <w:sz w:val="18"/>
          </w:rPr>
          <w:t>R034</w:t>
        </w:r>
      </w:hyperlink>
      <w:r>
        <w:rPr>
          <w:sz w:val="18"/>
        </w:rPr>
        <w:t xml:space="preserve">; </w:t>
      </w:r>
      <w:hyperlink r:id="rId18">
        <w:r>
          <w:rPr>
            <w:color w:val="1B6F80"/>
            <w:sz w:val="18"/>
          </w:rPr>
          <w:t>R049</w:t>
        </w:r>
      </w:hyperlink>
      <w:r>
        <w:rPr>
          <w:sz w:val="18"/>
        </w:rPr>
        <w:t>]</w:t>
      </w:r>
    </w:p>
    <w:p>
      <w:pPr>
        <w:pStyle w:val="Heading1"/>
      </w:pPr>
      <w:r>
        <w:t>5. Характерные правовые и текстовые тонкости</w:t>
      </w:r>
    </w:p>
    <w:p>
      <w:pPr>
        <w:pStyle w:val="Heading2"/>
      </w:pPr>
      <w:r>
        <w:t>Перепечатка не исчезает за датой оригинала</w:t>
      </w:r>
    </w:p>
    <w:p>
      <w:r>
        <w:t>У R035 просмотр титульных листов изменил практическое описание файла: это не просто самостоятельный скан печати 1562, а её факсимильное переиздание 1972. У франкфуртских томов аналогично отделены первопечатный труд XIX в., репринт 1979 и современная оцифровка. Ни дата Саадии, ни статус старого текста не являются blanket-license для этих цифровых объектов.</w:t>
      </w:r>
      <w:r>
        <w:rPr>
          <w:sz w:val="18"/>
        </w:rPr>
        <w:t xml:space="preserve">  [</w:t>
      </w:r>
      <w:hyperlink r:id="rId19">
        <w:r>
          <w:rPr>
            <w:color w:val="1B6F80"/>
            <w:sz w:val="18"/>
          </w:rPr>
          <w:t>R005</w:t>
        </w:r>
      </w:hyperlink>
      <w:r>
        <w:rPr>
          <w:sz w:val="18"/>
        </w:rPr>
        <w:t xml:space="preserve">; </w:t>
      </w:r>
      <w:hyperlink r:id="rId20">
        <w:r>
          <w:rPr>
            <w:color w:val="1B6F80"/>
            <w:sz w:val="18"/>
          </w:rPr>
          <w:t>R006</w:t>
        </w:r>
      </w:hyperlink>
      <w:r>
        <w:rPr>
          <w:sz w:val="18"/>
        </w:rPr>
        <w:t xml:space="preserve">; </w:t>
      </w:r>
      <w:hyperlink r:id="rId21">
        <w:r>
          <w:rPr>
            <w:color w:val="1B6F80"/>
            <w:sz w:val="18"/>
          </w:rPr>
          <w:t>R007</w:t>
        </w:r>
      </w:hyperlink>
      <w:r>
        <w:rPr>
          <w:sz w:val="18"/>
        </w:rPr>
        <w:t xml:space="preserve">; </w:t>
      </w:r>
      <w:hyperlink r:id="rId53">
        <w:r>
          <w:rPr>
            <w:color w:val="1B6F80"/>
            <w:sz w:val="18"/>
          </w:rPr>
          <w:t>R008</w:t>
        </w:r>
      </w:hyperlink>
      <w:r>
        <w:rPr>
          <w:sz w:val="18"/>
        </w:rPr>
        <w:t xml:space="preserve">; </w:t>
      </w:r>
      <w:hyperlink r:id="rId22">
        <w:r>
          <w:rPr>
            <w:color w:val="1B6F80"/>
            <w:sz w:val="18"/>
          </w:rPr>
          <w:t>R009</w:t>
        </w:r>
      </w:hyperlink>
      <w:r>
        <w:rPr>
          <w:sz w:val="18"/>
        </w:rPr>
        <w:t xml:space="preserve">; </w:t>
      </w:r>
      <w:hyperlink r:id="rId16">
        <w:r>
          <w:rPr>
            <w:color w:val="1B6F80"/>
            <w:sz w:val="18"/>
          </w:rPr>
          <w:t>R035</w:t>
        </w:r>
      </w:hyperlink>
      <w:r>
        <w:rPr>
          <w:sz w:val="18"/>
        </w:rPr>
        <w:t>]</w:t>
      </w:r>
    </w:p>
    <w:p>
      <w:pPr>
        <w:pStyle w:val="Heading2"/>
      </w:pPr>
      <w:r>
        <w:t>Открытые метаданные и закрытые изображения</w:t>
      </w:r>
    </w:p>
    <w:p>
      <w:r>
        <w:t>PGP может свободно распространять свои описания по NC-лицензии, одновременно показывая изображения Cambridge с All rights reserved. Для Moss. VII,157 прямо указана необходимость разрешения на воспроизведение на публичном сайте; для присоединённого T-S NS 324.112 карточка не сообщает лицензию. Один составной свидетель поэтому сохраняет неоднородные права. Фотографии в пакет PGP metadata не включены.</w:t>
      </w:r>
      <w:r>
        <w:rPr>
          <w:sz w:val="18"/>
        </w:rPr>
        <w:t xml:space="preserve">  [</w:t>
      </w:r>
      <w:hyperlink r:id="rId70">
        <w:r>
          <w:rPr>
            <w:color w:val="1B6F80"/>
            <w:sz w:val="18"/>
          </w:rPr>
          <w:t>R050</w:t>
        </w:r>
      </w:hyperlink>
      <w:r>
        <w:rPr>
          <w:sz w:val="18"/>
        </w:rPr>
        <w:t xml:space="preserve">; </w:t>
      </w:r>
      <w:hyperlink r:id="rId49">
        <w:r>
          <w:rPr>
            <w:color w:val="1B6F80"/>
            <w:sz w:val="18"/>
          </w:rPr>
          <w:t>R051</w:t>
        </w:r>
      </w:hyperlink>
      <w:r>
        <w:rPr>
          <w:sz w:val="18"/>
        </w:rPr>
        <w:t xml:space="preserve">; </w:t>
      </w:r>
      <w:hyperlink r:id="rId50">
        <w:r>
          <w:rPr>
            <w:color w:val="1B6F80"/>
            <w:sz w:val="18"/>
          </w:rPr>
          <w:t>R052</w:t>
        </w:r>
      </w:hyperlink>
      <w:r>
        <w:rPr>
          <w:sz w:val="18"/>
        </w:rPr>
        <w:t>]</w:t>
      </w:r>
    </w:p>
    <w:p>
      <w:pPr>
        <w:pStyle w:val="Heading2"/>
      </w:pPr>
      <w:r>
        <w:t>Открытая статья не означает открытую реконструкцию для переработки</w:t>
      </w:r>
    </w:p>
    <w:p>
      <w:r>
        <w:t>CC BY-NC-ND полезна: позволяет сохранить законный путь к неизменённой публикации. Но она не превращает научную транскрипцию в свободный материал для публичного редактирования, перевода или иной производной версии. Публикации фрагментов учитываются отдельно от прав исторического свидетеля и прав на воспроизведённые фотографии.</w:t>
      </w:r>
      <w:r>
        <w:rPr>
          <w:sz w:val="18"/>
        </w:rPr>
        <w:t xml:space="preserve">  [</w:t>
      </w:r>
      <w:hyperlink r:id="rId65">
        <w:r>
          <w:rPr>
            <w:color w:val="1B6F80"/>
            <w:sz w:val="18"/>
          </w:rPr>
          <w:t>R031</w:t>
        </w:r>
      </w:hyperlink>
      <w:r>
        <w:rPr>
          <w:sz w:val="18"/>
        </w:rPr>
        <w:t xml:space="preserve">; </w:t>
      </w:r>
      <w:hyperlink r:id="rId29">
        <w:r>
          <w:rPr>
            <w:color w:val="1B6F80"/>
            <w:sz w:val="18"/>
          </w:rPr>
          <w:t>R032</w:t>
        </w:r>
      </w:hyperlink>
      <w:r>
        <w:rPr>
          <w:sz w:val="18"/>
        </w:rPr>
        <w:t>]</w:t>
      </w:r>
    </w:p>
    <w:p>
      <w:pPr>
        <w:pStyle w:val="Heading2"/>
      </w:pPr>
      <w:r>
        <w:t>Public Domain и техническая доступность имеют пределы</w:t>
      </w:r>
    </w:p>
    <w:p>
      <w:r>
        <w:t>Обозначения pdus в HathiTrust и американские заявления Public Domain сохраняются как юрисдикционно ограниченные. Для международного зеркала ToS их недостаточно без проверки применимого права и условий цифровой копии. То же относится к старым переводам: важны переводчик, дата издания и конкретный цифровой источник. Региональная доступность Google Books/Play может отличаться от результата этого сеанса.</w:t>
      </w:r>
      <w:r>
        <w:rPr>
          <w:sz w:val="18"/>
        </w:rPr>
        <w:t xml:space="preserve">  [</w:t>
      </w:r>
      <w:hyperlink r:id="rId11">
        <w:r>
          <w:rPr>
            <w:color w:val="1B6F80"/>
            <w:sz w:val="18"/>
          </w:rPr>
          <w:t>R001</w:t>
        </w:r>
      </w:hyperlink>
      <w:r>
        <w:rPr>
          <w:sz w:val="18"/>
        </w:rPr>
        <w:t xml:space="preserve">; </w:t>
      </w:r>
      <w:hyperlink r:id="rId61">
        <w:r>
          <w:rPr>
            <w:color w:val="1B6F80"/>
            <w:sz w:val="18"/>
          </w:rPr>
          <w:t>R012</w:t>
        </w:r>
      </w:hyperlink>
      <w:r>
        <w:rPr>
          <w:sz w:val="18"/>
        </w:rPr>
        <w:t xml:space="preserve">; </w:t>
      </w:r>
      <w:hyperlink r:id="rId67">
        <w:r>
          <w:rPr>
            <w:color w:val="1B6F80"/>
            <w:sz w:val="18"/>
          </w:rPr>
          <w:t>R014</w:t>
        </w:r>
      </w:hyperlink>
      <w:r>
        <w:rPr>
          <w:sz w:val="18"/>
        </w:rPr>
        <w:t xml:space="preserve">; </w:t>
      </w:r>
      <w:hyperlink r:id="rId43">
        <w:r>
          <w:rPr>
            <w:color w:val="1B6F80"/>
            <w:sz w:val="18"/>
          </w:rPr>
          <w:t>R036</w:t>
        </w:r>
      </w:hyperlink>
      <w:r>
        <w:rPr>
          <w:sz w:val="18"/>
        </w:rPr>
        <w:t xml:space="preserve">; </w:t>
      </w:r>
      <w:hyperlink r:id="rId45">
        <w:r>
          <w:rPr>
            <w:color w:val="1B6F80"/>
            <w:sz w:val="18"/>
          </w:rPr>
          <w:t>R038</w:t>
        </w:r>
      </w:hyperlink>
      <w:r>
        <w:rPr>
          <w:sz w:val="18"/>
        </w:rPr>
        <w:t xml:space="preserve">; </w:t>
      </w:r>
      <w:hyperlink r:id="rId17">
        <w:r>
          <w:rPr>
            <w:color w:val="1B6F80"/>
            <w:sz w:val="18"/>
          </w:rPr>
          <w:t>R048</w:t>
        </w:r>
      </w:hyperlink>
      <w:r>
        <w:rPr>
          <w:sz w:val="18"/>
        </w:rPr>
        <w:t xml:space="preserve">; </w:t>
      </w:r>
      <w:hyperlink r:id="rId46">
        <w:r>
          <w:rPr>
            <w:color w:val="1B6F80"/>
            <w:sz w:val="18"/>
          </w:rPr>
          <w:t>R053</w:t>
        </w:r>
      </w:hyperlink>
      <w:r>
        <w:rPr>
          <w:sz w:val="18"/>
        </w:rPr>
        <w:t xml:space="preserve">; </w:t>
      </w:r>
      <w:hyperlink r:id="rId71">
        <w:r>
          <w:rPr>
            <w:color w:val="1B6F80"/>
            <w:sz w:val="18"/>
          </w:rPr>
          <w:t>R061</w:t>
        </w:r>
      </w:hyperlink>
      <w:r>
        <w:rPr>
          <w:sz w:val="18"/>
        </w:rPr>
        <w:t>]</w:t>
      </w:r>
    </w:p>
    <w:p>
      <w:r>
        <w:t>403, timeout, JavaScript-оболочка или ошибка загрузки крупного файла обозначают предел этой проверки, не исчезновение произведения. Верифицированная каталожная кнопка Full view сохранена как путь чтения, но не превращена в утверждение о постраничной проверке. Напротив, один открытый фрагмент никогда не маркируется полным доступом ко всему авторскому корпусу.</w:t>
      </w:r>
      <w:r>
        <w:rPr>
          <w:sz w:val="18"/>
        </w:rPr>
        <w:t xml:space="preserve">  [</w:t>
      </w:r>
      <w:hyperlink r:id="rId57">
        <w:r>
          <w:rPr>
            <w:color w:val="1B6F80"/>
            <w:sz w:val="18"/>
          </w:rPr>
          <w:t>R011</w:t>
        </w:r>
      </w:hyperlink>
      <w:r>
        <w:rPr>
          <w:sz w:val="18"/>
        </w:rPr>
        <w:t xml:space="preserve">; </w:t>
      </w:r>
      <w:hyperlink r:id="rId56">
        <w:r>
          <w:rPr>
            <w:color w:val="1B6F80"/>
            <w:sz w:val="18"/>
          </w:rPr>
          <w:t>R013</w:t>
        </w:r>
      </w:hyperlink>
      <w:r>
        <w:rPr>
          <w:sz w:val="18"/>
        </w:rPr>
        <w:t xml:space="preserve">; </w:t>
      </w:r>
      <w:hyperlink r:id="rId60">
        <w:r>
          <w:rPr>
            <w:color w:val="1B6F80"/>
            <w:sz w:val="18"/>
          </w:rPr>
          <w:t>R022</w:t>
        </w:r>
      </w:hyperlink>
      <w:r>
        <w:rPr>
          <w:sz w:val="18"/>
        </w:rPr>
        <w:t xml:space="preserve">; </w:t>
      </w:r>
      <w:hyperlink r:id="rId27">
        <w:r>
          <w:rPr>
            <w:color w:val="1B6F80"/>
            <w:sz w:val="18"/>
          </w:rPr>
          <w:t>R028</w:t>
        </w:r>
      </w:hyperlink>
      <w:r>
        <w:rPr>
          <w:sz w:val="18"/>
        </w:rPr>
        <w:t xml:space="preserve">; </w:t>
      </w:r>
      <w:hyperlink r:id="rId29">
        <w:r>
          <w:rPr>
            <w:color w:val="1B6F80"/>
            <w:sz w:val="18"/>
          </w:rPr>
          <w:t>R032</w:t>
        </w:r>
      </w:hyperlink>
      <w:r>
        <w:rPr>
          <w:sz w:val="18"/>
        </w:rPr>
        <w:t xml:space="preserve">; </w:t>
      </w:r>
      <w:hyperlink r:id="rId30">
        <w:r>
          <w:rPr>
            <w:color w:val="1B6F80"/>
            <w:sz w:val="18"/>
          </w:rPr>
          <w:t>R046</w:t>
        </w:r>
      </w:hyperlink>
      <w:r>
        <w:rPr>
          <w:sz w:val="18"/>
        </w:rPr>
        <w:t xml:space="preserve">; </w:t>
      </w:r>
      <w:hyperlink r:id="rId51">
        <w:r>
          <w:rPr>
            <w:color w:val="1B6F80"/>
            <w:sz w:val="18"/>
          </w:rPr>
          <w:t>R058</w:t>
        </w:r>
      </w:hyperlink>
      <w:r>
        <w:rPr>
          <w:sz w:val="18"/>
        </w:rPr>
        <w:t>]</w:t>
      </w:r>
    </w:p>
    <w:p>
      <w:pPr>
        <w:pStyle w:val="Heading1"/>
      </w:pPr>
      <w:r>
        <w:t>6. Пробелы и дальнейший поиск</w:t>
      </w:r>
    </w:p>
    <w:p>
      <w:r>
        <w:t>Лист gaps содержит 28 конкретных записей: название/кандидат, связь со строкой, период, проверенные пути или запросы, оставшийся шаг и связанные record_id. «Not found» здесь относится к пригодному первичному доступу в этом запуске, а не к историческому существованию текста. Главные незакрытые зоны — полный Siddur, Egron, длинные комментарии к части Пятикнижия, полный Псалтирь, поэтический текст Essa Meshali и часть гаонских юридических монографий.</w:t>
      </w:r>
    </w:p>
    <w:p>
      <w:r>
        <w:t>Современные научные издания преимущественно остаются purchase, preview, institutional access или metadata-only. У Rosenblatt, Goodman и некоторых других издательские карточки показывали отсутствие товара; каталоги WorldCat не подтверждали выдачу конкретному читателю. Ни регистрация, ни библиотечная выдача, ни покупка, ни запрос разрешения не выполнялись.</w:t>
      </w:r>
      <w:r>
        <w:rPr>
          <w:sz w:val="18"/>
        </w:rPr>
        <w:t xml:space="preserve">  [</w:t>
      </w:r>
      <w:hyperlink r:id="rId12">
        <w:r>
          <w:rPr>
            <w:color w:val="1B6F80"/>
            <w:sz w:val="18"/>
          </w:rPr>
          <w:t>R002</w:t>
        </w:r>
      </w:hyperlink>
      <w:r>
        <w:rPr>
          <w:sz w:val="18"/>
        </w:rPr>
        <w:t xml:space="preserve">; </w:t>
      </w:r>
      <w:hyperlink r:id="rId55">
        <w:r>
          <w:rPr>
            <w:color w:val="1B6F80"/>
            <w:sz w:val="18"/>
          </w:rPr>
          <w:t>R017</w:t>
        </w:r>
      </w:hyperlink>
      <w:r>
        <w:rPr>
          <w:sz w:val="18"/>
        </w:rPr>
        <w:t xml:space="preserve">; </w:t>
      </w:r>
      <w:hyperlink r:id="rId58">
        <w:r>
          <w:rPr>
            <w:color w:val="1B6F80"/>
            <w:sz w:val="18"/>
          </w:rPr>
          <w:t>R020</w:t>
        </w:r>
      </w:hyperlink>
      <w:r>
        <w:rPr>
          <w:sz w:val="18"/>
        </w:rPr>
        <w:t xml:space="preserve">; </w:t>
      </w:r>
      <w:hyperlink r:id="rId33">
        <w:r>
          <w:rPr>
            <w:color w:val="1B6F80"/>
            <w:sz w:val="18"/>
          </w:rPr>
          <w:t>R033</w:t>
        </w:r>
      </w:hyperlink>
      <w:r>
        <w:rPr>
          <w:sz w:val="18"/>
        </w:rPr>
        <w:t xml:space="preserve">; </w:t>
      </w:r>
      <w:hyperlink r:id="rId34">
        <w:r>
          <w:rPr>
            <w:color w:val="1B6F80"/>
            <w:sz w:val="18"/>
          </w:rPr>
          <w:t>R040</w:t>
        </w:r>
      </w:hyperlink>
      <w:r>
        <w:rPr>
          <w:sz w:val="18"/>
        </w:rPr>
        <w:t xml:space="preserve">; </w:t>
      </w:r>
      <w:hyperlink r:id="rId18">
        <w:r>
          <w:rPr>
            <w:color w:val="1B6F80"/>
            <w:sz w:val="18"/>
          </w:rPr>
          <w:t>R049</w:t>
        </w:r>
      </w:hyperlink>
      <w:r>
        <w:rPr>
          <w:sz w:val="18"/>
        </w:rPr>
        <w:t xml:space="preserve">; </w:t>
      </w:r>
      <w:hyperlink r:id="rId47">
        <w:r>
          <w:rPr>
            <w:color w:val="1B6F80"/>
            <w:sz w:val="18"/>
          </w:rPr>
          <w:t>R054</w:t>
        </w:r>
      </w:hyperlink>
      <w:r>
        <w:rPr>
          <w:sz w:val="18"/>
        </w:rPr>
        <w:t xml:space="preserve">; </w:t>
      </w:r>
      <w:hyperlink r:id="rId32">
        <w:r>
          <w:rPr>
            <w:color w:val="1B6F80"/>
            <w:sz w:val="18"/>
          </w:rPr>
          <w:t>R057</w:t>
        </w:r>
      </w:hyperlink>
      <w:r>
        <w:rPr>
          <w:sz w:val="18"/>
        </w:rPr>
        <w:t>]</w:t>
      </w:r>
    </w:p>
    <w:p>
      <w:r>
        <w:t>Упоминание новой идентификации Behukkotai в DR пока требует повторного открытия официальной публикации. У T-S 13J3.6 нельзя подменить комментарий юридическим текстом, который уже транскрибирован в PGP. Другой неподтверждённый кандидат — Kitāb al-Ḥāwī с проблемной атрибуцией. Такие случаи не пополнили установленный первичный корпус только на основании слабого указателя.</w:t>
      </w:r>
    </w:p>
    <w:p>
      <w:pPr>
        <w:pStyle w:val="Heading2"/>
      </w:pPr>
      <w:r>
        <w:t>Восемь приоритетных продолжений</w:t>
      </w:r>
    </w:p>
    <w:p>
      <w:r>
        <w:t>1. Закрыть full-text пробелы Siddur и Egron: повторить поиск по точным изданиям и shelfmarks; сверить лицензию каждой цифровой копии. Это наиболее прямое улучшение покрытия основных seeds.</w:t>
      </w:r>
    </w:p>
    <w:p>
      <w:r>
        <w:t>2. Развести короткий Tafsīr и длинный sharḥ по книгам Библии; проверить полный Псалтирь, Числа, Второзаконие и оставшиеся части Левита. Сюда же относится перепроверка новой идентификации 2026.</w:t>
      </w:r>
    </w:p>
    <w:p>
      <w:r>
        <w:t>3. Получить ранние item-level свидетели Пятикнижия, прежде всего T-S Ar.1a.38 и корректно идентифицированные рукописи RNL. Сверить дата текста / дата списка / поздняя редакция.</w:t>
      </w:r>
    </w:p>
    <w:p>
      <w:r>
        <w:t>4. Продолжить по карте Kiener: Vatican, Munich, Paris и другие свидетели еврейской парафразы; Mantua 1556, Venice 1634 и вариант VII трактата в публикации Bacher. Это передача центрального текста за пределами исходного периода, а не вспомогательная общая библиография.</w:t>
      </w:r>
      <w:r>
        <w:rPr>
          <w:sz w:val="18"/>
        </w:rPr>
        <w:t xml:space="preserve">  [</w:t>
      </w:r>
      <w:hyperlink r:id="rId48">
        <w:r>
          <w:rPr>
            <w:color w:val="1B6F80"/>
            <w:sz w:val="18"/>
          </w:rPr>
          <w:t>R060</w:t>
        </w:r>
      </w:hyperlink>
      <w:r>
        <w:rPr>
          <w:sz w:val="18"/>
        </w:rPr>
        <w:t>]</w:t>
      </w:r>
    </w:p>
    <w:p>
      <w:r>
        <w:t>5. Добрать юридические трактаты Хайи и Саадии, формуляры и неопубликованные responsa. Фильтровать PGP по автору, shelfmark и библиографическому источнику, не переносить атрибуцию одного фрагмента на соседние записи или всю коллекцию.</w:t>
      </w:r>
      <w:r>
        <w:rPr>
          <w:sz w:val="18"/>
        </w:rPr>
        <w:t xml:space="preserve">  [</w:t>
      </w:r>
      <w:hyperlink r:id="rId68">
        <w:r>
          <w:rPr>
            <w:color w:val="1B6F80"/>
            <w:sz w:val="18"/>
          </w:rPr>
          <w:t>R023</w:t>
        </w:r>
      </w:hyperlink>
      <w:r>
        <w:rPr>
          <w:sz w:val="18"/>
        </w:rPr>
        <w:t xml:space="preserve">; </w:t>
      </w:r>
      <w:hyperlink r:id="rId70">
        <w:r>
          <w:rPr>
            <w:color w:val="1B6F80"/>
            <w:sz w:val="18"/>
          </w:rPr>
          <w:t>R050</w:t>
        </w:r>
      </w:hyperlink>
      <w:r>
        <w:rPr>
          <w:sz w:val="18"/>
        </w:rPr>
        <w:t xml:space="preserve">; </w:t>
      </w:r>
      <w:hyperlink r:id="rId50">
        <w:r>
          <w:rPr>
            <w:color w:val="1B6F80"/>
            <w:sz w:val="18"/>
          </w:rPr>
          <w:t>R052</w:t>
        </w:r>
      </w:hyperlink>
      <w:r>
        <w:rPr>
          <w:sz w:val="18"/>
        </w:rPr>
        <w:t>]</w:t>
      </w:r>
    </w:p>
    <w:p>
      <w:r>
        <w:t>6. Найти полный законный доступ к караимским контр-текстам и независимым возражениям Дунаша. Обязательно сохранить отличие от последующего саадиевского ответа или защиты Ибн Эзры.</w:t>
      </w:r>
      <w:r>
        <w:rPr>
          <w:sz w:val="18"/>
        </w:rPr>
        <w:t xml:space="preserve">  [</w:t>
      </w:r>
      <w:hyperlink r:id="rId64">
        <w:r>
          <w:rPr>
            <w:color w:val="1B6F80"/>
            <w:sz w:val="18"/>
          </w:rPr>
          <w:t>R026</w:t>
        </w:r>
      </w:hyperlink>
      <w:r>
        <w:rPr>
          <w:sz w:val="18"/>
        </w:rPr>
        <w:t xml:space="preserve">; </w:t>
      </w:r>
      <w:hyperlink r:id="rId43">
        <w:r>
          <w:rPr>
            <w:color w:val="1B6F80"/>
            <w:sz w:val="18"/>
          </w:rPr>
          <w:t>R036</w:t>
        </w:r>
      </w:hyperlink>
      <w:r>
        <w:rPr>
          <w:sz w:val="18"/>
        </w:rPr>
        <w:t xml:space="preserve">; </w:t>
      </w:r>
      <w:hyperlink r:id="rId66">
        <w:r>
          <w:rPr>
            <w:color w:val="1B6F80"/>
            <w:sz w:val="18"/>
          </w:rPr>
          <w:t>R039</w:t>
        </w:r>
      </w:hyperlink>
      <w:r>
        <w:rPr>
          <w:sz w:val="18"/>
        </w:rPr>
        <w:t xml:space="preserve">; </w:t>
      </w:r>
      <w:hyperlink r:id="rId39">
        <w:r>
          <w:rPr>
            <w:color w:val="1B6F80"/>
            <w:sz w:val="18"/>
          </w:rPr>
          <w:t>R045</w:t>
        </w:r>
      </w:hyperlink>
      <w:r>
        <w:rPr>
          <w:sz w:val="18"/>
        </w:rPr>
        <w:t>]</w:t>
      </w:r>
    </w:p>
    <w:p>
      <w:r>
        <w:t>7. Установить версии и лицензии Sefaria через официальный экспорт/API; отдельно проверить источники транскрипций в PGP footnotes.csv и исключения для иллюстраций в OA-статьях. Только после этого расширять положительные OCR/index/embeddings/translation-теги.</w:t>
      </w:r>
      <w:r>
        <w:rPr>
          <w:sz w:val="18"/>
        </w:rPr>
        <w:t xml:space="preserve">  [</w:t>
      </w:r>
      <w:hyperlink r:id="rId65">
        <w:r>
          <w:rPr>
            <w:color w:val="1B6F80"/>
            <w:sz w:val="18"/>
          </w:rPr>
          <w:t>R031</w:t>
        </w:r>
      </w:hyperlink>
      <w:r>
        <w:rPr>
          <w:sz w:val="18"/>
        </w:rPr>
        <w:t xml:space="preserve">; </w:t>
      </w:r>
      <w:hyperlink r:id="rId29">
        <w:r>
          <w:rPr>
            <w:color w:val="1B6F80"/>
            <w:sz w:val="18"/>
          </w:rPr>
          <w:t>R032</w:t>
        </w:r>
      </w:hyperlink>
      <w:r>
        <w:rPr>
          <w:sz w:val="18"/>
        </w:rPr>
        <w:t xml:space="preserve">; </w:t>
      </w:r>
      <w:hyperlink r:id="rId50">
        <w:r>
          <w:rPr>
            <w:color w:val="1B6F80"/>
            <w:sz w:val="18"/>
          </w:rPr>
          <w:t>R052</w:t>
        </w:r>
      </w:hyperlink>
      <w:r>
        <w:rPr>
          <w:sz w:val="18"/>
        </w:rPr>
        <w:t xml:space="preserve">; </w:t>
      </w:r>
      <w:hyperlink r:id="rId51">
        <w:r>
          <w:rPr>
            <w:color w:val="1B6F80"/>
            <w:sz w:val="18"/>
          </w:rPr>
          <w:t>R058</w:t>
        </w:r>
      </w:hyperlink>
      <w:r>
        <w:rPr>
          <w:sz w:val="18"/>
        </w:rPr>
        <w:t>]</w:t>
      </w:r>
    </w:p>
    <w:p>
      <w:r>
        <w:t>8. Проверить конкретные пассажи поздней рецепции: Ибн Дауд, Берехия, Моше Таку, Абулафия, а затем Бахья, Галеви и Маймонид. Первые кандидаты уже имеют библиографические ориентиры; для остальных сначала требуется доказуемая текстовая связь. Аналогично для арабских antecedent-текстов: общего слова kalām недостаточно.</w:t>
      </w:r>
    </w:p>
    <w:p>
      <w:pPr>
        <w:pStyle w:val="Heading1"/>
      </w:pPr>
      <w:r>
        <w:t>7. Итоговая оценка</w:t>
      </w:r>
    </w:p>
    <w:p>
      <w:r>
        <w:t>Покрытие наиболее сильное у философских трактатов, существенной части саадиевской библейской экзегезы и нескольких непосредственно связанных полемических и гаонских сборников. Корпус не закрыт полностью: отдельные произведения остаются известными по каталогу, отрывкам или научному указателю; важные рукописные и текстовые права требуют повторной проверки.</w:t>
      </w:r>
    </w:p>
    <w:p>
      <w:r>
        <w:t>Оригиналы доступны через старые издания и отдельные факсимиле, но не образуют единого свободного машиночитаемого саадиевского корпуса. Переводы на английский, иврит, немецкий, французский и русский найдены в разных режимах доступа; бесплатность и полнота каждого варианта указаны раздельно. Наиболее свободный доказанный слой — конкретные NC-фотографии Bodleian, собственные NC-метаданные PGP и ограниченные лицензированные текстовые вклады Open Siddur. Главные ограничения сосредоточены в современных критических редакциях, переводах, реконструкциях и библиотечных изображениях.</w:t>
      </w:r>
      <w:r>
        <w:rPr>
          <w:sz w:val="18"/>
        </w:rPr>
        <w:t xml:space="preserve">  [</w:t>
      </w:r>
      <w:hyperlink r:id="rId59">
        <w:r>
          <w:rPr>
            <w:color w:val="1B6F80"/>
            <w:sz w:val="18"/>
          </w:rPr>
          <w:t>R021</w:t>
        </w:r>
      </w:hyperlink>
      <w:r>
        <w:rPr>
          <w:sz w:val="18"/>
        </w:rPr>
        <w:t xml:space="preserve">; </w:t>
      </w:r>
      <w:hyperlink r:id="rId54">
        <w:r>
          <w:rPr>
            <w:color w:val="1B6F80"/>
            <w:sz w:val="18"/>
          </w:rPr>
          <w:t>R030</w:t>
        </w:r>
      </w:hyperlink>
      <w:r>
        <w:rPr>
          <w:sz w:val="18"/>
        </w:rPr>
        <w:t xml:space="preserve">; </w:t>
      </w:r>
      <w:hyperlink r:id="rId63">
        <w:r>
          <w:rPr>
            <w:color w:val="1B6F80"/>
            <w:sz w:val="18"/>
          </w:rPr>
          <w:t>R047</w:t>
        </w:r>
      </w:hyperlink>
      <w:r>
        <w:rPr>
          <w:sz w:val="18"/>
        </w:rPr>
        <w:t xml:space="preserve">; </w:t>
      </w:r>
      <w:hyperlink r:id="rId70">
        <w:r>
          <w:rPr>
            <w:color w:val="1B6F80"/>
            <w:sz w:val="18"/>
          </w:rPr>
          <w:t>R050</w:t>
        </w:r>
      </w:hyperlink>
      <w:r>
        <w:rPr>
          <w:sz w:val="18"/>
        </w:rPr>
        <w:t xml:space="preserve">; </w:t>
      </w:r>
      <w:hyperlink r:id="rId50">
        <w:r>
          <w:rPr>
            <w:color w:val="1B6F80"/>
            <w:sz w:val="18"/>
          </w:rPr>
          <w:t>R052</w:t>
        </w:r>
      </w:hyperlink>
      <w:r>
        <w:rPr>
          <w:sz w:val="18"/>
        </w:rPr>
        <w:t>]</w:t>
      </w:r>
    </w:p>
    <w:p>
      <w:r>
        <w:t>Пакет пригоден для передачи Codex как исследовательский вход: маршруты, версии, права и неопределённости сохранены в одной таблице, а незакрытые задачи — на листе gaps. Это не автоматическое разрешение на массовое скачивание или публикацию. Следующий технический шаг должен выбирать действие по конкретному rights_scope и coverage, а не по древности названия или одному положительному тегу.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T2-17 · проверка 04.09.2026</w:t>
    </w:r>
    <w: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56B"/>
        <w:sz w:val="16"/>
      </w:rPr>
      <w:t>TREE OF SOPHIA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83F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83F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83F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83F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20"/>
    </w:pPr>
    <w:rPr>
      <w:rFonts w:asciiTheme="majorHAnsi" w:eastAsiaTheme="majorEastAsia" w:hAnsiTheme="majorHAnsi" w:cstheme="majorBidi" w:ascii="Calibri" w:hAnsi="Calibri"/>
      <w:i/>
      <w:iCs/>
      <w:color w:val="183F4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52" w:lineRule="auto"/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5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chive.org/details/kitbalamnt00saaduoft" TargetMode="External"/><Relationship Id="rId12" Type="http://schemas.openxmlformats.org/officeDocument/2006/relationships/hyperlink" Target="https://yalebooks.yale.edu/book/9780300044904/saadia-gaon/" TargetMode="External"/><Relationship Id="rId13" Type="http://schemas.openxmlformats.org/officeDocument/2006/relationships/hyperlink" Target="https://press.uchicago.edu/ucp/books/book/distributed/T/bo22341058.html" TargetMode="External"/><Relationship Id="rId14" Type="http://schemas.openxmlformats.org/officeDocument/2006/relationships/hyperlink" Target="https://search.rsl.ru/ru/record/01008507192" TargetMode="External"/><Relationship Id="rId15" Type="http://schemas.openxmlformats.org/officeDocument/2006/relationships/hyperlink" Target="https://www.daat.ac.il/daat/mahshevt/kapah/tohen-2.htm" TargetMode="External"/><Relationship Id="rId16" Type="http://schemas.openxmlformats.org/officeDocument/2006/relationships/hyperlink" Target="https://he.wikisource.org/wiki/&#1511;&#1493;&#1489;&#1509;:Hebrewbooks_org_9418.pdf" TargetMode="External"/><Relationship Id="rId17" Type="http://schemas.openxmlformats.org/officeDocument/2006/relationships/hyperlink" Target="https://catalog.hathitrust.org/Record/006635724" TargetMode="External"/><Relationship Id="rId18" Type="http://schemas.openxmlformats.org/officeDocument/2006/relationships/hyperlink" Target="https://search.worldcat.org/es/title/dawud-ibn-marwan-al-muqammiss-twenty-chapters-ishrun-maqala/oclc/21263408" TargetMode="External"/><Relationship Id="rId19" Type="http://schemas.openxmlformats.org/officeDocument/2006/relationships/hyperlink" Target="https://sammlungen.ub.uni-frankfurt.de/freimann/content/titleinfo/7396435" TargetMode="External"/><Relationship Id="rId20" Type="http://schemas.openxmlformats.org/officeDocument/2006/relationships/hyperlink" Target="https://sammlungen.ub.uni-frankfurt.de/freimann/content/titleinfo/7396125" TargetMode="External"/><Relationship Id="rId21" Type="http://schemas.openxmlformats.org/officeDocument/2006/relationships/hyperlink" Target="https://sammlungen.ub.uni-frankfurt.de/freimann/content/titleinfo/7397045" TargetMode="External"/><Relationship Id="rId22" Type="http://schemas.openxmlformats.org/officeDocument/2006/relationships/hyperlink" Target="https://sammlungen.ub.uni-frankfurt.de/freimann/content/titleinfo/7396807" TargetMode="External"/><Relationship Id="rId23" Type="http://schemas.openxmlformats.org/officeDocument/2006/relationships/hyperlink" Target="https://play.google.com/store/books/details/Michael_G_Wechsler_The_Book_of_Conviviality_in_Exi?id=J3q9BwAAQBAJ" TargetMode="External"/><Relationship Id="rId24" Type="http://schemas.openxmlformats.org/officeDocument/2006/relationships/hyperlink" Target="https://books.google.com/books/about/The_Book_of_Daniel.html?id=p_lGX4BtW4cC" TargetMode="External"/><Relationship Id="rId25" Type="http://schemas.openxmlformats.org/officeDocument/2006/relationships/hyperlink" Target="https://research.cuhk.edu.hk/en/publications/saadia-gaons-tafs%C4%ABr-on-the-book-of-daniel/" TargetMode="External"/><Relationship Id="rId26" Type="http://schemas.openxmlformats.org/officeDocument/2006/relationships/hyperlink" Target="https://search.worldcat.org/title/Saadya%27s-commentary-on-Genesis/oclc/1123632274" TargetMode="External"/><Relationship Id="rId27" Type="http://schemas.openxmlformats.org/officeDocument/2006/relationships/hyperlink" Target="https://www.repository.cam.ac.uk/items/ddb9fb08-db5e-404f-aee4-1cfdfd4980bf" TargetMode="External"/><Relationship Id="rId28" Type="http://schemas.openxmlformats.org/officeDocument/2006/relationships/hyperlink" Target="https://invisibleeast.site.ox.ac.uk/article/document-month-4/25-judeo-arabic-bible-commentary-bamiyan-papers" TargetMode="External"/><Relationship Id="rId29" Type="http://schemas.openxmlformats.org/officeDocument/2006/relationships/hyperlink" Target="https://academic.oup.com/jss/article/71/1/11/8489394" TargetMode="External"/><Relationship Id="rId30" Type="http://schemas.openxmlformats.org/officeDocument/2006/relationships/hyperlink" Target="https://catalog.hathitrust.org/Record/007900090" TargetMode="External"/><Relationship Id="rId31" Type="http://schemas.openxmlformats.org/officeDocument/2006/relationships/hyperlink" Target="https://biblejew.com/product/%D7%A4%D7%99%D7%A8%D7%95%D7%A9-%D7%94%D7%AA%D7%95%D7%A8%D7%94-%D7%91%D7%A2%D7%A8%D7%91%D7%99%D7%AA/" TargetMode="External"/><Relationship Id="rId32" Type="http://schemas.openxmlformats.org/officeDocument/2006/relationships/hyperlink" Target="https://bookgallery.co.il/content/english/bookpageschema.asp?bookpageid=100756" TargetMode="External"/><Relationship Id="rId33" Type="http://schemas.openxmlformats.org/officeDocument/2006/relationships/hyperlink" Target="https://www.magnespress.co.il/book/&#1488;&#1493;&#1512;_&#1512;&#1488;&#1513;&#1493;&#1503;_&#1489;&#1495;&#1499;&#1502;&#1514;_&#1492;&#1500;&#1513;&#1493;&#1503;-461" TargetMode="External"/><Relationship Id="rId34" Type="http://schemas.openxmlformats.org/officeDocument/2006/relationships/hyperlink" Target="https://books.ybz.org.il/product/rav-saadya-gaon-in-the-focus-of-contro/" TargetMode="External"/><Relationship Id="rId35" Type="http://schemas.openxmlformats.org/officeDocument/2006/relationships/hyperlink" Target="https://books.google.com/books?id=1GHXpZvIrqwC" TargetMode="External"/><Relationship Id="rId36" Type="http://schemas.openxmlformats.org/officeDocument/2006/relationships/hyperlink" Target="https://catalog.hathitrust.org/Record/100245734/Home" TargetMode="External"/><Relationship Id="rId37" Type="http://schemas.openxmlformats.org/officeDocument/2006/relationships/hyperlink" Target="https://catalog.hathitrust.org/Record/012261778" TargetMode="External"/><Relationship Id="rId38" Type="http://schemas.openxmlformats.org/officeDocument/2006/relationships/hyperlink" Target="https://catalog.hathitrust.org/Record/009032114" TargetMode="External"/><Relationship Id="rId39" Type="http://schemas.openxmlformats.org/officeDocument/2006/relationships/hyperlink" Target="https://search.worldcat.org/title/Sefer-Milamot-Adonai-:-kolel-aanot-ha-arai-Salmon-ben-Yeruim-neged-Rav-Saadyah-Gaon/oclc/61623485" TargetMode="External"/><Relationship Id="rId40" Type="http://schemas.openxmlformats.org/officeDocument/2006/relationships/hyperlink" Target="https://books.google.com/books/about/%D7%A1%D7%A4%D7%A8_%D7%94%D7%9E%D7%A6%D7%95%D7%AA.html?id=kAR8pPMZz24C" TargetMode="External"/><Relationship Id="rId41" Type="http://schemas.openxmlformats.org/officeDocument/2006/relationships/hyperlink" Target="https://wwwe.lib.cam.ac.uk/GF/14/" TargetMode="External"/><Relationship Id="rId42" Type="http://schemas.openxmlformats.org/officeDocument/2006/relationships/hyperlink" Target="https://www.mohrsiebeck.com/en/book/sefer-yesira-9783161587955/" TargetMode="External"/><Relationship Id="rId43" Type="http://schemas.openxmlformats.org/officeDocument/2006/relationships/hyperlink" Target="https://play.google.com/store/books/details/Abraham_ben_Me_ir_Ibn_Ezra_Sefer_sefat_yeter?id=_L2SutkGppAC" TargetMode="External"/><Relationship Id="rId44" Type="http://schemas.openxmlformats.org/officeDocument/2006/relationships/hyperlink" Target="https://catalog.hathitrust.org/Record/100832229" TargetMode="External"/><Relationship Id="rId45" Type="http://schemas.openxmlformats.org/officeDocument/2006/relationships/hyperlink" Target="https://play.google.com/store/books/details/&#1508;&#1497;&#1512;&#1493;&#1513;_&#1505;&#1508;&#1512;_&#1497;&#1510;&#1497;&#1512;&#1492;_&#1500;&#1492;&#1512;&#1489;_&#1492;&#1504;&#1513;&#1497;&#1488;_&#1512;_&#1497;&#1492;&#1493;&#1491;&#1492;_&#1489;&#1512;_&#1489;&#1512;&#1494;&#1497;&#1500;&#1497;_&#1492;&#1489;&#1512;&#1510;&#1500;?hl=es_SV&amp;id=Td5G32pQBaEC" TargetMode="External"/><Relationship Id="rId46" Type="http://schemas.openxmlformats.org/officeDocument/2006/relationships/hyperlink" Target="https://catalog.hathitrust.org/Record/103295543.marc" TargetMode="External"/><Relationship Id="rId47" Type="http://schemas.openxmlformats.org/officeDocument/2006/relationships/hyperlink" Target="https://search.worldcat.org/title/Shabbatai-Donnolo%27s-Sefer-akhmoni/oclc/430736587" TargetMode="External"/><Relationship Id="rId48" Type="http://schemas.openxmlformats.org/officeDocument/2006/relationships/hyperlink" Target="https://www.cambridge.org/core/journals/ajs-review/article/abs/hebrew-paraphrase-of-saadiah-gaons-kitab-alamanat-walitiqadat/811BF904E41EBA9192F7E3825C911C2A" TargetMode="External"/><Relationship Id="rId49" Type="http://schemas.openxmlformats.org/officeDocument/2006/relationships/hyperlink" Target="https://geniza.princeton.edu/en/documents/34375/" TargetMode="External"/><Relationship Id="rId50" Type="http://schemas.openxmlformats.org/officeDocument/2006/relationships/hyperlink" Target="https://zenodo.org/records/18716581" TargetMode="External"/><Relationship Id="rId51" Type="http://schemas.openxmlformats.org/officeDocument/2006/relationships/hyperlink" Target="https://github.com/Sefaria/Sefaria-Export" TargetMode="External"/><Relationship Id="rId52" Type="http://schemas.openxmlformats.org/officeDocument/2006/relationships/hyperlink" Target="https://mg.alhatorah.org/Full/Bereshit/1/1" TargetMode="External"/><Relationship Id="rId53" Type="http://schemas.openxmlformats.org/officeDocument/2006/relationships/hyperlink" Target="https://sammlungen.ub.uni-frankfurt.de/freimann/content/titleinfo/7395876" TargetMode="External"/><Relationship Id="rId54" Type="http://schemas.openxmlformats.org/officeDocument/2006/relationships/hyperlink" Target="https://digital.bodleian.ox.ac.uk/objects/ff2b7d5f-43be-4ee4-a021-ddf99b9f4a80/" TargetMode="External"/><Relationship Id="rId55" Type="http://schemas.openxmlformats.org/officeDocument/2006/relationships/hyperlink" Target="https://yalebooks.yale.edu/book/9780300037432/the-book-of-theodicy/" TargetMode="External"/><Relationship Id="rId56" Type="http://schemas.openxmlformats.org/officeDocument/2006/relationships/hyperlink" Target="https://www.repository.cam.ac.uk/items/4af737ab-5068-433f-827f-227a56c60234" TargetMode="External"/><Relationship Id="rId57" Type="http://schemas.openxmlformats.org/officeDocument/2006/relationships/hyperlink" Target="https://catalog.hathitrust.org/Record/100331999" TargetMode="External"/><Relationship Id="rId58" Type="http://schemas.openxmlformats.org/officeDocument/2006/relationships/hyperlink" Target="https://search.worldcat.org/zh-tw/title/:/oclc/19169101" TargetMode="External"/><Relationship Id="rId59" Type="http://schemas.openxmlformats.org/officeDocument/2006/relationships/hyperlink" Target="https://opensiddur.org/prayers/solilunar/shabbat/motsaei-shabbat/special-shema-blessings-for-motsaei-shabbat-according-to-saadiah-ben-yosef-gaon/" TargetMode="External"/><Relationship Id="rId60" Type="http://schemas.openxmlformats.org/officeDocument/2006/relationships/hyperlink" Target="https://hebrewbooks.org/20685" TargetMode="External"/><Relationship Id="rId61" Type="http://schemas.openxmlformats.org/officeDocument/2006/relationships/hyperlink" Target="https://archive.org/details/saadiaspolemicag00saadrich" TargetMode="External"/><Relationship Id="rId62" Type="http://schemas.openxmlformats.org/officeDocument/2006/relationships/hyperlink" Target="https://www.degruyterbrill.com/document/isbn/9789004388673/html" TargetMode="External"/><Relationship Id="rId63" Type="http://schemas.openxmlformats.org/officeDocument/2006/relationships/hyperlink" Target="https://opensiddur.org/readings-and-sourcetexts/mekorot/non-canonical/exoteric/extracanonical-megillot/on-cantillating-deutero-canonical-works-from-sefer-hagalui-by-saadia-gaon-ca-10th-c/" TargetMode="External"/><Relationship Id="rId64" Type="http://schemas.openxmlformats.org/officeDocument/2006/relationships/hyperlink" Target="https://academic.oup.com/book/45722" TargetMode="External"/><Relationship Id="rId65" Type="http://schemas.openxmlformats.org/officeDocument/2006/relationships/hyperlink" Target="https://discovery.ucl.ac.uk/id/eprint/10204527/" TargetMode="External"/><Relationship Id="rId66" Type="http://schemas.openxmlformats.org/officeDocument/2006/relationships/hyperlink" Target="https://catalog.hathitrust.org/Record/103164657" TargetMode="External"/><Relationship Id="rId67" Type="http://schemas.openxmlformats.org/officeDocument/2006/relationships/hyperlink" Target="https://commons.wikimedia.org/wiki/File:Saadyana;_Geniza_fragments_of_writings_of_R._Saadya_Gaon_and_others_(IA_saadyanagenizafr00scheiala).pdf" TargetMode="External"/><Relationship Id="rId68" Type="http://schemas.openxmlformats.org/officeDocument/2006/relationships/hyperlink" Target="https://archive.org/details/geonica_02ginz" TargetMode="External"/><Relationship Id="rId69" Type="http://schemas.openxmlformats.org/officeDocument/2006/relationships/hyperlink" Target="https://sammlungen.ub.uni-frankfurt.de/urn/urn:nbn:de:hebis:30:1-173549" TargetMode="External"/><Relationship Id="rId70" Type="http://schemas.openxmlformats.org/officeDocument/2006/relationships/hyperlink" Target="https://geniza.princeton.edu/en/documents/4276/" TargetMode="External"/><Relationship Id="rId71" Type="http://schemas.openxmlformats.org/officeDocument/2006/relationships/hyperlink" Target="https://archive.org/details/saadiagaonhislif00ma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T2-17</dc:title>
  <dc:subject>Корпус, законный доступ и права: гаонская и ранняя иудео-арабская философия</dc:subject>
  <dc:creator>ToS / Древо Софии</dc:creator>
  <cp:keywords>T2-17; Saadia; al-Muqammis; Genizah; corpus; rights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