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ToS Corpus &amp; Rights Registry</w:t>
      </w:r>
    </w:p>
    <w:p>
      <w:pPr>
        <w:pStyle w:val="Subtitle"/>
        <w:spacing w:after="180"/>
      </w:pPr>
      <w:r>
        <w:t>T2-51 • Манихейский многоязычный корпус</w:t>
      </w:r>
    </w:p>
    <w:p>
      <w:pPr>
        <w:spacing w:after="200"/>
        <w:pBdr>
          <w:bottom w:val="single" w:sz="10" w:space="8" w:color="C4D7DB"/>
        </w:pBdr>
      </w:pPr>
      <w:r>
        <w:rPr>
          <w:b/>
          <w:sz w:val="21"/>
        </w:rPr>
        <w:t>79</w:t>
      </w:r>
      <w:r>
        <w:rPr>
          <w:b w:val="0"/>
          <w:sz w:val="21"/>
        </w:rPr>
        <w:t xml:space="preserve"> способов доступа   /   </w:t>
      </w:r>
      <w:r>
        <w:rPr>
          <w:b/>
          <w:sz w:val="21"/>
        </w:rPr>
        <w:t>31</w:t>
      </w:r>
      <w:r>
        <w:rPr>
          <w:b w:val="0"/>
          <w:sz w:val="21"/>
        </w:rPr>
        <w:t xml:space="preserve"> группа пробелов   /   </w:t>
      </w:r>
      <w:r>
        <w:rPr>
          <w:b/>
          <w:sz w:val="21"/>
        </w:rPr>
        <w:t>05.09.2026</w:t>
      </w:r>
    </w:p>
    <w:p>
      <w:pPr>
        <w:pStyle w:val="Heading1"/>
      </w:pPr>
      <w:r>
        <w:t>1. Паспорт</w:t>
      </w:r>
    </w:p>
    <w:p>
      <w:r>
        <w:t>Строка T2-51 — «Манихейский многоязычный корпус». Исходный статус A и уверенность 3 сохранены. Формирование по мастер-таблице: III–IX вв.; фиксация и перевод: IV–XI вв.; канонизация и комментарий: VIII–XIV вв. Эти три диапазона не сведены к одной дате и не изменены.</w:t>
      </w:r>
    </w:p>
    <w:p>
      <w:r>
        <w:t>Основа: «ToS Deep Research_ T2-51 — Манихейский многоязычный корпус(1).docx», прежде всего паспорт и разделы 6, 12–17. DR использован как карта книг, языков и архивов, а не как доказательство нынешнего доступа или лицензий. Его предложения о графе, внутренних узлах и будущей инженерной работе не выполнялись.</w:t>
      </w:r>
    </w:p>
    <w:p>
      <w:r>
        <w:t>Проверка: 5 сентября 2026 г. Поиск велся на русском, английском, немецком и китайском; использовались французские библиографические формы, латинские названия, иранские транслитерации, M-/So-/U-сигнатуры, Taishō-номера, ISBN и DOI. Это языки поиска и каталогизации, не заявление о полном филологическом чтении каждого оригинала.</w:t>
      </w:r>
    </w:p>
    <w:p>
      <w:r>
        <w:t>Ядро: книги Мани и их фрагментарная передача; коптско-греческие контрольные свидетели; среднеперсидская, парфянская, согдийская и уйгурская текстовые ветви; китайские Трактат, Компендиум и Свиток гимнов; исповедная и гимническая книжность; изображения и Карабалгасунская надпись. Бактрийская ветвь сохранена как отдельный пробел, а не растворена в общем иранском массиве.</w:t>
      </w:r>
    </w:p>
    <w:p>
      <w:r>
        <w:t>Приоритет отдавался самим цифровым объектам, критическим изданиям, университетским и музейным карточкам. Доказательства прав брались из item-level уведомлений, заголовков XML, издательских правил и файлов PDF. Каталог подтверждает издание, но не обязательно дает книгу; открытый файл подтверждает путь доступа, но не автоматически лицензию.</w:t>
      </w:r>
    </w:p>
    <w:p>
      <w:r>
        <w:t xml:space="preserve">В реестре 79 способов доступа и на листе gaps 31 сгруппированный пробел/вопрос. При укрупнении повторных версий это около 40 произведений и корпусных групп. Словарь, портал и отдельная фотография не посчитаны как новые авторские книги. В частности, один MSI-deposit остается одной записью, а семь антиманихейских единиц оглавления NPNF доступны одним цифровым пакетом. </w:t>
      </w:r>
      <w:hyperlink r:id="rId11">
        <w:r>
          <w:rPr>
            <w:color w:val="166477"/>
            <w:sz w:val="18"/>
          </w:rPr>
          <w:t>[R044]</w:t>
        </w:r>
      </w:hyperlink>
      <w:r>
        <w:t xml:space="preserve"> </w:t>
      </w:r>
      <w:hyperlink r:id="rId12">
        <w:r>
          <w:rPr>
            <w:color w:val="166477"/>
            <w:sz w:val="18"/>
          </w:rPr>
          <w:t>[R077]</w:t>
        </w:r>
      </w:hyperlink>
      <w:r/>
    </w:p>
    <w:p>
      <w:r>
        <w:t xml:space="preserve">Слабые навигационные подсказки не использованы как доказательства. Неподтвержденное сообщение о Fuqing оставлено в G024; Pingnan в том же пробеле имеет более сильную библиографическую опору внутри критической публикации 2021 г. Ни одна ссылка на Wikipedia не включена в итоговые файлы. </w:t>
      </w:r>
      <w:hyperlink r:id="rId13">
        <w:r>
          <w:rPr>
            <w:color w:val="166477"/>
            <w:sz w:val="18"/>
          </w:rPr>
          <w:t>[R068]</w:t>
        </w:r>
      </w:hyperlink>
      <w:r/>
    </w:p>
    <w:p>
      <w:r>
        <w:t xml:space="preserve">Условные обозначения: </w:t>
      </w:r>
      <w:hyperlink r:id="rId14">
        <w:r>
          <w:rPr>
            <w:color w:val="166477"/>
            <w:sz w:val="18"/>
          </w:rPr>
          <w:t>[R001]</w:t>
        </w:r>
      </w:hyperlink>
      <w:r>
        <w:t xml:space="preserve"> означает T2-51-R001 на листе registry и ведет к его источнику доступа; G001 — строку gaps. Полные условия и ограничения — в rights_scope, coverage, verification_status и notes. High в rights_confidence означает уверенность в выводе, в том числе в запрете, а не «свободный материал».</w:t>
      </w:r>
    </w:p>
    <w:p>
      <w:pPr>
        <w:pStyle w:val="Heading1"/>
      </w:pPr>
      <w:r>
        <w:t>2. Охват корпуса</w:t>
      </w:r>
    </w:p>
    <w:p>
      <w:pPr>
        <w:pStyle w:val="Heading2"/>
      </w:pPr>
      <w:r>
        <w:t>От исходного DR к проверенным объектам</w:t>
      </w:r>
    </w:p>
    <w:p>
      <w:r>
        <w:t xml:space="preserve">Все главные семейства DR получили либо конкретный цифровой/издательский вход, либо явно обозначенный пробел. Евангелие не стало фиктивно «полным»: найденное новое издание Shokri на дату проверки еще обозначено предзаказом. Для Šābuhragān есть снимки, электронная выборка и защищенное критическое издание; для Посланий — открытые изображения одного кодекса и два современных научных тома. </w:t>
      </w:r>
      <w:hyperlink r:id="rId15">
        <w:r>
          <w:rPr>
            <w:color w:val="166477"/>
            <w:sz w:val="18"/>
          </w:rPr>
          <w:t>[R007]</w:t>
        </w:r>
      </w:hyperlink>
      <w:r>
        <w:t xml:space="preserve"> </w:t>
      </w:r>
      <w:hyperlink r:id="rId16">
        <w:r>
          <w:rPr>
            <w:color w:val="166477"/>
            <w:sz w:val="18"/>
          </w:rPr>
          <w:t>[R002]</w:t>
        </w:r>
      </w:hyperlink>
      <w:r>
        <w:t xml:space="preserve"> </w:t>
      </w:r>
      <w:hyperlink r:id="rId17">
        <w:r>
          <w:rPr>
            <w:color w:val="166477"/>
            <w:sz w:val="18"/>
          </w:rPr>
          <w:t>[R003]</w:t>
        </w:r>
      </w:hyperlink>
      <w:r>
        <w:t xml:space="preserve"> </w:t>
      </w:r>
      <w:hyperlink r:id="rId18">
        <w:r>
          <w:rPr>
            <w:color w:val="166477"/>
            <w:sz w:val="18"/>
          </w:rPr>
          <w:t>[R036]</w:t>
        </w:r>
      </w:hyperlink>
      <w:r>
        <w:t xml:space="preserve"> </w:t>
      </w:r>
      <w:hyperlink r:id="rId19">
        <w:r>
          <w:rPr>
            <w:color w:val="166477"/>
            <w:sz w:val="18"/>
          </w:rPr>
          <w:t>[R048]</w:t>
        </w:r>
      </w:hyperlink>
      <w:r>
        <w:t xml:space="preserve"> </w:t>
      </w:r>
      <w:hyperlink r:id="rId11">
        <w:r>
          <w:rPr>
            <w:color w:val="166477"/>
            <w:sz w:val="18"/>
          </w:rPr>
          <w:t>[R044]</w:t>
        </w:r>
      </w:hyperlink>
      <w:r>
        <w:t xml:space="preserve"> </w:t>
      </w:r>
      <w:hyperlink r:id="rId20">
        <w:r>
          <w:rPr>
            <w:color w:val="166477"/>
            <w:sz w:val="18"/>
          </w:rPr>
          <w:t>[R046]</w:t>
        </w:r>
      </w:hyperlink>
      <w:r>
        <w:t xml:space="preserve"> </w:t>
      </w:r>
      <w:hyperlink r:id="rId21">
        <w:r>
          <w:rPr>
            <w:color w:val="166477"/>
            <w:sz w:val="18"/>
          </w:rPr>
          <w:t>[R047]</w:t>
        </w:r>
      </w:hyperlink>
      <w:r/>
    </w:p>
    <w:p>
      <w:r>
        <w:t xml:space="preserve">Treasure of Life, Pragmateia и Book of Mysteries не представлены как сохранившиеся целые книги. Их названия и свидетельства проходят через канонные списки и внешних авторов. Для Treasure найден конкретный текстовый вход: цитата VII книги Thesaurus в главе 44 «О природе блага» Августина. Это доступ к фрагменту через перевод полемического источника, не к сирийскому оригиналу. </w:t>
      </w:r>
      <w:hyperlink r:id="rId22">
        <w:r>
          <w:rPr>
            <w:color w:val="166477"/>
            <w:sz w:val="18"/>
          </w:rPr>
          <w:t>[R041]</w:t>
        </w:r>
      </w:hyperlink>
      <w:r>
        <w:t xml:space="preserve"> </w:t>
      </w:r>
      <w:hyperlink r:id="rId12">
        <w:r>
          <w:rPr>
            <w:color w:val="166477"/>
            <w:sz w:val="18"/>
          </w:rPr>
          <w:t>[R077]</w:t>
        </w:r>
      </w:hyperlink>
      <w:r/>
    </w:p>
    <w:p>
      <w:r>
        <w:t xml:space="preserve">Коптская ветвь разведена на Kephalaia Учителя, Дублинские Kephalaia, Книгу псалмов, Гомилии, Послания и Синаксисы. Современные издания разных частей Псалтири не склеены в мнимое полное собрание. XRF-набор Pma5 — материальный анализ Синаксисов, а не текстовый корпус. Школьные Kephalaia не приписаны непосредственно перу Мани. </w:t>
      </w:r>
      <w:hyperlink r:id="rId23">
        <w:r>
          <w:rPr>
            <w:color w:val="166477"/>
            <w:sz w:val="18"/>
          </w:rPr>
          <w:t>[R011]</w:t>
        </w:r>
      </w:hyperlink>
      <w:r>
        <w:t xml:space="preserve"> </w:t>
      </w:r>
      <w:hyperlink r:id="rId24">
        <w:r>
          <w:rPr>
            <w:color w:val="166477"/>
            <w:sz w:val="18"/>
          </w:rPr>
          <w:t>[R012]</w:t>
        </w:r>
      </w:hyperlink>
      <w:r>
        <w:t xml:space="preserve"> </w:t>
      </w:r>
      <w:hyperlink r:id="rId25">
        <w:r>
          <w:rPr>
            <w:color w:val="166477"/>
            <w:sz w:val="18"/>
          </w:rPr>
          <w:t>[R013]</w:t>
        </w:r>
      </w:hyperlink>
      <w:r>
        <w:t xml:space="preserve"> </w:t>
      </w:r>
      <w:hyperlink r:id="rId26">
        <w:r>
          <w:rPr>
            <w:color w:val="166477"/>
            <w:sz w:val="18"/>
          </w:rPr>
          <w:t>[R014]</w:t>
        </w:r>
      </w:hyperlink>
      <w:r>
        <w:t xml:space="preserve"> </w:t>
      </w:r>
      <w:hyperlink r:id="rId27">
        <w:r>
          <w:rPr>
            <w:color w:val="166477"/>
            <w:sz w:val="18"/>
          </w:rPr>
          <w:t>[R038]</w:t>
        </w:r>
      </w:hyperlink>
      <w:r>
        <w:t xml:space="preserve"> </w:t>
      </w:r>
      <w:hyperlink r:id="rId28">
        <w:r>
          <w:rPr>
            <w:color w:val="166477"/>
            <w:sz w:val="18"/>
          </w:rPr>
          <w:t>[R045]</w:t>
        </w:r>
      </w:hyperlink>
      <w:r>
        <w:t xml:space="preserve"> </w:t>
      </w:r>
      <w:hyperlink r:id="rId29">
        <w:r>
          <w:rPr>
            <w:color w:val="166477"/>
            <w:sz w:val="18"/>
          </w:rPr>
          <w:t>[R056]</w:t>
        </w:r>
      </w:hyperlink>
      <w:r/>
    </w:p>
    <w:p>
      <w:r>
        <w:t xml:space="preserve">Веб-поиск существенно конкретизировал обобщенную гимнологию DR: Huwīdagmān, Angad Rōšnān, BBB, Сермон о душе, Речь Живой Души, Сермон о Световом Нусе, гимны церковной иерархии, благословения, праздничные гимны, согдийские притчи и церковно-историческую прозу. Здесь существенно различать произведение, цикл и современный сборник разрозненных фрагментов. </w:t>
      </w:r>
      <w:hyperlink r:id="rId30">
        <w:r>
          <w:rPr>
            <w:color w:val="166477"/>
            <w:sz w:val="18"/>
          </w:rPr>
          <w:t>[R050]</w:t>
        </w:r>
      </w:hyperlink>
      <w:r>
        <w:t xml:space="preserve"> </w:t>
      </w:r>
      <w:hyperlink r:id="rId31">
        <w:r>
          <w:rPr>
            <w:color w:val="166477"/>
            <w:sz w:val="18"/>
          </w:rPr>
          <w:t>[R051]</w:t>
        </w:r>
      </w:hyperlink>
      <w:r>
        <w:t xml:space="preserve"> </w:t>
      </w:r>
      <w:hyperlink r:id="rId32">
        <w:r>
          <w:rPr>
            <w:color w:val="166477"/>
            <w:sz w:val="18"/>
          </w:rPr>
          <w:t>[R054]</w:t>
        </w:r>
      </w:hyperlink>
      <w:r>
        <w:t xml:space="preserve"> </w:t>
      </w:r>
      <w:hyperlink r:id="rId33">
        <w:r>
          <w:rPr>
            <w:color w:val="166477"/>
            <w:sz w:val="18"/>
          </w:rPr>
          <w:t>[R055]</w:t>
        </w:r>
      </w:hyperlink>
      <w:r>
        <w:t xml:space="preserve"> </w:t>
      </w:r>
      <w:hyperlink r:id="rId34">
        <w:r>
          <w:rPr>
            <w:color w:val="166477"/>
            <w:sz w:val="18"/>
          </w:rPr>
          <w:t>[R057]</w:t>
        </w:r>
      </w:hyperlink>
      <w:r>
        <w:t xml:space="preserve"> </w:t>
      </w:r>
      <w:hyperlink r:id="rId35">
        <w:r>
          <w:rPr>
            <w:color w:val="166477"/>
            <w:sz w:val="18"/>
          </w:rPr>
          <w:t>[R058]</w:t>
        </w:r>
      </w:hyperlink>
      <w:r>
        <w:t xml:space="preserve"> </w:t>
      </w:r>
      <w:hyperlink r:id="rId36">
        <w:r>
          <w:rPr>
            <w:color w:val="166477"/>
            <w:sz w:val="18"/>
          </w:rPr>
          <w:t>[R059]</w:t>
        </w:r>
      </w:hyperlink>
      <w:r>
        <w:t xml:space="preserve"> </w:t>
      </w:r>
      <w:hyperlink r:id="rId37">
        <w:r>
          <w:rPr>
            <w:color w:val="166477"/>
            <w:sz w:val="18"/>
          </w:rPr>
          <w:t>[R060]</w:t>
        </w:r>
      </w:hyperlink>
      <w:r>
        <w:t xml:space="preserve"> </w:t>
      </w:r>
      <w:hyperlink r:id="rId38">
        <w:r>
          <w:rPr>
            <w:color w:val="166477"/>
            <w:sz w:val="18"/>
          </w:rPr>
          <w:t>[R061]</w:t>
        </w:r>
      </w:hyperlink>
      <w:r>
        <w:t xml:space="preserve"> </w:t>
      </w:r>
      <w:hyperlink r:id="rId39">
        <w:r>
          <w:rPr>
            <w:color w:val="166477"/>
            <w:sz w:val="18"/>
          </w:rPr>
          <w:t>[R062]</w:t>
        </w:r>
      </w:hyperlink>
      <w:r>
        <w:t xml:space="preserve"> </w:t>
      </w:r>
      <w:hyperlink r:id="rId40">
        <w:r>
          <w:rPr>
            <w:color w:val="166477"/>
            <w:sz w:val="18"/>
          </w:rPr>
          <w:t>[R063]</w:t>
        </w:r>
      </w:hyperlink>
      <w:r>
        <w:t xml:space="preserve"> </w:t>
      </w:r>
      <w:hyperlink r:id="rId41">
        <w:r>
          <w:rPr>
            <w:color w:val="166477"/>
            <w:sz w:val="18"/>
          </w:rPr>
          <w:t>[R064]</w:t>
        </w:r>
      </w:hyperlink>
      <w:r>
        <w:t xml:space="preserve"> </w:t>
      </w:r>
      <w:hyperlink r:id="rId42">
        <w:r>
          <w:rPr>
            <w:color w:val="166477"/>
            <w:sz w:val="18"/>
          </w:rPr>
          <w:t>[R065]</w:t>
        </w:r>
      </w:hyperlink>
      <w:r>
        <w:t xml:space="preserve"> </w:t>
      </w:r>
      <w:hyperlink r:id="rId43">
        <w:r>
          <w:rPr>
            <w:color w:val="166477"/>
            <w:sz w:val="18"/>
          </w:rPr>
          <w:t>[R066]</w:t>
        </w:r>
      </w:hyperlink>
      <w:r/>
    </w:p>
    <w:p>
      <w:r>
        <w:t xml:space="preserve">Новые статьи Morano дают предметно ограниченные открытые издания среднеперсидских и согдийских фрагментов. Атрибуция So14255/14256 Книге гигантов сохранена именно как предложение автора. В TITUS текст M6120 I назван «From another text on the Great Fire»: ссылка на Kawān F не превращена в бесспорную принадлежность к Giants. </w:t>
      </w:r>
      <w:hyperlink r:id="rId44">
        <w:r>
          <w:rPr>
            <w:color w:val="166477"/>
            <w:sz w:val="18"/>
          </w:rPr>
          <w:t>[R020]</w:t>
        </w:r>
      </w:hyperlink>
      <w:r>
        <w:t xml:space="preserve"> </w:t>
      </w:r>
      <w:hyperlink r:id="rId45">
        <w:r>
          <w:rPr>
            <w:color w:val="166477"/>
            <w:sz w:val="18"/>
          </w:rPr>
          <w:t>[R021]</w:t>
        </w:r>
      </w:hyperlink>
      <w:r>
        <w:t xml:space="preserve"> </w:t>
      </w:r>
      <w:hyperlink r:id="rId46">
        <w:r>
          <w:rPr>
            <w:color w:val="166477"/>
            <w:sz w:val="18"/>
          </w:rPr>
          <w:t>[R049]</w:t>
        </w:r>
      </w:hyperlink>
      <w:r/>
    </w:p>
    <w:p>
      <w:pPr>
        <w:pStyle w:val="Heading2"/>
      </w:pPr>
      <w:r>
        <w:t>Поиск назад: конкретные входящие тексты</w:t>
      </w:r>
    </w:p>
    <w:p>
      <w:r>
        <w:t xml:space="preserve">Главный ранний контур — енохическая традиция. Разведены манихейская переработка Книги гигантов, кумранский арамейский свидетель 4Q203 и 1 Енох. Они связаны текстовой генеалогией и мотивами Стражей/гигантов, но не являются одной книгой. Академический труд Marro дает развернутое сопоставление арамейских и турфанских фрагментов; карточка IAA сохраняет рукописную идентичность; перевод Charles 1917 — практичный старый английский вход к 1 Еноху. </w:t>
      </w:r>
      <w:hyperlink r:id="rId47">
        <w:r>
          <w:rPr>
            <w:color w:val="166477"/>
            <w:sz w:val="18"/>
          </w:rPr>
          <w:t>[R028]</w:t>
        </w:r>
      </w:hyperlink>
      <w:r>
        <w:t xml:space="preserve"> </w:t>
      </w:r>
      <w:hyperlink r:id="rId48">
        <w:r>
          <w:rPr>
            <w:color w:val="166477"/>
            <w:sz w:val="18"/>
          </w:rPr>
          <w:t>[R029]</w:t>
        </w:r>
      </w:hyperlink>
      <w:r>
        <w:t xml:space="preserve"> </w:t>
      </w:r>
      <w:hyperlink r:id="rId49">
        <w:r>
          <w:rPr>
            <w:color w:val="166477"/>
            <w:sz w:val="18"/>
          </w:rPr>
          <w:t>[R078]</w:t>
        </w:r>
      </w:hyperlink>
      <w:r/>
    </w:p>
    <w:p>
      <w:r>
        <w:t xml:space="preserve">Библейский материал включен не как «вся Библия — источник манихейства», а как три специализированных корпуса цитат и аллюзий: Ветхий Завет, Евангелия, Деяния/Послания/Апокалипсис. Такой вход позволяет обнаруживать именно засвидетельствованные заимствования. Предполагаемые линии Ахи́кара, индийских и эзопических притч оставлены в G027 для текстового сопоставления, а не объявлены доказанным влиянием. </w:t>
      </w:r>
      <w:hyperlink r:id="rId50">
        <w:r>
          <w:rPr>
            <w:color w:val="166477"/>
            <w:sz w:val="18"/>
          </w:rPr>
          <w:t>[R030]</w:t>
        </w:r>
      </w:hyperlink>
      <w:r>
        <w:t xml:space="preserve"> </w:t>
      </w:r>
      <w:hyperlink r:id="rId51">
        <w:r>
          <w:rPr>
            <w:color w:val="166477"/>
            <w:sz w:val="18"/>
          </w:rPr>
          <w:t>[R031]</w:t>
        </w:r>
      </w:hyperlink>
      <w:r>
        <w:t xml:space="preserve"> </w:t>
      </w:r>
      <w:hyperlink r:id="rId52">
        <w:r>
          <w:rPr>
            <w:color w:val="166477"/>
            <w:sz w:val="18"/>
          </w:rPr>
          <w:t>[R032]</w:t>
        </w:r>
      </w:hyperlink>
      <w:r>
        <w:t xml:space="preserve"> </w:t>
      </w:r>
      <w:hyperlink r:id="rId53">
        <w:r>
          <w:rPr>
            <w:color w:val="166477"/>
            <w:sz w:val="18"/>
          </w:rPr>
          <w:t>[R008]</w:t>
        </w:r>
      </w:hyperlink>
      <w:r/>
    </w:p>
    <w:p>
      <w:pPr>
        <w:pStyle w:val="Heading2"/>
      </w:pPr>
      <w:r>
        <w:t>Поиск вперед: сохранение, комментарий и поздняя передача</w:t>
      </w:r>
    </w:p>
    <w:p>
      <w:r>
        <w:t xml:space="preserve">Продолжение прослежено до южнокитайских ритуальных книг: Xingfuzu qingdan ke и Moni Guangfo. Их релевантность не основана на общем названии «религия Света»: публикации показывают связь с китайскими гимнами и среднеиранскими формами. Современная копия, реконструируемый ритуал и ранний цитируемый материал датируются отдельно. Критическое издание Moni Guangfo 2021 г. сохраняет позднюю передачу, выходящую за XIV век; это не перенос границ мастер-строки. </w:t>
      </w:r>
      <w:hyperlink r:id="rId54">
        <w:r>
          <w:rPr>
            <w:color w:val="166477"/>
            <w:sz w:val="18"/>
          </w:rPr>
          <w:t>[R027]</w:t>
        </w:r>
      </w:hyperlink>
      <w:r>
        <w:t xml:space="preserve"> </w:t>
      </w:r>
      <w:hyperlink r:id="rId13">
        <w:r>
          <w:rPr>
            <w:color w:val="166477"/>
            <w:sz w:val="18"/>
          </w:rPr>
          <w:t>[R068]</w:t>
        </w:r>
      </w:hyperlink>
      <w:r/>
    </w:p>
    <w:p>
      <w:r>
        <w:t xml:space="preserve">Визуальная передача до позднесредневекового Китая отражена в каталогах Цюаньчжоу/Цзиньцзяна и в идентификационной монографии Mani’s Pictures. Они нужны для обнаружения объектов, но не доказывают, что каждый поздний рисунок является копией авторского Ardahang. Персидские свидетельства о книге и художнике Мани вынесены в G026: связь подтверждена специализированной навигацией, а отдельные первичные пассажи еще не обработаны. </w:t>
      </w:r>
      <w:hyperlink r:id="rId55">
        <w:r>
          <w:rPr>
            <w:color w:val="166477"/>
            <w:sz w:val="18"/>
          </w:rPr>
          <w:t>[R019]</w:t>
        </w:r>
      </w:hyperlink>
      <w:r>
        <w:t xml:space="preserve"> </w:t>
      </w:r>
      <w:hyperlink r:id="rId56">
        <w:r>
          <w:rPr>
            <w:color w:val="166477"/>
            <w:sz w:val="18"/>
          </w:rPr>
          <w:t>[R034]</w:t>
        </w:r>
      </w:hyperlink>
      <w:r>
        <w:t xml:space="preserve"> </w:t>
      </w:r>
      <w:hyperlink r:id="rId57">
        <w:r>
          <w:rPr>
            <w:color w:val="166477"/>
            <w:sz w:val="18"/>
          </w:rPr>
          <w:t>[R067]</w:t>
        </w:r>
      </w:hyperlink>
      <w:r>
        <w:t xml:space="preserve"> </w:t>
      </w:r>
      <w:hyperlink r:id="rId58">
        <w:r>
          <w:rPr>
            <w:color w:val="166477"/>
            <w:sz w:val="18"/>
          </w:rPr>
          <w:t>[R079]</w:t>
        </w:r>
      </w:hyperlink>
      <w:r/>
    </w:p>
    <w:p>
      <w:r>
        <w:t xml:space="preserve">Внешнее сохранение представлено Фихристом, аль-Бируни, Ефремом, Августином и Деяниями Архелая. Фавст доступен через цитирование в опровержении Августина; ранняя переписка — также через многоязычное собрание Gardner 2026. Не все эти тексты лежат за формальными датами строки: relevance обозначает функцию связи, а не механический признак «позже XI века». </w:t>
      </w:r>
      <w:hyperlink r:id="rId22">
        <w:r>
          <w:rPr>
            <w:color w:val="166477"/>
            <w:sz w:val="18"/>
          </w:rPr>
          <w:t>[R041]</w:t>
        </w:r>
      </w:hyperlink>
      <w:r>
        <w:t xml:space="preserve"> </w:t>
      </w:r>
      <w:hyperlink r:id="rId59">
        <w:r>
          <w:rPr>
            <w:color w:val="166477"/>
            <w:sz w:val="18"/>
          </w:rPr>
          <w:t>[R043]</w:t>
        </w:r>
      </w:hyperlink>
      <w:r>
        <w:t xml:space="preserve"> </w:t>
      </w:r>
      <w:hyperlink r:id="rId21">
        <w:r>
          <w:rPr>
            <w:color w:val="166477"/>
            <w:sz w:val="18"/>
          </w:rPr>
          <w:t>[R047]</w:t>
        </w:r>
      </w:hyperlink>
      <w:r>
        <w:t xml:space="preserve"> </w:t>
      </w:r>
      <w:hyperlink r:id="rId60">
        <w:r>
          <w:rPr>
            <w:color w:val="166477"/>
            <w:sz w:val="18"/>
          </w:rPr>
          <w:t>[R071]</w:t>
        </w:r>
      </w:hyperlink>
      <w:r>
        <w:t xml:space="preserve"> </w:t>
      </w:r>
      <w:hyperlink r:id="rId61">
        <w:r>
          <w:rPr>
            <w:color w:val="166477"/>
            <w:sz w:val="18"/>
          </w:rPr>
          <w:t>[R073]</w:t>
        </w:r>
      </w:hyperlink>
      <w:r>
        <w:t xml:space="preserve"> </w:t>
      </w:r>
      <w:hyperlink r:id="rId62">
        <w:r>
          <w:rPr>
            <w:color w:val="166477"/>
            <w:sz w:val="18"/>
          </w:rPr>
          <w:t>[R074]</w:t>
        </w:r>
      </w:hyperlink>
      <w:r>
        <w:t xml:space="preserve"> </w:t>
      </w:r>
      <w:hyperlink r:id="rId63">
        <w:r>
          <w:rPr>
            <w:color w:val="166477"/>
            <w:sz w:val="18"/>
          </w:rPr>
          <w:t>[R075]</w:t>
        </w:r>
      </w:hyperlink>
      <w:r>
        <w:t xml:space="preserve"> </w:t>
      </w:r>
      <w:hyperlink r:id="rId64">
        <w:r>
          <w:rPr>
            <w:color w:val="166477"/>
            <w:sz w:val="18"/>
          </w:rPr>
          <w:t>[R076]</w:t>
        </w:r>
      </w:hyperlink>
      <w:r/>
    </w:p>
    <w:p>
      <w:r>
        <w:t>Распределение 79 записей: core — 24; same_corpus_or_tradition — 23; antecedent — 6; continuation — 3; commentary_or_reception — 3; transmission_or_preservation — 12; supporting — 3; infrastructure — 3; secondary_navigation — 2. Отдельного boundary-объекта не выделено: сильные межпериодные связи сохранены в содержательных категориях, а не понижены из-за даты.</w:t>
      </w:r>
    </w:p>
    <w:p>
      <w:pPr>
        <w:pStyle w:val="Heading1"/>
      </w:pPr>
      <w:r>
        <w:t>3. Лучшие пути доступа</w:t>
      </w:r>
    </w:p>
    <w:p>
      <w:pPr>
        <w:pStyle w:val="Heading2"/>
      </w:pPr>
      <w:r>
        <w:t>Книги Мани: оригиналы, фрагменты и современная реконструкция</w:t>
      </w:r>
    </w:p>
    <w:p>
      <w:r>
        <w:t xml:space="preserve">Šābuhragān: для знакомства с рукописью удобен DTA — M470a с присоединенным M497b и вероятностно относимый M98/M99. Для чтения среднеперсидского текста — TITUS, но выборка имеет пропуски, в том числе строк 330–425. Для научной работы нужен MacKenzie, «Mani’s Šābuhragān» (1979), с издательским preview и институциональным/платным доступом. Часть II и полный конкорданс остаются G006. Ни один из этих входов не дает открыто лицензированного полного авторского текста. </w:t>
      </w:r>
      <w:hyperlink r:id="rId16">
        <w:r>
          <w:rPr>
            <w:color w:val="166477"/>
            <w:sz w:val="18"/>
          </w:rPr>
          <w:t>[R002]</w:t>
        </w:r>
      </w:hyperlink>
      <w:r>
        <w:t xml:space="preserve"> </w:t>
      </w:r>
      <w:hyperlink r:id="rId17">
        <w:r>
          <w:rPr>
            <w:color w:val="166477"/>
            <w:sz w:val="18"/>
          </w:rPr>
          <w:t>[R003]</w:t>
        </w:r>
      </w:hyperlink>
      <w:r>
        <w:t xml:space="preserve"> </w:t>
      </w:r>
      <w:hyperlink r:id="rId18">
        <w:r>
          <w:rPr>
            <w:color w:val="166477"/>
            <w:sz w:val="18"/>
          </w:rPr>
          <w:t>[R036]</w:t>
        </w:r>
      </w:hyperlink>
      <w:r>
        <w:t xml:space="preserve"> </w:t>
      </w:r>
      <w:hyperlink r:id="rId19">
        <w:r>
          <w:rPr>
            <w:color w:val="166477"/>
            <w:sz w:val="18"/>
          </w:rPr>
          <w:t>[R048]</w:t>
        </w:r>
      </w:hyperlink>
      <w:r/>
    </w:p>
    <w:p>
      <w:r>
        <w:t xml:space="preserve">Евангелие: лучший обнаруженный современный специализированный ориентир — Mani’s Living Gospel and the Ewangelyōnīg Hymns, но это предзаказ, а не уже читаемая книга. Аналогично Opuscula Manichaica содержит полезные переиздания и редкий бактрийский материал, однако на проверенной карточке все еще стоит Forthcoming Sep/26. Эти две записи сохранены, чтобы не потерять будущие пути, но исключены из представления о доступном полном тексте. </w:t>
      </w:r>
      <w:hyperlink r:id="rId15">
        <w:r>
          <w:rPr>
            <w:color w:val="166477"/>
            <w:sz w:val="18"/>
          </w:rPr>
          <w:t>[R007]</w:t>
        </w:r>
      </w:hyperlink>
      <w:r>
        <w:t xml:space="preserve"> </w:t>
      </w:r>
      <w:hyperlink r:id="rId53">
        <w:r>
          <w:rPr>
            <w:color w:val="166477"/>
            <w:sz w:val="18"/>
          </w:rPr>
          <w:t>[R008]</w:t>
        </w:r>
      </w:hyperlink>
      <w:r/>
    </w:p>
    <w:p>
      <w:r>
        <w:t xml:space="preserve">Послания: для самостоятельного чтения сохранившихся коптских листьев наиболее свободен MSI-deposit Berlin P.15998 в Гамбурге. Файлы лицензированы CC BY 4.0; представлены raw/processed-изображения и документация, а не готовый полный текст. Общий объем около 384 GB делает точечную загрузку обработанных снимков практичнее полного скачивания. Полный архив в этом исследовании не загружался. </w:t>
      </w:r>
      <w:hyperlink r:id="rId11">
        <w:r>
          <w:rPr>
            <w:color w:val="166477"/>
            <w:sz w:val="18"/>
          </w:rPr>
          <w:t>[R044]</w:t>
        </w:r>
      </w:hyperlink>
      <w:r/>
    </w:p>
    <w:p>
      <w:r>
        <w:t xml:space="preserve">Научные тексты нужно брать отдельно: Mani’s Epistles (Gardner, 2022) дает коптско-английскую редакцию, Letters of Mani (2026) — более широкий многоязычный набор свидетельств и переводов. Последний, в отличие от двух предзаказов выше, имеет уже состоявшуюся издательскую публикацию в мае/июне 2026 г. Лицензия MSI не распространяется на эти книги. </w:t>
      </w:r>
      <w:hyperlink r:id="rId20">
        <w:r>
          <w:rPr>
            <w:color w:val="166477"/>
            <w:sz w:val="18"/>
          </w:rPr>
          <w:t>[R046]</w:t>
        </w:r>
      </w:hyperlink>
      <w:r>
        <w:t xml:space="preserve"> </w:t>
      </w:r>
      <w:hyperlink r:id="rId21">
        <w:r>
          <w:rPr>
            <w:color w:val="166477"/>
            <w:sz w:val="18"/>
          </w:rPr>
          <w:t>[R047]</w:t>
        </w:r>
      </w:hyperlink>
      <w:r/>
    </w:p>
    <w:p>
      <w:r>
        <w:t xml:space="preserve">Книга гигантов: свободно скачивается большой академический PDF Marro, охватывающий арамейский и турфанский материал, но открытая лицензия на его повторное размещение не установлена. Более свободная небольшая единица — авторское издание So14255/14256 у Morano; его предложенную книжную атрибуцию следует проверять независимо. Кумранский 4Q203 сохранен как официальный каталогический путь, без обещания полученного полного набора снимков. </w:t>
      </w:r>
      <w:hyperlink r:id="rId47">
        <w:r>
          <w:rPr>
            <w:color w:val="166477"/>
            <w:sz w:val="18"/>
          </w:rPr>
          <w:t>[R028]</w:t>
        </w:r>
      </w:hyperlink>
      <w:r>
        <w:t xml:space="preserve"> </w:t>
      </w:r>
      <w:hyperlink r:id="rId45">
        <w:r>
          <w:rPr>
            <w:color w:val="166477"/>
            <w:sz w:val="18"/>
          </w:rPr>
          <w:t>[R021]</w:t>
        </w:r>
      </w:hyperlink>
      <w:r>
        <w:t xml:space="preserve"> </w:t>
      </w:r>
      <w:hyperlink r:id="rId48">
        <w:r>
          <w:rPr>
            <w:color w:val="166477"/>
            <w:sz w:val="18"/>
          </w:rPr>
          <w:t>[R029]</w:t>
        </w:r>
      </w:hyperlink>
      <w:r/>
    </w:p>
    <w:p>
      <w:pPr>
        <w:pStyle w:val="Heading2"/>
      </w:pPr>
      <w:r>
        <w:t>Коптско-греческий контрольный корпус</w:t>
      </w:r>
    </w:p>
    <w:p>
      <w:r>
        <w:t xml:space="preserve">Кёльнский кодекс: официальный объект TM64574 / P.Köln inv.4780 — первый выбор для оригинального свидетеля. CC BY 4.0 прямо относится к метаданным и публичным изображениям. Это лучшая проверенная основа для самостоятельной греческой транскрипции и перевода доступных мест. Изображения парных страниц нельзя читать по простому порядку файлов; исходная биография не сохранилась целиком. </w:t>
      </w:r>
      <w:hyperlink r:id="rId14">
        <w:r>
          <w:rPr>
            <w:color w:val="166477"/>
            <w:sz w:val="18"/>
          </w:rPr>
          <w:t>[R001]</w:t>
        </w:r>
      </w:hyperlink>
      <w:r/>
    </w:p>
    <w:p>
      <w:r>
        <w:t xml:space="preserve">Kephalaia: для Учителя подтверждено издание Gardner 1995; для Дублинского кодекса — The Chapters of the Wisdom of My Lord Mani, Part III, 2018. Однако найденные здесь записи не открывают полные файлы. Русский перевод Е. Б. Смагиной 1998 надежно идентифицирован академической рецензией ИВР РАН; сама рецензия доступна, книга — нет. Это библиографические опоры для библиотечного поиска, не обещание выполненной цифровой выдачи. </w:t>
      </w:r>
      <w:hyperlink r:id="rId29">
        <w:r>
          <w:rPr>
            <w:color w:val="166477"/>
            <w:sz w:val="18"/>
          </w:rPr>
          <w:t>[R056]</w:t>
        </w:r>
      </w:hyperlink>
      <w:r>
        <w:t xml:space="preserve"> </w:t>
      </w:r>
      <w:hyperlink r:id="rId27">
        <w:r>
          <w:rPr>
            <w:color w:val="166477"/>
            <w:sz w:val="18"/>
          </w:rPr>
          <w:t>[R038]</w:t>
        </w:r>
      </w:hyperlink>
      <w:r>
        <w:t xml:space="preserve"> </w:t>
      </w:r>
      <w:hyperlink r:id="rId65">
        <w:r>
          <w:rPr>
            <w:color w:val="166477"/>
            <w:sz w:val="18"/>
          </w:rPr>
          <w:t>[R072]</w:t>
        </w:r>
      </w:hyperlink>
      <w:r/>
    </w:p>
    <w:p>
      <w:r>
        <w:t xml:space="preserve">Псалтирь и Гомилии: современные тома CFM являются наиболее ясными научными входами. Псалмы Бемы, Гераклида и первая часть Псалтири имеют разные объемы; издание Richter 2022 охватывает лишь обозначенный участок большого кодекса. Allberry 1938 в найденной карточке Internet Archive имеет access-restricted-item и не предлагает пригодных файлов; обычная выдача не подтверждена. Для Гомилий сохранена официальная покупка издания 2006. </w:t>
      </w:r>
      <w:hyperlink r:id="rId23">
        <w:r>
          <w:rPr>
            <w:color w:val="166477"/>
            <w:sz w:val="18"/>
          </w:rPr>
          <w:t>[R011]</w:t>
        </w:r>
      </w:hyperlink>
      <w:r>
        <w:t xml:space="preserve"> </w:t>
      </w:r>
      <w:hyperlink r:id="rId24">
        <w:r>
          <w:rPr>
            <w:color w:val="166477"/>
            <w:sz w:val="18"/>
          </w:rPr>
          <w:t>[R012]</w:t>
        </w:r>
      </w:hyperlink>
      <w:r>
        <w:t xml:space="preserve"> </w:t>
      </w:r>
      <w:hyperlink r:id="rId25">
        <w:r>
          <w:rPr>
            <w:color w:val="166477"/>
            <w:sz w:val="18"/>
          </w:rPr>
          <w:t>[R013]</w:t>
        </w:r>
      </w:hyperlink>
      <w:r>
        <w:t xml:space="preserve"> </w:t>
      </w:r>
      <w:hyperlink r:id="rId26">
        <w:r>
          <w:rPr>
            <w:color w:val="166477"/>
            <w:sz w:val="18"/>
          </w:rPr>
          <w:t>[R014]</w:t>
        </w:r>
      </w:hyperlink>
      <w:r>
        <w:t xml:space="preserve"> </w:t>
      </w:r>
      <w:hyperlink r:id="rId66">
        <w:r>
          <w:rPr>
            <w:color w:val="166477"/>
            <w:sz w:val="18"/>
          </w:rPr>
          <w:t>[R039]</w:t>
        </w:r>
      </w:hyperlink>
      <w:r/>
    </w:p>
    <w:p>
      <w:pPr>
        <w:pStyle w:val="Heading2"/>
      </w:pPr>
      <w:r>
        <w:t>Иранская, согдийская и уйгурская ветви</w:t>
      </w:r>
    </w:p>
    <w:p>
      <w:r>
        <w:t xml:space="preserve">Лучшее бесплатное чтение конкретных оригинальных текстов дают страницы TITUS: BBB, Huwīdagmān, Angad Rōšnān, письмо сановника к Мар Аммо и эсхатологический M6120 I. Это транслитерации/транскрипции с редакционной привязкой, но прямой запрет перепубликации без разрешения делает их read-only-входами для ToS. Полный свободный корпус нельзя выводить из наличия этих страниц. </w:t>
      </w:r>
      <w:hyperlink r:id="rId46">
        <w:r>
          <w:rPr>
            <w:color w:val="166477"/>
            <w:sz w:val="18"/>
          </w:rPr>
          <w:t>[R049]</w:t>
        </w:r>
      </w:hyperlink>
      <w:r>
        <w:t xml:space="preserve"> </w:t>
      </w:r>
      <w:hyperlink r:id="rId30">
        <w:r>
          <w:rPr>
            <w:color w:val="166477"/>
            <w:sz w:val="18"/>
          </w:rPr>
          <w:t>[R050]</w:t>
        </w:r>
      </w:hyperlink>
      <w:r>
        <w:t xml:space="preserve"> </w:t>
      </w:r>
      <w:hyperlink r:id="rId31">
        <w:r>
          <w:rPr>
            <w:color w:val="166477"/>
            <w:sz w:val="18"/>
          </w:rPr>
          <w:t>[R051]</w:t>
        </w:r>
      </w:hyperlink>
      <w:r>
        <w:t xml:space="preserve"> </w:t>
      </w:r>
      <w:hyperlink r:id="rId67">
        <w:r>
          <w:rPr>
            <w:color w:val="166477"/>
            <w:sz w:val="18"/>
          </w:rPr>
          <w:t>[R053]</w:t>
        </w:r>
      </w:hyperlink>
      <w:r>
        <w:t xml:space="preserve"> </w:t>
      </w:r>
      <w:hyperlink r:id="rId32">
        <w:r>
          <w:rPr>
            <w:color w:val="166477"/>
            <w:sz w:val="18"/>
          </w:rPr>
          <w:t>[R054]</w:t>
        </w:r>
      </w:hyperlink>
      <w:r/>
    </w:p>
    <w:p>
      <w:r>
        <w:t xml:space="preserve">Для ограниченного открытого текстового пилота сильнее подходят новые статьи Morano 2024 и 2026: CC BY-NC 4.0 на собственный авторский слой. Транскрипция, перевод и комментарий отделены от музейных фотографий и сторонних цитат. Относительно этой явно очерченной области возможны некоммерческие производные тексты, индексация и перевод, с атрибуцией и сохранением статуса конъектур. </w:t>
      </w:r>
      <w:hyperlink r:id="rId44">
        <w:r>
          <w:rPr>
            <w:color w:val="166477"/>
            <w:sz w:val="18"/>
          </w:rPr>
          <w:t>[R020]</w:t>
        </w:r>
      </w:hyperlink>
      <w:r>
        <w:t xml:space="preserve"> </w:t>
      </w:r>
      <w:hyperlink r:id="rId45">
        <w:r>
          <w:rPr>
            <w:color w:val="166477"/>
            <w:sz w:val="18"/>
          </w:rPr>
          <w:t>[R021]</w:t>
        </w:r>
      </w:hyperlink>
      <w:r/>
    </w:p>
    <w:p>
      <w:r>
        <w:t xml:space="preserve">Лучшие специальные научные издания — BBB 2023, Sermon on the Soul, Rede der lebendigen Seele, Sermon vom Licht-Nous, Miscellaneous Hymns и соответствующие тома Berliner Turfantexte. Речь Живой Души и Сермон о душе — разные произведения. Книги, обозначенные Out of Print или Temporarily Out of Stock, оставлены как каталожные входы, а не ложные активные покупки. </w:t>
      </w:r>
      <w:hyperlink r:id="rId68">
        <w:r>
          <w:rPr>
            <w:color w:val="166477"/>
            <w:sz w:val="18"/>
          </w:rPr>
          <w:t>[R009]</w:t>
        </w:r>
      </w:hyperlink>
      <w:r>
        <w:t xml:space="preserve"> </w:t>
      </w:r>
      <w:hyperlink r:id="rId33">
        <w:r>
          <w:rPr>
            <w:color w:val="166477"/>
            <w:sz w:val="18"/>
          </w:rPr>
          <w:t>[R055]</w:t>
        </w:r>
      </w:hyperlink>
      <w:r>
        <w:t xml:space="preserve"> </w:t>
      </w:r>
      <w:hyperlink r:id="rId35">
        <w:r>
          <w:rPr>
            <w:color w:val="166477"/>
            <w:sz w:val="18"/>
          </w:rPr>
          <w:t>[R058]</w:t>
        </w:r>
      </w:hyperlink>
      <w:r>
        <w:t xml:space="preserve"> </w:t>
      </w:r>
      <w:hyperlink r:id="rId36">
        <w:r>
          <w:rPr>
            <w:color w:val="166477"/>
            <w:sz w:val="18"/>
          </w:rPr>
          <w:t>[R059]</w:t>
        </w:r>
      </w:hyperlink>
      <w:r>
        <w:t xml:space="preserve"> </w:t>
      </w:r>
      <w:hyperlink r:id="rId38">
        <w:r>
          <w:rPr>
            <w:color w:val="166477"/>
            <w:sz w:val="18"/>
          </w:rPr>
          <w:t>[R061]</w:t>
        </w:r>
      </w:hyperlink>
      <w:r>
        <w:t xml:space="preserve"> </w:t>
      </w:r>
      <w:hyperlink r:id="rId34">
        <w:r>
          <w:rPr>
            <w:color w:val="166477"/>
            <w:sz w:val="18"/>
          </w:rPr>
          <w:t>[R057]</w:t>
        </w:r>
      </w:hyperlink>
      <w:r>
        <w:t xml:space="preserve"> </w:t>
      </w:r>
      <w:hyperlink r:id="rId37">
        <w:r>
          <w:rPr>
            <w:color w:val="166477"/>
            <w:sz w:val="18"/>
          </w:rPr>
          <w:t>[R060]</w:t>
        </w:r>
      </w:hyperlink>
      <w:r>
        <w:t xml:space="preserve"> </w:t>
      </w:r>
      <w:hyperlink r:id="rId39">
        <w:r>
          <w:rPr>
            <w:color w:val="166477"/>
            <w:sz w:val="18"/>
          </w:rPr>
          <w:t>[R062]</w:t>
        </w:r>
      </w:hyperlink>
      <w:r>
        <w:t xml:space="preserve"> </w:t>
      </w:r>
      <w:hyperlink r:id="rId40">
        <w:r>
          <w:rPr>
            <w:color w:val="166477"/>
            <w:sz w:val="18"/>
          </w:rPr>
          <w:t>[R063]</w:t>
        </w:r>
      </w:hyperlink>
      <w:r>
        <w:t xml:space="preserve"> </w:t>
      </w:r>
      <w:hyperlink r:id="rId41">
        <w:r>
          <w:rPr>
            <w:color w:val="166477"/>
            <w:sz w:val="18"/>
          </w:rPr>
          <w:t>[R064]</w:t>
        </w:r>
      </w:hyperlink>
      <w:r>
        <w:t xml:space="preserve"> </w:t>
      </w:r>
      <w:hyperlink r:id="rId42">
        <w:r>
          <w:rPr>
            <w:color w:val="166477"/>
            <w:sz w:val="18"/>
          </w:rPr>
          <w:t>[R065]</w:t>
        </w:r>
      </w:hyperlink>
      <w:r>
        <w:t xml:space="preserve"> </w:t>
      </w:r>
      <w:hyperlink r:id="rId43">
        <w:r>
          <w:rPr>
            <w:color w:val="166477"/>
            <w:sz w:val="18"/>
          </w:rPr>
          <w:t>[R066]</w:t>
        </w:r>
      </w:hyperlink>
      <w:r/>
    </w:p>
    <w:p>
      <w:r>
        <w:t xml:space="preserve">Xuastvanift: наиболее практичная бесплатная выборка — eDbMT I.3 (2019), с берлинским кодексом, лондонским свитком и научными сопоставлениями. Она не является общей открытой лицензией: использование ряда материалов основано на конкретных разрешениях составителю; текст Clark из-за отсутствия разрешения не включен. Есть проблемы наследуемых шрифтов, поэтому извлеченный текст нельзя считать чистым Unicode-корпусом без проверки. </w:t>
      </w:r>
      <w:hyperlink r:id="rId69">
        <w:r>
          <w:rPr>
            <w:color w:val="166477"/>
            <w:sz w:val="18"/>
          </w:rPr>
          <w:t>[R052]</w:t>
        </w:r>
      </w:hyperlink>
      <w:r/>
    </w:p>
    <w:p>
      <w:r>
        <w:t xml:space="preserve">Русский вход — издание Л. Ю. Тугушевой 2008: проверены издательский PDF-фрагмент и покупка. Доступный preview не содержит всего перевода и всех факсимиле. Для современной английской научной работы полезны литургический и церковный тома Larry Clark; свидетели Санкт-Петербурга, Лондона и Берлина требуют отдельного факсимильного прохода. </w:t>
      </w:r>
      <w:hyperlink r:id="rId70">
        <w:r>
          <w:rPr>
            <w:color w:val="166477"/>
            <w:sz w:val="18"/>
          </w:rPr>
          <w:t>[R025]</w:t>
        </w:r>
      </w:hyperlink>
      <w:r>
        <w:t xml:space="preserve"> </w:t>
      </w:r>
      <w:hyperlink r:id="rId71">
        <w:r>
          <w:rPr>
            <w:color w:val="166477"/>
            <w:sz w:val="18"/>
          </w:rPr>
          <w:t>[R015]</w:t>
        </w:r>
      </w:hyperlink>
      <w:r>
        <w:t xml:space="preserve"> </w:t>
      </w:r>
      <w:hyperlink r:id="rId72">
        <w:r>
          <w:rPr>
            <w:color w:val="166477"/>
            <w:sz w:val="18"/>
          </w:rPr>
          <w:t>[R016]</w:t>
        </w:r>
      </w:hyperlink>
      <w:r/>
    </w:p>
    <w:p>
      <w:pPr>
        <w:pStyle w:val="Heading2"/>
      </w:pPr>
      <w:r>
        <w:t>Китайские тексты и поздняя ритуальная передача</w:t>
      </w:r>
    </w:p>
    <w:p>
      <w:r>
        <w:t xml:space="preserve">Для трех главных китайских произведений лучший машиночитаемый вход — исходные XML CBETA: T54n2140, T54n2141A и T54n2141B. Проверены реальные raw-файлы, а не только JavaScript-оболочка читателя. Внутри имеются издание, номера строк и лицензионное уведомление. Три записи соответствуют трем текстам, а не произвольному дроблению одного архива. </w:t>
      </w:r>
      <w:hyperlink r:id="rId73">
        <w:r>
          <w:rPr>
            <w:color w:val="166477"/>
            <w:sz w:val="18"/>
          </w:rPr>
          <w:t>[R022]</w:t>
        </w:r>
      </w:hyperlink>
      <w:r>
        <w:t xml:space="preserve"> </w:t>
      </w:r>
      <w:hyperlink r:id="rId74">
        <w:r>
          <w:rPr>
            <w:color w:val="166477"/>
            <w:sz w:val="18"/>
          </w:rPr>
          <w:t>[R023]</w:t>
        </w:r>
      </w:hyperlink>
      <w:r>
        <w:t xml:space="preserve"> </w:t>
      </w:r>
      <w:hyperlink r:id="rId75">
        <w:r>
          <w:rPr>
            <w:color w:val="166477"/>
            <w:sz w:val="18"/>
          </w:rPr>
          <w:t>[R024]</w:t>
        </w:r>
      </w:hyperlink>
      <w:r/>
    </w:p>
    <w:p>
      <w:r>
        <w:t xml:space="preserve">CBETA дает наиболее практически полезный открытый китайский текстовый слой: CC BY-NC-SA 4.0, некоммерческое использование, атрибуция и сохранение уведомлений. Дополнительные требования к сохранению исходного текста требуют ручного решения для исправленного издания или собственного перевода. Полный XML не означает отсутствие лакун в древнем произведении. Для Tractatus Sinicus также сохранено защищенное современное издание 2017. </w:t>
      </w:r>
      <w:hyperlink r:id="rId73">
        <w:r>
          <w:rPr>
            <w:color w:val="166477"/>
            <w:sz w:val="18"/>
          </w:rPr>
          <w:t>[R022]</w:t>
        </w:r>
      </w:hyperlink>
      <w:r>
        <w:t xml:space="preserve"> </w:t>
      </w:r>
      <w:hyperlink r:id="rId74">
        <w:r>
          <w:rPr>
            <w:color w:val="166477"/>
            <w:sz w:val="18"/>
          </w:rPr>
          <w:t>[R023]</w:t>
        </w:r>
      </w:hyperlink>
      <w:r>
        <w:t xml:space="preserve"> </w:t>
      </w:r>
      <w:hyperlink r:id="rId75">
        <w:r>
          <w:rPr>
            <w:color w:val="166477"/>
            <w:sz w:val="18"/>
          </w:rPr>
          <w:t>[R024]</w:t>
        </w:r>
      </w:hyperlink>
      <w:r>
        <w:t xml:space="preserve"> </w:t>
      </w:r>
      <w:hyperlink r:id="rId76">
        <w:r>
          <w:rPr>
            <w:color w:val="166477"/>
            <w:sz w:val="18"/>
          </w:rPr>
          <w:t>[R010]</w:t>
        </w:r>
      </w:hyperlink>
      <w:r/>
    </w:p>
    <w:p>
      <w:r>
        <w:t xml:space="preserve">Для оригинального китайского письма подтвержден один снимок recto Pelliot chinois 3884 на Wikimedia Commons; на нем виден шифр. Это не весь Компендиум. Public Domain Mark / PD-Art не названы лицензией и не превращены в безусловное разрешение зеркалировать Gallica: исходная карточка BnF в инструменте не открылась, а юрисдикционные ограничения отмечены. </w:t>
      </w:r>
      <w:hyperlink r:id="rId77">
        <w:r>
          <w:rPr>
            <w:color w:val="166477"/>
            <w:sz w:val="18"/>
          </w:rPr>
          <w:t>[R026]</w:t>
        </w:r>
      </w:hyperlink>
      <w:r/>
    </w:p>
    <w:p>
      <w:r>
        <w:t xml:space="preserve">Сяпу: лучший найденный бесплатный научный текст Moni Guangfo — критическое переиздание Wang Chuan и Ma Xiaohe, Dunhuangxue 37 (2021), 1–50, на сервере Nanhua University. Оно восстанавливает последовательность ритуала, но содержит собственные современные решения и заимствованные факсимиле. Открытая лицензия не обнаружена. Xingfuzu qingdan ke имеет другой режим: авторизованная статья 2015 доступна по CC BY-NC-ND 3.0, то есть для распространения неизмененного материала. </w:t>
      </w:r>
      <w:hyperlink r:id="rId13">
        <w:r>
          <w:rPr>
            <w:color w:val="166477"/>
            <w:sz w:val="18"/>
          </w:rPr>
          <w:t>[R068]</w:t>
        </w:r>
      </w:hyperlink>
      <w:r>
        <w:t xml:space="preserve"> </w:t>
      </w:r>
      <w:hyperlink r:id="rId54">
        <w:r>
          <w:rPr>
            <w:color w:val="166477"/>
            <w:sz w:val="18"/>
          </w:rPr>
          <w:t>[R027]</w:t>
        </w:r>
      </w:hyperlink>
      <w:r/>
    </w:p>
    <w:p>
      <w:r>
        <w:t xml:space="preserve">Карабалгасун: для самого памятника и фотографий надежен археологический проект DAI. Китайское исследование Кайыркена 2025 имеет item-level CC BY-NC 4.0, но его PDF не открылся; поэтому оно оставлено как метаданные с потенциально полезным открытым текстом, а не включено в готовый лицензионный массив. Для полного трёхъязычного чтения остается G028. </w:t>
      </w:r>
      <w:hyperlink r:id="rId78">
        <w:r>
          <w:rPr>
            <w:color w:val="166477"/>
            <w:sz w:val="18"/>
          </w:rPr>
          <w:t>[R069]</w:t>
        </w:r>
      </w:hyperlink>
      <w:r>
        <w:t xml:space="preserve"> </w:t>
      </w:r>
      <w:hyperlink r:id="rId79">
        <w:r>
          <w:rPr>
            <w:color w:val="166477"/>
            <w:sz w:val="18"/>
          </w:rPr>
          <w:t>[R070]</w:t>
        </w:r>
      </w:hyperlink>
      <w:r/>
    </w:p>
    <w:p>
      <w:pPr>
        <w:pStyle w:val="Heading2"/>
      </w:pPr>
      <w:r>
        <w:t>Предшественники и внешние свидетели</w:t>
      </w:r>
    </w:p>
    <w:p>
      <w:r>
        <w:t xml:space="preserve">Старые переводы: для 1 Еноха есть Charles 1917; для Фихриста — арабско-немецкое издание Flügel 1862 в институциональном скане Internet Archive и альтернативном библиотечном каталоге HathiTrust. У аль-Бируни найдено издание Sachau 1879, но загрузка Google Books остановилась на CAPTCHA: это не подтвержденный полный файл. </w:t>
      </w:r>
      <w:hyperlink r:id="rId49">
        <w:r>
          <w:rPr>
            <w:color w:val="166477"/>
            <w:sz w:val="18"/>
          </w:rPr>
          <w:t>[R078]</w:t>
        </w:r>
      </w:hyperlink>
      <w:r>
        <w:t xml:space="preserve"> </w:t>
      </w:r>
      <w:hyperlink r:id="rId22">
        <w:r>
          <w:rPr>
            <w:color w:val="166477"/>
            <w:sz w:val="18"/>
          </w:rPr>
          <w:t>[R041]</w:t>
        </w:r>
      </w:hyperlink>
      <w:r>
        <w:t xml:space="preserve"> </w:t>
      </w:r>
      <w:hyperlink r:id="rId80">
        <w:r>
          <w:rPr>
            <w:color w:val="166477"/>
            <w:sz w:val="18"/>
          </w:rPr>
          <w:t>[R042]</w:t>
        </w:r>
      </w:hyperlink>
      <w:r>
        <w:t xml:space="preserve"> </w:t>
      </w:r>
      <w:hyperlink r:id="rId60">
        <w:r>
          <w:rPr>
            <w:color w:val="166477"/>
            <w:sz w:val="18"/>
          </w:rPr>
          <w:t>[R071]</w:t>
        </w:r>
      </w:hyperlink>
      <w:r/>
    </w:p>
    <w:p>
      <w:r>
        <w:t xml:space="preserve">Ефрем доступен через институциональную оцифровку второго тома Prose Refutations; точную основу 1921/репринт 1969 нужно сохранять. Для Августина самый удобный скачиваемый пакет — CCEL NPNF I/4, с реальным UTF-8 TXT и заявленными PDF, EPUB, ThML XML. New Advent удобнее для чтения отдельных произведений и Деяний Архелая. Современные ориентиры — Manichaean Texts from the Roman Empire и специальные CFM-сборники. </w:t>
      </w:r>
      <w:hyperlink r:id="rId59">
        <w:r>
          <w:rPr>
            <w:color w:val="166477"/>
            <w:sz w:val="18"/>
          </w:rPr>
          <w:t>[R043]</w:t>
        </w:r>
      </w:hyperlink>
      <w:r>
        <w:t xml:space="preserve"> </w:t>
      </w:r>
      <w:hyperlink r:id="rId12">
        <w:r>
          <w:rPr>
            <w:color w:val="166477"/>
            <w:sz w:val="18"/>
          </w:rPr>
          <w:t>[R077]</w:t>
        </w:r>
      </w:hyperlink>
      <w:r>
        <w:t xml:space="preserve"> </w:t>
      </w:r>
      <w:hyperlink r:id="rId61">
        <w:r>
          <w:rPr>
            <w:color w:val="166477"/>
            <w:sz w:val="18"/>
          </w:rPr>
          <w:t>[R073]</w:t>
        </w:r>
      </w:hyperlink>
      <w:r>
        <w:t xml:space="preserve"> </w:t>
      </w:r>
      <w:hyperlink r:id="rId62">
        <w:r>
          <w:rPr>
            <w:color w:val="166477"/>
            <w:sz w:val="18"/>
          </w:rPr>
          <w:t>[R074]</w:t>
        </w:r>
      </w:hyperlink>
      <w:r>
        <w:t xml:space="preserve"> </w:t>
      </w:r>
      <w:hyperlink r:id="rId63">
        <w:r>
          <w:rPr>
            <w:color w:val="166477"/>
            <w:sz w:val="18"/>
          </w:rPr>
          <w:t>[R075]</w:t>
        </w:r>
      </w:hyperlink>
      <w:r>
        <w:t xml:space="preserve"> </w:t>
      </w:r>
      <w:hyperlink r:id="rId64">
        <w:r>
          <w:rPr>
            <w:color w:val="166477"/>
            <w:sz w:val="18"/>
          </w:rPr>
          <w:t>[R076]</w:t>
        </w:r>
      </w:hyperlink>
      <w:r>
        <w:t xml:space="preserve"> </w:t>
      </w:r>
      <w:hyperlink r:id="rId81">
        <w:r>
          <w:rPr>
            <w:color w:val="166477"/>
            <w:sz w:val="18"/>
          </w:rPr>
          <w:t>[R037]</w:t>
        </w:r>
      </w:hyperlink>
      <w:r>
        <w:t xml:space="preserve"> </w:t>
      </w:r>
      <w:hyperlink r:id="rId82">
        <w:r>
          <w:rPr>
            <w:color w:val="166477"/>
            <w:sz w:val="18"/>
          </w:rPr>
          <w:t>[R018]</w:t>
        </w:r>
      </w:hyperlink>
      <w:r/>
    </w:p>
    <w:p>
      <w:pPr>
        <w:pStyle w:val="Heading1"/>
      </w:pPr>
      <w:r>
        <w:t>4. Карта прав и практического использования</w:t>
      </w:r>
    </w:p>
    <w:p>
      <w:pPr>
        <w:pStyle w:val="Heading2"/>
      </w:pPr>
      <w:r>
        <w:t>Слой, пригодный для публичного повторного использования</w:t>
      </w:r>
    </w:p>
    <w:p>
      <w:r>
        <w:t xml:space="preserve">Наиболее ясный маршрут — CC BY 4.0 у Кёльнского кодекса и MSI Посланий. ToS может использовать лицензированные изображения/метаданные с атрибуцией, указанием лицензии и изменений; из собственного чтения этих свидетелей можно строить транскрипцию, поиск и перевод. Разрешение ограничено сохранившимся материалом: оно не восполняет лакуны и не открывает научные переводы третьих лиц. </w:t>
      </w:r>
      <w:hyperlink r:id="rId14">
        <w:r>
          <w:rPr>
            <w:color w:val="166477"/>
            <w:sz w:val="18"/>
          </w:rPr>
          <w:t>[R001]</w:t>
        </w:r>
      </w:hyperlink>
      <w:r>
        <w:t xml:space="preserve"> </w:t>
      </w:r>
      <w:hyperlink r:id="rId11">
        <w:r>
          <w:rPr>
            <w:color w:val="166477"/>
            <w:sz w:val="18"/>
          </w:rPr>
          <w:t>[R044]</w:t>
        </w:r>
      </w:hyperlink>
      <w:r/>
    </w:p>
    <w:p>
      <w:r>
        <w:t xml:space="preserve">Некоммерческий слой не отброшен. В CBETA разрешенные действия ограничены тремя конкретными XML и условиями NC/SA. В Morano — авторским текстовым слоем двух статей; изображения BBAW/SBB и чужие переводы требуют отдельной проверки. Записи одновременно имеют положительные теги и RIGHTS_REVIEW_REQUIRED именно потому, что ограничения относятся к другим компонентам или действиям, а не отменяют доказанное разрешение. </w:t>
      </w:r>
      <w:hyperlink r:id="rId44">
        <w:r>
          <w:rPr>
            <w:color w:val="166477"/>
            <w:sz w:val="18"/>
          </w:rPr>
          <w:t>[R020]</w:t>
        </w:r>
      </w:hyperlink>
      <w:r>
        <w:t xml:space="preserve"> </w:t>
      </w:r>
      <w:hyperlink r:id="rId45">
        <w:r>
          <w:rPr>
            <w:color w:val="166477"/>
            <w:sz w:val="18"/>
          </w:rPr>
          <w:t>[R021]</w:t>
        </w:r>
      </w:hyperlink>
      <w:r>
        <w:t xml:space="preserve"> </w:t>
      </w:r>
      <w:hyperlink r:id="rId73">
        <w:r>
          <w:rPr>
            <w:color w:val="166477"/>
            <w:sz w:val="18"/>
          </w:rPr>
          <w:t>[R022]</w:t>
        </w:r>
      </w:hyperlink>
      <w:r>
        <w:t xml:space="preserve"> </w:t>
      </w:r>
      <w:hyperlink r:id="rId74">
        <w:r>
          <w:rPr>
            <w:color w:val="166477"/>
            <w:sz w:val="18"/>
          </w:rPr>
          <w:t>[R023]</w:t>
        </w:r>
      </w:hyperlink>
      <w:r>
        <w:t xml:space="preserve"> </w:t>
      </w:r>
      <w:hyperlink r:id="rId75">
        <w:r>
          <w:rPr>
            <w:color w:val="166477"/>
            <w:sz w:val="18"/>
          </w:rPr>
          <w:t>[R024]</w:t>
        </w:r>
      </w:hyperlink>
      <w:r/>
    </w:p>
    <w:p>
      <w:r>
        <w:t xml:space="preserve">Для Xingfuzu qingdan ke допустимо некоммерческое распространение неизмененного авторизованного PDF с атрибуцией и уведомлением CC BY-NC-ND 3.0. Это не автоматическое разрешение публиковать перевод статьи, исправленную транскрипцию или новый производный корпус. FULLTEXT_INDEX_OK и EMBEDDINGS_OK этой записи не назначены. </w:t>
      </w:r>
      <w:hyperlink r:id="rId54">
        <w:r>
          <w:rPr>
            <w:color w:val="166477"/>
            <w:sz w:val="18"/>
          </w:rPr>
          <w:t>[R027]</w:t>
        </w:r>
      </w:hyperlink>
      <w:r/>
    </w:p>
    <w:p>
      <w:r>
        <w:t xml:space="preserve">Старый английский 1 Енох имеет прямое item-level заявление о Public Domain в США и разрешение площадки использовать соответствующие PD-текстовые файлы. Положительные теги R078 ограничены этим текстом и американской юрисдикцией; интерфейс и современные аннотации исключены. Для размещения из другой юрисдикции остается ручной сроковой анализ. </w:t>
      </w:r>
      <w:hyperlink r:id="rId49">
        <w:r>
          <w:rPr>
            <w:color w:val="166477"/>
            <w:sz w:val="18"/>
          </w:rPr>
          <w:t>[R078]</w:t>
        </w:r>
      </w:hyperlink>
      <w:r/>
    </w:p>
    <w:p>
      <w:pPr>
        <w:pStyle w:val="Heading2"/>
      </w:pPr>
      <w:r>
        <w:t>Доступ для исследования без права публичного зеркала</w:t>
      </w:r>
    </w:p>
    <w:p>
      <w:r>
        <w:t xml:space="preserve">DTA разрешает исследовательское использование, но не общую передачу копий. TITUS прямо требует разрешение для перепубликации. DAI предлагает ссылаться на свои страницы, а не переносить их текст и изображения. Эти условия не превращены в разрешение на публичные OCR-корпуса, векторные базы или зеркала только потому, что материалы древние. </w:t>
      </w:r>
      <w:hyperlink r:id="rId16">
        <w:r>
          <w:rPr>
            <w:color w:val="166477"/>
            <w:sz w:val="18"/>
          </w:rPr>
          <w:t>[R002]</w:t>
        </w:r>
      </w:hyperlink>
      <w:r>
        <w:t xml:space="preserve"> </w:t>
      </w:r>
      <w:hyperlink r:id="rId17">
        <w:r>
          <w:rPr>
            <w:color w:val="166477"/>
            <w:sz w:val="18"/>
          </w:rPr>
          <w:t>[R003]</w:t>
        </w:r>
      </w:hyperlink>
      <w:r>
        <w:t xml:space="preserve"> </w:t>
      </w:r>
      <w:hyperlink r:id="rId83">
        <w:r>
          <w:rPr>
            <w:color w:val="166477"/>
            <w:sz w:val="18"/>
          </w:rPr>
          <w:t>[R004]</w:t>
        </w:r>
      </w:hyperlink>
      <w:r>
        <w:t xml:space="preserve"> </w:t>
      </w:r>
      <w:hyperlink r:id="rId19">
        <w:r>
          <w:rPr>
            <w:color w:val="166477"/>
            <w:sz w:val="18"/>
          </w:rPr>
          <w:t>[R048]</w:t>
        </w:r>
      </w:hyperlink>
      <w:r>
        <w:t xml:space="preserve"> </w:t>
      </w:r>
      <w:hyperlink r:id="rId57">
        <w:r>
          <w:rPr>
            <w:color w:val="166477"/>
            <w:sz w:val="18"/>
          </w:rPr>
          <w:t>[R067]</w:t>
        </w:r>
      </w:hyperlink>
      <w:r>
        <w:t xml:space="preserve"> </w:t>
      </w:r>
      <w:hyperlink r:id="rId78">
        <w:r>
          <w:rPr>
            <w:color w:val="166477"/>
            <w:sz w:val="18"/>
          </w:rPr>
          <w:t>[R069]</w:t>
        </w:r>
      </w:hyperlink>
      <w:r/>
    </w:p>
    <w:p>
      <w:r>
        <w:t xml:space="preserve">У CCEL в самом TXT стоит Public Domain, но политика площадки отдельно оговаривает специальные материалы и просит разрешение на republication. Поэтому файл сохранен как хороший локальный исследовательский вход, а не как безусловное зеркало всего сайта. У New Advent старый перевод переработан современной веб-редакцией; этот слой также не получил автоматических reuse-тегов. </w:t>
      </w:r>
      <w:hyperlink r:id="rId12">
        <w:r>
          <w:rPr>
            <w:color w:val="166477"/>
            <w:sz w:val="18"/>
          </w:rPr>
          <w:t>[R077]</w:t>
        </w:r>
      </w:hyperlink>
      <w:r>
        <w:t xml:space="preserve"> </w:t>
      </w:r>
      <w:hyperlink r:id="rId61">
        <w:r>
          <w:rPr>
            <w:color w:val="166477"/>
            <w:sz w:val="18"/>
          </w:rPr>
          <w:t>[R073]</w:t>
        </w:r>
      </w:hyperlink>
      <w:r>
        <w:t xml:space="preserve"> </w:t>
      </w:r>
      <w:hyperlink r:id="rId62">
        <w:r>
          <w:rPr>
            <w:color w:val="166477"/>
            <w:sz w:val="18"/>
          </w:rPr>
          <w:t>[R074]</w:t>
        </w:r>
      </w:hyperlink>
      <w:r>
        <w:t xml:space="preserve"> </w:t>
      </w:r>
      <w:hyperlink r:id="rId63">
        <w:r>
          <w:rPr>
            <w:color w:val="166477"/>
            <w:sz w:val="18"/>
          </w:rPr>
          <w:t>[R075]</w:t>
        </w:r>
      </w:hyperlink>
      <w:r>
        <w:t xml:space="preserve"> </w:t>
      </w:r>
      <w:hyperlink r:id="rId64">
        <w:r>
          <w:rPr>
            <w:color w:val="166477"/>
            <w:sz w:val="18"/>
          </w:rPr>
          <w:t>[R076]</w:t>
        </w:r>
      </w:hyperlink>
      <w:r/>
    </w:p>
    <w:p>
      <w:r>
        <w:t xml:space="preserve">PDF Marro, eDbMT, критическое издание Moni Guangfo 2021 и русская академическая рецензия доступны бесплатно, однако свободная повторная публикация не доказана. В отдельных случаях издательское разрешение выдано конкретному автору или партнерской базе, а не всем последующим пользователям. LOCAL_RESEARCH_COPY не равен публичной раздаче. </w:t>
      </w:r>
      <w:hyperlink r:id="rId47">
        <w:r>
          <w:rPr>
            <w:color w:val="166477"/>
            <w:sz w:val="18"/>
          </w:rPr>
          <w:t>[R028]</w:t>
        </w:r>
      </w:hyperlink>
      <w:r>
        <w:t xml:space="preserve"> </w:t>
      </w:r>
      <w:hyperlink r:id="rId69">
        <w:r>
          <w:rPr>
            <w:color w:val="166477"/>
            <w:sz w:val="18"/>
          </w:rPr>
          <w:t>[R052]</w:t>
        </w:r>
      </w:hyperlink>
      <w:r>
        <w:t xml:space="preserve"> </w:t>
      </w:r>
      <w:hyperlink r:id="rId13">
        <w:r>
          <w:rPr>
            <w:color w:val="166477"/>
            <w:sz w:val="18"/>
          </w:rPr>
          <w:t>[R068]</w:t>
        </w:r>
      </w:hyperlink>
      <w:r>
        <w:t xml:space="preserve"> </w:t>
      </w:r>
      <w:hyperlink r:id="rId65">
        <w:r>
          <w:rPr>
            <w:color w:val="166477"/>
            <w:sz w:val="18"/>
          </w:rPr>
          <w:t>[R072]</w:t>
        </w:r>
      </w:hyperlink>
      <w:r/>
    </w:p>
    <w:p>
      <w:r>
        <w:t xml:space="preserve">CFM, Berliner Turfantexte, Cambridge, Oxford и другие современные научные издания сохранены как purchase, institutional_access, preview либо metadata-only, согласно реально открытым карточкам. Ни одна неустановленная выдача не получила LIBRARY_BORROW. Часть распроданных книг требует поиска библиотечных экземпляров, а не неавторизованного зеркала. </w:t>
      </w:r>
      <w:hyperlink r:id="rId84">
        <w:r>
          <w:rPr>
            <w:color w:val="166477"/>
            <w:sz w:val="18"/>
          </w:rPr>
          <w:t>[R006]</w:t>
        </w:r>
      </w:hyperlink>
      <w:r>
        <w:t xml:space="preserve"> </w:t>
      </w:r>
      <w:hyperlink r:id="rId81">
        <w:r>
          <w:rPr>
            <w:color w:val="166477"/>
            <w:sz w:val="18"/>
          </w:rPr>
          <w:t>[R037]</w:t>
        </w:r>
      </w:hyperlink>
      <w:r>
        <w:t xml:space="preserve"> </w:t>
      </w:r>
      <w:hyperlink r:id="rId21">
        <w:r>
          <w:rPr>
            <w:color w:val="166477"/>
            <w:sz w:val="18"/>
          </w:rPr>
          <w:t>[R047]</w:t>
        </w:r>
      </w:hyperlink>
      <w:r>
        <w:t xml:space="preserve"> </w:t>
      </w:r>
      <w:hyperlink r:id="rId29">
        <w:r>
          <w:rPr>
            <w:color w:val="166477"/>
            <w:sz w:val="18"/>
          </w:rPr>
          <w:t>[R056]</w:t>
        </w:r>
      </w:hyperlink>
      <w:r/>
    </w:p>
    <w:p>
      <w:pPr>
        <w:pStyle w:val="Heading2"/>
      </w:pPr>
      <w:r>
        <w:t>Собственный перевод ToS</w:t>
      </w:r>
    </w:p>
    <w:p>
      <w:r>
        <w:t xml:space="preserve">Безусловно ясные конкретные основы в этом наборе — лицензированные исторические свидетели CMC и P.15998. Дополнительно собственный перевод возможен в пределах авторских открытых транскрипций Morano и различимых древних строк снимка P.3884, с указанными NC-условиями/юрисдикционными оговорками. Всего пять записей имеют OWN_TRANSLATION_POSSIBLE; это пять ограниченных оснований, не пять полных книг. </w:t>
      </w:r>
      <w:hyperlink r:id="rId14">
        <w:r>
          <w:rPr>
            <w:color w:val="166477"/>
            <w:sz w:val="18"/>
          </w:rPr>
          <w:t>[R001]</w:t>
        </w:r>
      </w:hyperlink>
      <w:r>
        <w:t xml:space="preserve"> </w:t>
      </w:r>
      <w:hyperlink r:id="rId44">
        <w:r>
          <w:rPr>
            <w:color w:val="166477"/>
            <w:sz w:val="18"/>
          </w:rPr>
          <w:t>[R020]</w:t>
        </w:r>
      </w:hyperlink>
      <w:r>
        <w:t xml:space="preserve"> </w:t>
      </w:r>
      <w:hyperlink r:id="rId45">
        <w:r>
          <w:rPr>
            <w:color w:val="166477"/>
            <w:sz w:val="18"/>
          </w:rPr>
          <w:t>[R021]</w:t>
        </w:r>
      </w:hyperlink>
      <w:r>
        <w:t xml:space="preserve"> </w:t>
      </w:r>
      <w:hyperlink r:id="rId77">
        <w:r>
          <w:rPr>
            <w:color w:val="166477"/>
            <w:sz w:val="18"/>
          </w:rPr>
          <w:t>[R026]</w:t>
        </w:r>
      </w:hyperlink>
      <w:r>
        <w:t xml:space="preserve"> </w:t>
      </w:r>
      <w:hyperlink r:id="rId11">
        <w:r>
          <w:rPr>
            <w:color w:val="166477"/>
            <w:sz w:val="18"/>
          </w:rPr>
          <w:t>[R044]</w:t>
        </w:r>
      </w:hyperlink>
      <w:r/>
    </w:p>
    <w:p>
      <w:r>
        <w:t>Для CBETA перевод оставлен на ручной обзор дополнительных условий; для защищенных критических реконструкций и современных переводов-посредников положительного тега нет. Старый английский текст сам по себе не представлен как доступ к утраченному сирийскому, арамейскому или коптскому оригиналу. При реконструкции нужно отличать собственное чтение буквы от заимствования чужой конъектуры.</w:t>
      </w:r>
    </w:p>
    <w:p>
      <w:pPr>
        <w:pStyle w:val="Heading1"/>
      </w:pPr>
      <w:r>
        <w:t>5. Характерные правовые и источниковедческие тонкости</w:t>
      </w:r>
    </w:p>
    <w:p>
      <w:r>
        <w:t xml:space="preserve">Разные уровни сохранности. «Complete» у электронной статьи означает всю статью, но не обязательно весь древний труд. Одна фотография — один свидетель или фрагмент. Новый том Псалтири не равен всей Псалтири; XRF-анализ — не текст; MSI — не готовый критический перевод. Поэтому coverage и rights_scope должны читаться вместе. </w:t>
      </w:r>
      <w:hyperlink r:id="rId24">
        <w:r>
          <w:rPr>
            <w:color w:val="166477"/>
            <w:sz w:val="18"/>
          </w:rPr>
          <w:t>[R012]</w:t>
        </w:r>
      </w:hyperlink>
      <w:r>
        <w:t xml:space="preserve"> </w:t>
      </w:r>
      <w:hyperlink r:id="rId77">
        <w:r>
          <w:rPr>
            <w:color w:val="166477"/>
            <w:sz w:val="18"/>
          </w:rPr>
          <w:t>[R026]</w:t>
        </w:r>
      </w:hyperlink>
      <w:r>
        <w:t xml:space="preserve"> </w:t>
      </w:r>
      <w:hyperlink r:id="rId11">
        <w:r>
          <w:rPr>
            <w:color w:val="166477"/>
            <w:sz w:val="18"/>
          </w:rPr>
          <w:t>[R044]</w:t>
        </w:r>
      </w:hyperlink>
      <w:r>
        <w:t xml:space="preserve"> </w:t>
      </w:r>
      <w:hyperlink r:id="rId28">
        <w:r>
          <w:rPr>
            <w:color w:val="166477"/>
            <w:sz w:val="18"/>
          </w:rPr>
          <w:t>[R045]</w:t>
        </w:r>
      </w:hyperlink>
      <w:r/>
    </w:p>
    <w:p>
      <w:r>
        <w:t xml:space="preserve">Открытая статья и закрытые иллюстрации. CC-лицензия на авторскую публикацию не переносится на каждую цитату или музейный снимок. В Morano это особенно важно: авторская транскрипция может быть пригодна для некоммерческого перевода, тогда как зеркалирование PDF вместе с заимствованными изображениями требует отдельного решения. В Moni Guangfo 2021 изображения прямо взяты из другого издания. </w:t>
      </w:r>
      <w:hyperlink r:id="rId44">
        <w:r>
          <w:rPr>
            <w:color w:val="166477"/>
            <w:sz w:val="18"/>
          </w:rPr>
          <w:t>[R020]</w:t>
        </w:r>
      </w:hyperlink>
      <w:r>
        <w:t xml:space="preserve"> </w:t>
      </w:r>
      <w:hyperlink r:id="rId45">
        <w:r>
          <w:rPr>
            <w:color w:val="166477"/>
            <w:sz w:val="18"/>
          </w:rPr>
          <w:t>[R021]</w:t>
        </w:r>
      </w:hyperlink>
      <w:r>
        <w:t xml:space="preserve"> </w:t>
      </w:r>
      <w:hyperlink r:id="rId13">
        <w:r>
          <w:rPr>
            <w:color w:val="166477"/>
            <w:sz w:val="18"/>
          </w:rPr>
          <w:t>[R068]</w:t>
        </w:r>
      </w:hyperlink>
      <w:r/>
    </w:p>
    <w:p>
      <w:r>
        <w:t xml:space="preserve">Современное критическое чтение — самостоятельный слой. Старый рукописный носитель не освобождает автоматически восстановленные слова, перевод, аппараты и словари. С другой стороны, защищенное издание не лишает ToS возможности самостоятельно читать отдельный открытый исторический снимок: основание должно быть названо именно в записи этого снимка. </w:t>
      </w:r>
      <w:hyperlink r:id="rId85">
        <w:r>
          <w:rPr>
            <w:color w:val="166477"/>
            <w:sz w:val="18"/>
          </w:rPr>
          <w:t>[R035]</w:t>
        </w:r>
      </w:hyperlink>
      <w:r>
        <w:t xml:space="preserve"> </w:t>
      </w:r>
      <w:hyperlink r:id="rId20">
        <w:r>
          <w:rPr>
            <w:color w:val="166477"/>
            <w:sz w:val="18"/>
          </w:rPr>
          <w:t>[R046]</w:t>
        </w:r>
      </w:hyperlink>
      <w:r>
        <w:t xml:space="preserve"> </w:t>
      </w:r>
      <w:hyperlink r:id="rId14">
        <w:r>
          <w:rPr>
            <w:color w:val="166477"/>
            <w:sz w:val="18"/>
          </w:rPr>
          <w:t>[R001]</w:t>
        </w:r>
      </w:hyperlink>
      <w:r/>
    </w:p>
    <w:p>
      <w:r>
        <w:t xml:space="preserve">Старое издание не означает всемирный Public Domain. У Flügel 1862 сроковой вывод правдоподобен и отделен от прав цифрового скана; у Allberry 1938 общий вывод о свободе в США не сделан. Public Domain Mark на Commons — маркировка статуса, не договорная лицензия; для американского и иных правовых режимов сохраняются оговорки. </w:t>
      </w:r>
      <w:hyperlink r:id="rId22">
        <w:r>
          <w:rPr>
            <w:color w:val="166477"/>
            <w:sz w:val="18"/>
          </w:rPr>
          <w:t>[R041]</w:t>
        </w:r>
      </w:hyperlink>
      <w:r>
        <w:t xml:space="preserve"> </w:t>
      </w:r>
      <w:hyperlink r:id="rId66">
        <w:r>
          <w:rPr>
            <w:color w:val="166477"/>
            <w:sz w:val="18"/>
          </w:rPr>
          <w:t>[R039]</w:t>
        </w:r>
      </w:hyperlink>
      <w:r>
        <w:t xml:space="preserve"> </w:t>
      </w:r>
      <w:hyperlink r:id="rId77">
        <w:r>
          <w:rPr>
            <w:color w:val="166477"/>
            <w:sz w:val="18"/>
          </w:rPr>
          <w:t>[R026]</w:t>
        </w:r>
      </w:hyperlink>
      <w:r/>
    </w:p>
    <w:p>
      <w:r>
        <w:t xml:space="preserve">Издательская дата и наличие. В нескольких BTT-карточках год отличается от библиографии BBAW: это сохранено как расхождение, а не выдуманное новое издание. Forthcoming и Out of Print не заменены словом «доступно». DOI с иной пагинацией, чем citation карточки Кайыркена, также требует сверки PDF. </w:t>
      </w:r>
      <w:hyperlink r:id="rId34">
        <w:r>
          <w:rPr>
            <w:color w:val="166477"/>
            <w:sz w:val="18"/>
          </w:rPr>
          <w:t>[R057]</w:t>
        </w:r>
      </w:hyperlink>
      <w:r>
        <w:t xml:space="preserve"> </w:t>
      </w:r>
      <w:hyperlink r:id="rId38">
        <w:r>
          <w:rPr>
            <w:color w:val="166477"/>
            <w:sz w:val="18"/>
          </w:rPr>
          <w:t>[R061]</w:t>
        </w:r>
      </w:hyperlink>
      <w:r>
        <w:t xml:space="preserve"> </w:t>
      </w:r>
      <w:hyperlink r:id="rId40">
        <w:r>
          <w:rPr>
            <w:color w:val="166477"/>
            <w:sz w:val="18"/>
          </w:rPr>
          <w:t>[R063]</w:t>
        </w:r>
      </w:hyperlink>
      <w:r>
        <w:t xml:space="preserve"> </w:t>
      </w:r>
      <w:hyperlink r:id="rId41">
        <w:r>
          <w:rPr>
            <w:color w:val="166477"/>
            <w:sz w:val="18"/>
          </w:rPr>
          <w:t>[R064]</w:t>
        </w:r>
      </w:hyperlink>
      <w:r>
        <w:t xml:space="preserve"> </w:t>
      </w:r>
      <w:hyperlink r:id="rId15">
        <w:r>
          <w:rPr>
            <w:color w:val="166477"/>
            <w:sz w:val="18"/>
          </w:rPr>
          <w:t>[R007]</w:t>
        </w:r>
      </w:hyperlink>
      <w:r>
        <w:t xml:space="preserve"> </w:t>
      </w:r>
      <w:hyperlink r:id="rId53">
        <w:r>
          <w:rPr>
            <w:color w:val="166477"/>
            <w:sz w:val="18"/>
          </w:rPr>
          <w:t>[R008]</w:t>
        </w:r>
      </w:hyperlink>
      <w:r>
        <w:t xml:space="preserve"> </w:t>
      </w:r>
      <w:hyperlink r:id="rId79">
        <w:r>
          <w:rPr>
            <w:color w:val="166477"/>
            <w:sz w:val="18"/>
          </w:rPr>
          <w:t>[R070]</w:t>
        </w:r>
      </w:hyperlink>
      <w:r/>
    </w:p>
    <w:p>
      <w:r>
        <w:t xml:space="preserve">Авторство и враждебное свидетельство. Высказывание Мани в школьном кодексе, письмо с его именем в литературном диспуте, цитата Фавста у Августина и авторское сочинение — не одно и то же. Сомнение в подлинности не делает источник бесполезным: оно меняет способ его использования. Аналогично атрибуция нового фрагмента Giants не должна фиксироваться сильнее, чем позволяет его издатель. </w:t>
      </w:r>
      <w:hyperlink r:id="rId27">
        <w:r>
          <w:rPr>
            <w:color w:val="166477"/>
            <w:sz w:val="18"/>
          </w:rPr>
          <w:t>[R038]</w:t>
        </w:r>
      </w:hyperlink>
      <w:r>
        <w:t xml:space="preserve"> </w:t>
      </w:r>
      <w:hyperlink r:id="rId21">
        <w:r>
          <w:rPr>
            <w:color w:val="166477"/>
            <w:sz w:val="18"/>
          </w:rPr>
          <w:t>[R047]</w:t>
        </w:r>
      </w:hyperlink>
      <w:r>
        <w:t xml:space="preserve"> </w:t>
      </w:r>
      <w:hyperlink r:id="rId63">
        <w:r>
          <w:rPr>
            <w:color w:val="166477"/>
            <w:sz w:val="18"/>
          </w:rPr>
          <w:t>[R075]</w:t>
        </w:r>
      </w:hyperlink>
      <w:r>
        <w:t xml:space="preserve"> </w:t>
      </w:r>
      <w:hyperlink r:id="rId64">
        <w:r>
          <w:rPr>
            <w:color w:val="166477"/>
            <w:sz w:val="18"/>
          </w:rPr>
          <w:t>[R076]</w:t>
        </w:r>
      </w:hyperlink>
      <w:r>
        <w:t xml:space="preserve"> </w:t>
      </w:r>
      <w:hyperlink r:id="rId45">
        <w:r>
          <w:rPr>
            <w:color w:val="166477"/>
            <w:sz w:val="18"/>
          </w:rPr>
          <w:t>[R021]</w:t>
        </w:r>
      </w:hyperlink>
      <w:r/>
    </w:p>
    <w:p>
      <w:r>
        <w:t xml:space="preserve">Техническая доступность и юридическая открытость независимы. У Кайыркена лицензия известна, файл не получен; у ряда бесплатных PDF файл получен, право перепубликации неизвестно. Наличие поискового результата, цены, кнопки Download или GitHub-репозитория не использовано как замена этим двум отдельным проверкам. </w:t>
      </w:r>
      <w:hyperlink r:id="rId79">
        <w:r>
          <w:rPr>
            <w:color w:val="166477"/>
            <w:sz w:val="18"/>
          </w:rPr>
          <w:t>[R070]</w:t>
        </w:r>
      </w:hyperlink>
      <w:r>
        <w:t xml:space="preserve"> </w:t>
      </w:r>
      <w:hyperlink r:id="rId47">
        <w:r>
          <w:rPr>
            <w:color w:val="166477"/>
            <w:sz w:val="18"/>
          </w:rPr>
          <w:t>[R028]</w:t>
        </w:r>
      </w:hyperlink>
      <w:r>
        <w:t xml:space="preserve"> </w:t>
      </w:r>
      <w:hyperlink r:id="rId69">
        <w:r>
          <w:rPr>
            <w:color w:val="166477"/>
            <w:sz w:val="18"/>
          </w:rPr>
          <w:t>[R052]</w:t>
        </w:r>
      </w:hyperlink>
      <w:r>
        <w:t xml:space="preserve"> </w:t>
      </w:r>
      <w:hyperlink r:id="rId73">
        <w:r>
          <w:rPr>
            <w:color w:val="166477"/>
            <w:sz w:val="18"/>
          </w:rPr>
          <w:t>[R022]</w:t>
        </w:r>
      </w:hyperlink>
      <w:r/>
    </w:p>
    <w:p>
      <w:pPr>
        <w:pStyle w:val="Heading1"/>
      </w:pPr>
      <w:r>
        <w:t>6. Пробелы и дальнейший поиск</w:t>
      </w:r>
    </w:p>
    <w:p>
      <w:r>
        <w:t>Лист gaps содержит не 31 «несуществующее произведение», а 31 рабочую группу ограничений. Одни относятся к реально утраченным книгам, другие — к неоткрытому файлу, непроверенному свидетелю, отдельной редакции или правовому режиму. Ядро завершено как карта входов, но полный пофрагментный каталог всех Manichaica здесь не заявляется.</w:t>
      </w:r>
    </w:p>
    <w:p>
      <w:r>
        <w:t>Главные текстовые лакуны — полный сирийский авторский канон, весь комплекс Šābuhragān, отдельные коптские собрания и полные факсимиле китайских свитков. Для Treasure найдено внешнее цитирование; для Pragmateia и Mysteries не найдено самостоятельного полного цифрового текста. Для Ardahang найден комментарий и свидетельства, но не сама авторская визуальная книга. G001–G014.</w:t>
      </w:r>
    </w:p>
    <w:p>
      <w:r>
        <w:t>Главные технические ограничения — MIRTEXT/WMIRTEXT, Chester Beatty viewer, исходная Gallica-карточка P.3884, отдельные университетские страницы Reeves, PDF Кайыркена и CAPTCHA Google Books. Из этого не следует, что ресурсы отсутствуют для обычного посетителя. В XLSX указано, что именно открылось и на каком этапе остановилась проверка. G008–G014, G019, G028.</w:t>
      </w:r>
    </w:p>
    <w:p>
      <w:r>
        <w:t>Защищенные научные версии не исключены. Для Kephalaia, Allberry, распроданных BTT, новейших Посланий и части визуальных каталогов следующий практический путь — реальный библиотечный экземпляр, институциональная подписка или санкционированное переиздание. Библиографическая рекомендация не обозначена как уже проверенная возможность выдачи. G012–G018, G029.</w:t>
      </w:r>
    </w:p>
    <w:p>
      <w:pPr>
        <w:pStyle w:val="Heading2"/>
      </w:pPr>
      <w:r>
        <w:t>Приоритетные направления следующего прохода</w:t>
      </w:r>
    </w:p>
    <w:p>
      <w:r>
        <w:t>1. Канон и авторские фрагменты: сопоставить Fihrist, Letters of Mani и новые издания; разделить книгу, testimonium и предложенную атрибуцию. Проверить фактический выход Living Gospel и Opuscula, а не полагаться на год 2026 в заголовке. G001–G007.</w:t>
      </w:r>
    </w:p>
    <w:p>
      <w:r>
        <w:t>2. Китайские рукописи: искать по S.2659 / Or.8210(2659), S.3969, P.3884 и BD08470; собрать только подтвержденные item-level изображения и IIIF, затем сверить с тремя CBETA XML. Это улучшит одновременно полноту оригиналов и основу собственных переводов. G008–G010.</w:t>
      </w:r>
    </w:p>
    <w:p>
      <w:r>
        <w:t>3. Коптские кодексы: проверить актуальные музейные просмотрщики, сигнатуры и изданные части Teacher/Dublin Kephalaia, Psalm-Book, Homilies, Synaxeis и Acts. Русскую Кефалайя искать по изданию Смагиной 1998, 512 с., ППВ CXV. G012–G015.</w:t>
      </w:r>
    </w:p>
    <w:p>
      <w:r>
        <w:t>4. Иранская и уйгурская ветви: восстановить рабочий вход MIRTEXT; проверить бактрийский M1224, полный конкорданс Šābuhragān, берлинские/лондонские/петербургские Xuastvanift и отличие eDbMT 2024 от 2019. Права на транскрипции и фотографии выяснять раздельно. G006, G011, G016–G017.</w:t>
      </w:r>
    </w:p>
    <w:p>
      <w:r>
        <w:t>5. Восточная поздняя передача: найти все факсимиле Moni Guangfo в Bao/Yang 2020, отдельные первичные тексты Pingnan и официальное подтверждение Fuqing; проверить предметные музейные карточки поздних картин и Caoan. Не ограничиваться общей историей Mingjiao. G023–G025, G030.</w:t>
      </w:r>
    </w:p>
    <w:p>
      <w:r>
        <w:t>6. Внешняя полемика: выделить самостоятельные издания Феодора бар Кони, Шахрастани, Škand Gumānīg Wizār XVI, Александра Ликопольского и Тита Бострийского. Параллельно найти первичные персидские пассажи об Ardahang, включая позднего Мирхонда. G019–G021, G026.</w:t>
      </w:r>
    </w:p>
    <w:p>
      <w:r>
        <w:t>7. Карта предшественников: проверить конкретные текстовые соответствия Ахи́кару, индийским и эзопическим притчам, не расширяя реестр на всю мудростную литературу. Для енохической линии следующая цель — факсимиле и точные границы арамейских фрагментов, а не еще один общий обзор. G007, G027.</w:t>
      </w:r>
    </w:p>
    <w:p>
      <w:r>
        <w:t>8. Перед публичной загрузкой: выбрать пилот из CMC, части MSI Посланий, трех CBETA XML и авторских NC-транскрипций; сохранить лицензионные уведомления и исключения. Для DTA/TITUS/CCEL и защищенных изданий не включать автоматическое зеркало, публичный полнотекстовый индекс или embeddings без отдельного решения. G031.</w:t>
      </w:r>
    </w:p>
    <w:p>
      <w:r>
        <w:t>Кандидаты, не достигшие уровня подтвержденного объекта, не скрыты: Fuqing помечен как unverified_candidate внутри G024; для сравнительных притч направление передачи не доказано; для некоторых поздних персидских и китайских объектов не завершен именно поиск доступа. Их дата за пределами мастер-строки не была основанием отказа.</w:t>
      </w:r>
    </w:p>
    <w:p>
      <w:pPr>
        <w:pStyle w:val="Heading1"/>
      </w:pPr>
      <w:r>
        <w:t>7. Итоговая оценка</w:t>
      </w:r>
    </w:p>
    <w:p>
      <w:r>
        <w:t>Покрытие сильнее всего на уровне идентифицированных изданий, крупных текстовых семей и практических входов к ним. Оригиналы доступны неравномерно: лучше проверены отдельные греческие, коптские MSI, иранские и китайские цифровые слои; хуже — полные рукописные комплексы Китая, Кефалайя и редкая бактрийская ветвь. Большая часть авторского сирийского корпуса остается фрагментарной или утраченной.</w:t>
      </w:r>
    </w:p>
    <w:p>
      <w:r>
        <w:t xml:space="preserve">Переводы: широкий современный английский/немецкий научный слой, несколько французских и русских входов, старые англоязычные внешние свидетельства. Русский корпус доступен заметно слабее: Xuastvanift имеет проверенный preview/покупку, Kephalaia — надежную идентификацию без найденного авторизованного полного файла. Эти ограничения не замаскированы неофициальными копиями. </w:t>
      </w:r>
      <w:hyperlink r:id="rId70">
        <w:r>
          <w:rPr>
            <w:color w:val="166477"/>
            <w:sz w:val="18"/>
          </w:rPr>
          <w:t>[R025]</w:t>
        </w:r>
      </w:hyperlink>
      <w:r>
        <w:t xml:space="preserve"> </w:t>
      </w:r>
      <w:hyperlink r:id="rId65">
        <w:r>
          <w:rPr>
            <w:color w:val="166477"/>
            <w:sz w:val="18"/>
          </w:rPr>
          <w:t>[R072]</w:t>
        </w:r>
      </w:hyperlink>
      <w:r/>
    </w:p>
    <w:p>
      <w:r>
        <w:t xml:space="preserve">Наиболее свободный слой — два CC BY 4.0 рукописных доступа; наиболее удобный машиночитаемый китайский слой — CBETA; наиболее предметные новые NC-тексты — Morano. Главные ограничения сосредоточены в современных критических переводах, музейных фотографиях, неполноте свидетелей и различии лицензии текста с условиями платформы. </w:t>
      </w:r>
      <w:hyperlink r:id="rId14">
        <w:r>
          <w:rPr>
            <w:color w:val="166477"/>
            <w:sz w:val="18"/>
          </w:rPr>
          <w:t>[R001]</w:t>
        </w:r>
      </w:hyperlink>
      <w:r>
        <w:t xml:space="preserve"> </w:t>
      </w:r>
      <w:hyperlink r:id="rId11">
        <w:r>
          <w:rPr>
            <w:color w:val="166477"/>
            <w:sz w:val="18"/>
          </w:rPr>
          <w:t>[R044]</w:t>
        </w:r>
      </w:hyperlink>
      <w:r>
        <w:t xml:space="preserve"> </w:t>
      </w:r>
      <w:hyperlink r:id="rId44">
        <w:r>
          <w:rPr>
            <w:color w:val="166477"/>
            <w:sz w:val="18"/>
          </w:rPr>
          <w:t>[R020]</w:t>
        </w:r>
      </w:hyperlink>
      <w:r>
        <w:t xml:space="preserve"> </w:t>
      </w:r>
      <w:hyperlink r:id="rId45">
        <w:r>
          <w:rPr>
            <w:color w:val="166477"/>
            <w:sz w:val="18"/>
          </w:rPr>
          <w:t>[R021]</w:t>
        </w:r>
      </w:hyperlink>
      <w:r>
        <w:t xml:space="preserve"> </w:t>
      </w:r>
      <w:hyperlink r:id="rId73">
        <w:r>
          <w:rPr>
            <w:color w:val="166477"/>
            <w:sz w:val="18"/>
          </w:rPr>
          <w:t>[R022]</w:t>
        </w:r>
      </w:hyperlink>
      <w:r>
        <w:t xml:space="preserve"> </w:t>
      </w:r>
      <w:hyperlink r:id="rId74">
        <w:r>
          <w:rPr>
            <w:color w:val="166477"/>
            <w:sz w:val="18"/>
          </w:rPr>
          <w:t>[R023]</w:t>
        </w:r>
      </w:hyperlink>
      <w:r>
        <w:t xml:space="preserve"> </w:t>
      </w:r>
      <w:hyperlink r:id="rId75">
        <w:r>
          <w:rPr>
            <w:color w:val="166477"/>
            <w:sz w:val="18"/>
          </w:rPr>
          <w:t>[R024]</w:t>
        </w:r>
      </w:hyperlink>
      <w:r/>
    </w:p>
    <w:p>
      <w:r>
        <w:t>Пакет пригоден для передачи Codex как исследовательский реестр: стабильные локальные record_id, явные типы объектов, разделенные режимы доступа, источники прав и оговорки по каждой записи. Это не готовая лицензия на массовый импорт и не глобальная нормализация корпуса. Безопасная последовательность — библиографические карточки и внешние ссылки, затем загрузка только доказанного открытого слоя, затем ручное разрешение отмеченных пробелов.</w:t>
      </w:r>
    </w:p>
    <w:p>
      <w:r>
        <w:t>Итоговая поставка: один XLSX с листами registry и gaps и этот DOCX. Исходный DR, ID, статус и исторические границы мастер-строки не изменены.</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4737F"/>
        <w:sz w:val="16"/>
      </w:rPr>
      <w:t>ToS • Research-first v4.3.1</w:t>
    </w:r>
    <w: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4737F"/>
        <w:sz w:val="16"/>
      </w:rPr>
      <w:t>ДРЕВО СОФИИ  /  КОРПУС И ПРАВА  /  T2-51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243746"/>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F4F"/>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16647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80"/>
      <w:contextualSpacing/>
    </w:pPr>
    <w:rPr>
      <w:rFonts w:asciiTheme="majorHAnsi" w:eastAsiaTheme="majorEastAsia" w:hAnsiTheme="majorHAnsi" w:cstheme="majorBidi" w:ascii="Calibri" w:hAnsi="Calibri"/>
      <w:b w:val="0"/>
      <w:color w:val="173F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40"/>
    </w:pPr>
    <w:rPr>
      <w:rFonts w:asciiTheme="majorHAnsi" w:eastAsiaTheme="majorEastAsia" w:hAnsiTheme="majorHAnsi" w:cstheme="majorBidi" w:ascii="Calibri" w:hAnsi="Calibri"/>
      <w:b w:val="0"/>
      <w:i/>
      <w:iCs/>
      <w:color w:val="42657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dr.uni-hamburg.de/record/9760" TargetMode="External"/><Relationship Id="rId12" Type="http://schemas.openxmlformats.org/officeDocument/2006/relationships/hyperlink" Target="https://www.ccel.org/ccel/schaff/npnf104.html" TargetMode="External"/><Relationship Id="rId13" Type="http://schemas.openxmlformats.org/officeDocument/2006/relationships/hyperlink" Target="https://nhuwebfile.nhu.edu.tw/UploadedFiles/2023/3/a75f4dc1-af57-4d79-ad91-737b3f90f084.pdf" TargetMode="External"/><Relationship Id="rId14" Type="http://schemas.openxmlformats.org/officeDocument/2006/relationships/hyperlink" Target="https://papyri.uni-koeln.de/stueck/tm64574" TargetMode="External"/><Relationship Id="rId15" Type="http://schemas.openxmlformats.org/officeDocument/2006/relationships/hyperlink" Target="https://www.brepols.net/products/IS-9782503612331-1" TargetMode="External"/><Relationship Id="rId16" Type="http://schemas.openxmlformats.org/officeDocument/2006/relationships/hyperlink" Target="https://turfan.bbaw.de/dta/m/dta_m0022.html" TargetMode="External"/><Relationship Id="rId17" Type="http://schemas.openxmlformats.org/officeDocument/2006/relationships/hyperlink" Target="https://turfan.bbaw.de/dta/m/dta_m0005.html" TargetMode="External"/><Relationship Id="rId18" Type="http://schemas.openxmlformats.org/officeDocument/2006/relationships/hyperlink" Target="https://www.cambridge.org/core/journals/bulletin-of-the-school-of-oriental-and-african-studies/article/abs/manis-sabuhragan/851F1492AB5E860E56B6A4F30BAEA5D2" TargetMode="External"/><Relationship Id="rId19" Type="http://schemas.openxmlformats.org/officeDocument/2006/relationships/hyperlink" Target="https://titus.uni-frankfurt.de/texte/etcs/iran/miran/manich/manreadc/manre024.htm" TargetMode="External"/><Relationship Id="rId20" Type="http://schemas.openxmlformats.org/officeDocument/2006/relationships/hyperlink" Target="https://shop.kohlhammer.de/mani-s-epistles-978-3-17-041672-7.html" TargetMode="External"/><Relationship Id="rId21" Type="http://schemas.openxmlformats.org/officeDocument/2006/relationships/hyperlink" Target="https://academic.oup.com/book/62904" TargetMode="External"/><Relationship Id="rId22" Type="http://schemas.openxmlformats.org/officeDocument/2006/relationships/hyperlink" Target="https://archive.org/details/maniseinelehreun00ibna" TargetMode="External"/><Relationship Id="rId23" Type="http://schemas.openxmlformats.org/officeDocument/2006/relationships/hyperlink" Target="https://www.brepols.net/products/IS-9782503510453-1" TargetMode="External"/><Relationship Id="rId24" Type="http://schemas.openxmlformats.org/officeDocument/2006/relationships/hyperlink" Target="https://www.brepols.net/products/IS-9782503597881-1" TargetMode="External"/><Relationship Id="rId25" Type="http://schemas.openxmlformats.org/officeDocument/2006/relationships/hyperlink" Target="https://www.brepols.net/products/IS-9782503508061-1" TargetMode="External"/><Relationship Id="rId26" Type="http://schemas.openxmlformats.org/officeDocument/2006/relationships/hyperlink" Target="https://www.brepols.net/products/IS-9782503505268-1" TargetMode="External"/><Relationship Id="rId27" Type="http://schemas.openxmlformats.org/officeDocument/2006/relationships/hyperlink" Target="https://experts.nau.edu/en/publications/the-chapters-of-the-wisdom-of-my-lord-mani/" TargetMode="External"/><Relationship Id="rId28" Type="http://schemas.openxmlformats.org/officeDocument/2006/relationships/hyperlink" Target="https://www.fdr.uni-hamburg.de/record/1629" TargetMode="External"/><Relationship Id="rId29" Type="http://schemas.openxmlformats.org/officeDocument/2006/relationships/hyperlink" Target="https://archive.org/details/kephalaiaofteach0000unse" TargetMode="External"/><Relationship Id="rId30" Type="http://schemas.openxmlformats.org/officeDocument/2006/relationships/hyperlink" Target="https://titus.uni-frankfurt.de/texte/etcs/iran/miran/manich/manreadc/manre103.htm" TargetMode="External"/><Relationship Id="rId31" Type="http://schemas.openxmlformats.org/officeDocument/2006/relationships/hyperlink" Target="https://titus.uni-frankfurt.de/texte/etcs/iran/miran/manich/manreadc/manre105.htm" TargetMode="External"/><Relationship Id="rId32" Type="http://schemas.openxmlformats.org/officeDocument/2006/relationships/hyperlink" Target="https://titus.uni-frankfurt.de/texte/etcs/iran/miran/manich/manreadc/manre101.htm" TargetMode="External"/><Relationship Id="rId33" Type="http://schemas.openxmlformats.org/officeDocument/2006/relationships/hyperlink" Target="https://www.brepols.net/products/IS-9782503506357-1" TargetMode="External"/><Relationship Id="rId34" Type="http://schemas.openxmlformats.org/officeDocument/2006/relationships/hyperlink" Target="https://www.brepols.net/products/IS-9782503575506-1" TargetMode="External"/><Relationship Id="rId35" Type="http://schemas.openxmlformats.org/officeDocument/2006/relationships/hyperlink" Target="https://www.brepols.net/products/IS-9782503546285-1" TargetMode="External"/><Relationship Id="rId36" Type="http://schemas.openxmlformats.org/officeDocument/2006/relationships/hyperlink" Target="https://www.brepols.net/products/IS-9782503546278-1" TargetMode="External"/><Relationship Id="rId37" Type="http://schemas.openxmlformats.org/officeDocument/2006/relationships/hyperlink" Target="https://www.brepols.net/products/IS-9782503528878-1" TargetMode="External"/><Relationship Id="rId38" Type="http://schemas.openxmlformats.org/officeDocument/2006/relationships/hyperlink" Target="https://www.brepols.net/products/IS-9783050020167-1" TargetMode="External"/><Relationship Id="rId39" Type="http://schemas.openxmlformats.org/officeDocument/2006/relationships/hyperlink" Target="https://www.brepols.net/products/IS-9782503522920-1" TargetMode="External"/><Relationship Id="rId40" Type="http://schemas.openxmlformats.org/officeDocument/2006/relationships/hyperlink" Target="https://www.brepols.net/products/IS-9782503512433-1" TargetMode="External"/><Relationship Id="rId41" Type="http://schemas.openxmlformats.org/officeDocument/2006/relationships/hyperlink" Target="https://www.brepols.net/products/ON-M1-F1-05720150100-1" TargetMode="External"/><Relationship Id="rId42" Type="http://schemas.openxmlformats.org/officeDocument/2006/relationships/hyperlink" Target="https://www.brepols.net/products/ON-M1-F1-05720110100-1" TargetMode="External"/><Relationship Id="rId43" Type="http://schemas.openxmlformats.org/officeDocument/2006/relationships/hyperlink" Target="https://www.brepols.net/products/ON-M1-F1-05720040100-1" TargetMode="External"/><Relationship Id="rId44" Type="http://schemas.openxmlformats.org/officeDocument/2006/relationships/hyperlink" Target="https://journals.ysu.am/JIL/article/view/14924" TargetMode="External"/><Relationship Id="rId45" Type="http://schemas.openxmlformats.org/officeDocument/2006/relationships/hyperlink" Target="https://journals.ysu.am/JIL/article/view/12557" TargetMode="External"/><Relationship Id="rId46" Type="http://schemas.openxmlformats.org/officeDocument/2006/relationships/hyperlink" Target="https://titus.uni-frankfurt.de/texte/etcs/iran/miran/manich/manreadc/manre025.htm" TargetMode="External"/><Relationship Id="rId47" Type="http://schemas.openxmlformats.org/officeDocument/2006/relationships/hyperlink" Target="https://edoc.ub.uni-muenchen.de/36601/" TargetMode="External"/><Relationship Id="rId48" Type="http://schemas.openxmlformats.org/officeDocument/2006/relationships/hyperlink" Target="https://www.deadseascrolls.org.il/explore-the-archive/manuscript/4Q203-1" TargetMode="External"/><Relationship Id="rId49" Type="http://schemas.openxmlformats.org/officeDocument/2006/relationships/hyperlink" Target="https://sacred-texts.com/bib/boe/index.htm" TargetMode="External"/><Relationship Id="rId50" Type="http://schemas.openxmlformats.org/officeDocument/2006/relationships/hyperlink" Target="https://www.brepols.net/products/IS-9782503577739-1" TargetMode="External"/><Relationship Id="rId51" Type="http://schemas.openxmlformats.org/officeDocument/2006/relationships/hyperlink" Target="https://www.brepols.net/products/IS-9782503589213-1" TargetMode="External"/><Relationship Id="rId52" Type="http://schemas.openxmlformats.org/officeDocument/2006/relationships/hyperlink" Target="https://www.brepols.net/products/IS-9782503601052-1" TargetMode="External"/><Relationship Id="rId53" Type="http://schemas.openxmlformats.org/officeDocument/2006/relationships/hyperlink" Target="https://www.brepols.net/products/IS-9782503607672-1" TargetMode="External"/><Relationship Id="rId54" Type="http://schemas.openxmlformats.org/officeDocument/2006/relationships/hyperlink" Target="https://d-nb.info/1377037940/34" TargetMode="External"/><Relationship Id="rId55" Type="http://schemas.openxmlformats.org/officeDocument/2006/relationships/hyperlink" Target="https://www.brepols.net/products/IS-9782503521978-1" TargetMode="External"/><Relationship Id="rId56" Type="http://schemas.openxmlformats.org/officeDocument/2006/relationships/hyperlink" Target="https://www.brepols.net/products/IS-9782503506494-1" TargetMode="External"/><Relationship Id="rId57" Type="http://schemas.openxmlformats.org/officeDocument/2006/relationships/hyperlink" Target="https://turfan.bbaw.de/dta/m/dta_m0002.html" TargetMode="External"/><Relationship Id="rId58" Type="http://schemas.openxmlformats.org/officeDocument/2006/relationships/hyperlink" Target="https://brill.com/display/title/16430?language=en" TargetMode="External"/><Relationship Id="rId59" Type="http://schemas.openxmlformats.org/officeDocument/2006/relationships/hyperlink" Target="https://archive.org/details/cu31924092341670" TargetMode="External"/><Relationship Id="rId60" Type="http://schemas.openxmlformats.org/officeDocument/2006/relationships/hyperlink" Target="https://books.google.com/books/about/Chronology_of_Ancient_Nations.html?id=BCByrEyP3aAC" TargetMode="External"/><Relationship Id="rId61" Type="http://schemas.openxmlformats.org/officeDocument/2006/relationships/hyperlink" Target="https://www.newadvent.org/fathers/1405.htm" TargetMode="External"/><Relationship Id="rId62" Type="http://schemas.openxmlformats.org/officeDocument/2006/relationships/hyperlink" Target="https://www.newadvent.org/fathers/1404.htm" TargetMode="External"/><Relationship Id="rId63" Type="http://schemas.openxmlformats.org/officeDocument/2006/relationships/hyperlink" Target="https://www.newadvent.org/fathers/1406.htm" TargetMode="External"/><Relationship Id="rId64" Type="http://schemas.openxmlformats.org/officeDocument/2006/relationships/hyperlink" Target="https://www.newadvent.org/fathers/0616.htm" TargetMode="External"/><Relationship Id="rId65" Type="http://schemas.openxmlformats.org/officeDocument/2006/relationships/hyperlink" Target="https://www.orientalstudies.ru/rus/index.php?Itemid=75&amp;option=com_publications&amp;pub=10478" TargetMode="External"/><Relationship Id="rId66" Type="http://schemas.openxmlformats.org/officeDocument/2006/relationships/hyperlink" Target="https://archive.org/details/manichaeanpsalmb0000allb" TargetMode="External"/><Relationship Id="rId67" Type="http://schemas.openxmlformats.org/officeDocument/2006/relationships/hyperlink" Target="https://titus.uni-frankfurt.de/texte/etcs/iran/miran/manich/manreadc/manre015.htm" TargetMode="External"/><Relationship Id="rId68" Type="http://schemas.openxmlformats.org/officeDocument/2006/relationships/hyperlink" Target="https://www.brepols.net/products/IS-9782503597904-1" TargetMode="External"/><Relationship Id="rId69" Type="http://schemas.openxmlformats.org/officeDocument/2006/relationships/hyperlink" Target="https://www.manichaeism.de/wp-content/uploads/2020/01/eDbMT-1.3-Xuast.-21.12.2019.pdf" TargetMode="External"/><Relationship Id="rId70" Type="http://schemas.openxmlformats.org/officeDocument/2006/relationships/hyperlink" Target="https://www.orientalstudies.ru/rus/index.php?Itemid=75&amp;option=com_publications&amp;pub=1255" TargetMode="External"/><Relationship Id="rId71" Type="http://schemas.openxmlformats.org/officeDocument/2006/relationships/hyperlink" Target="https://www.brepols.net/products/IS-9782503550244-1" TargetMode="External"/><Relationship Id="rId72" Type="http://schemas.openxmlformats.org/officeDocument/2006/relationships/hyperlink" Target="https://www.brepols.net/products/IS-9782503579221-1" TargetMode="External"/><Relationship Id="rId73" Type="http://schemas.openxmlformats.org/officeDocument/2006/relationships/hyperlink" Target="https://raw.githubusercontent.com/cbeta-org/xml-p5/master/T/T54/T54n2140.xml" TargetMode="External"/><Relationship Id="rId74" Type="http://schemas.openxmlformats.org/officeDocument/2006/relationships/hyperlink" Target="https://raw.githubusercontent.com/cbeta-org/xml-p5/master/T/T54/T54n2141A.xml" TargetMode="External"/><Relationship Id="rId75" Type="http://schemas.openxmlformats.org/officeDocument/2006/relationships/hyperlink" Target="https://raw.githubusercontent.com/cbeta-org/xml-p5/master/T/T54/T54n2141B.xml" TargetMode="External"/><Relationship Id="rId76" Type="http://schemas.openxmlformats.org/officeDocument/2006/relationships/hyperlink" Target="https://www.brepols.net/products/IS-9782503512464-1" TargetMode="External"/><Relationship Id="rId77" Type="http://schemas.openxmlformats.org/officeDocument/2006/relationships/hyperlink" Target="https://commons.wikimedia.org/wiki/File:Texte_manich%C3%A9en_(BnF,_P._3884).jpg" TargetMode="External"/><Relationship Id="rId78" Type="http://schemas.openxmlformats.org/officeDocument/2006/relationships/hyperlink" Target="https://orchontal.de/en/monuments/karabalgasun/trilingual-inscription/" TargetMode="External"/><Relationship Id="rId79" Type="http://schemas.openxmlformats.org/officeDocument/2006/relationships/hyperlink" Target="https://tsj.enu.kz/index.php/new/article/view/697" TargetMode="External"/><Relationship Id="rId80" Type="http://schemas.openxmlformats.org/officeDocument/2006/relationships/hyperlink" Target="https://catalog.hathitrust.org/Record/006604712" TargetMode="External"/><Relationship Id="rId81" Type="http://schemas.openxmlformats.org/officeDocument/2006/relationships/hyperlink" Target="https://www.cambridge.org/core/books/manichaean-texts-from-the-roman-empire/7965C563649616E9FE674E039CA275F4/listing" TargetMode="External"/><Relationship Id="rId82" Type="http://schemas.openxmlformats.org/officeDocument/2006/relationships/hyperlink" Target="https://www.brepols.net/products/IS-9782503512471-1" TargetMode="External"/><Relationship Id="rId83" Type="http://schemas.openxmlformats.org/officeDocument/2006/relationships/hyperlink" Target="https://turfan.bbaw.de/dta/m/dta_m_index.htm" TargetMode="External"/><Relationship Id="rId84" Type="http://schemas.openxmlformats.org/officeDocument/2006/relationships/hyperlink" Target="https://www.brepols.net/series/CFM" TargetMode="External"/><Relationship Id="rId85" Type="http://schemas.openxmlformats.org/officeDocument/2006/relationships/hyperlink" Target="https://www.brepols.net/products/IS-97825035945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T2-51</dc:title>
  <dc:subject>Манихейский многоязычный корпус: доступ, версии, свидетели и права</dc:subject>
  <dc:creator>ToS</dc:creator>
  <cp:keywords>T2-51, Manichaeism, corpus, rights, manuscripts</cp:keywords>
  <dc:description/>
  <cp:lastModifiedBy/>
  <cp:revision>1</cp:revision>
  <dcterms:created xsi:type="dcterms:W3CDTF">2013-12-23T23:15:00Z</dcterms:created>
  <dcterms:modified xsi:type="dcterms:W3CDTF">2013-12-23T23:15:00Z</dcterms:modified>
  <cp:category/>
</cp:coreProperties>
</file>