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r>
        <w:rPr>
          <w:sz w:val="28"/>
        </w:rPr>
        <w:t>T2-06 · Коптский Египет между монашеством,</w:t>
        <w:br/>
        <w:t>переводом и гностико-патристическими хвостами</w:t>
      </w:r>
    </w:p>
    <w:p>
      <w:pPr>
        <w:pStyle w:val="SourceNote"/>
      </w:pPr>
      <w:r>
        <w:t>75 записей доступа  /  31 пункт пробелов  /  проверка 4 сентября 2026 года</w:t>
      </w:r>
    </w:p>
    <w:p>
      <w:pPr>
        <w:pStyle w:val="Heading1"/>
        <w:pageBreakBefore w:val="0"/>
      </w:pPr>
      <w:r>
        <w:t>1. Паспорт</w:t>
      </w:r>
    </w:p>
    <w:p>
      <w:r>
        <w:t>Исходный статус — B. Исторические границы мастер-строки сохранены: формирование IV–VIII вв.; письменная фиксация и передача IV–X вв.; канонизация и комментарий VII–XII вв. Исследование не меняет ни статус, ни ID, ни исторический очерк.</w:t>
      </w:r>
    </w:p>
    <w:p>
      <w:r>
        <w:t>Основа: «ToS Deep Research_ T2-06 — Коптский Египет между монашеством, переводом и гностико-патристическими х(1).docx». Использованы прежде всего паспорт, блоки 6–7 о корпусах и авторах, блоки 12–16 о передаче, сохранности и источниках. DR служил картой поиска. Предложенные в нём графы, внутренние ID, YAML и задачи Codex не выполнялись.</w:t>
      </w:r>
    </w:p>
    <w:p>
      <w:r>
        <w:t>Ядром считались пахомианская нормативная и житийная традиция; Canons и Discourses Шенуте; сочинения Бесы; коптские апофегмы; библейская и патристическая переводная библиотека; аскетические трактаты, жития и церковная история. Наг-Хаммади исследован как важный пограничный корпус, а не как замена монастырскому ядру. Копто-арабская книжность включена там, где она сохраняет или продолжает конкретный материал этой среды.</w:t>
      </w:r>
    </w:p>
    <w:p>
      <w:r>
        <w:t>Искались произведения и корпуса, конкретные издания и переводы, цифровые транскрипции, рукописные свидетели, факсимиле, машиночитаемые пакеты и каталожные входы. Основные языки запросов — английский, русский и французский; дополнительно использовались арабские имена и названия, итальянская и немецкая библиографическая терминология, сиглы рукописей, CTS URN и CMCL/TM-идентификаторы. Испаноязычный поиск переводов оставлен отдельным пробелом, а не объявлен завершённым.</w:t>
      </w:r>
    </w:p>
    <w:p>
      <w:r>
        <w:t>Для доступа приоритет получили официальные цифровые проекты, библиотеки, музейные и рукописные каталоги, издательства и авторизованные продавцы. Идентификация проверялась по научным метаданным и изданиям. Права — по уведомлениям конкретных текстов, лицензиям компонентов и применимым условиям учреждения; наличие файла или кнопки Download не считалось разрешением на повторную публикацию.</w:t>
      </w:r>
    </w:p>
    <w:p>
      <w:r>
        <w:t>Каждая запись отделяет доступность страницы от доступности полного файла. Если открылось описание, но не PDF или платный текст, это явно сохранено в verification_status. Названия из слабых навигационных источников не превращены в установленные объекты: предполагаемая связь «Од Соломона» с Pistis Sophia оставлена как unverified_candidate. Wikipedia не используется в итоговых файлах как источник доступа, метаданных или прав.</w:t>
      </w:r>
    </w:p>
    <w:p>
      <w:pPr>
        <w:pStyle w:val="SourceNote"/>
      </w:pPr>
      <w:r>
        <w:t xml:space="preserve">Источники и записи реестра: </w:t>
      </w:r>
      <w:hyperlink r:id="rId11">
        <w:r>
          <w:rPr>
            <w:color w:val="276C78"/>
            <w:u w:val="single"/>
          </w:rPr>
          <w:t>R004</w:t>
        </w:r>
      </w:hyperlink>
      <w:r>
        <w:t xml:space="preserve"> · </w:t>
      </w:r>
      <w:hyperlink r:id="rId12">
        <w:r>
          <w:rPr>
            <w:color w:val="276C78"/>
            <w:u w:val="single"/>
          </w:rPr>
          <w:t>R037</w:t>
        </w:r>
      </w:hyperlink>
      <w:r>
        <w:t xml:space="preserve"> · </w:t>
      </w:r>
      <w:hyperlink r:id="rId13">
        <w:r>
          <w:rPr>
            <w:color w:val="276C78"/>
            <w:u w:val="single"/>
          </w:rPr>
          <w:t>R047</w:t>
        </w:r>
      </w:hyperlink>
      <w:r>
        <w:t xml:space="preserve"> · </w:t>
      </w:r>
      <w:hyperlink r:id="rId14">
        <w:r>
          <w:rPr>
            <w:color w:val="276C78"/>
            <w:u w:val="single"/>
          </w:rPr>
          <w:t>R051</w:t>
        </w:r>
      </w:hyperlink>
      <w:r>
        <w:t xml:space="preserve"> · </w:t>
      </w:r>
      <w:hyperlink r:id="rId15">
        <w:r>
          <w:rPr>
            <w:color w:val="276C78"/>
            <w:u w:val="single"/>
          </w:rPr>
          <w:t>R071</w:t>
        </w:r>
      </w:hyperlink>
      <w:r>
        <w:t xml:space="preserve"> — правила применения лицензий и полнота раскрыты в соответствующих строках XLSX.</w:t>
      </w:r>
    </w:p>
    <w:p>
      <w:pPr>
        <w:pStyle w:val="Heading1"/>
        <w:pageBreakBefore/>
      </w:pPr>
      <w:r>
        <w:t>2. Охват корпуса</w:t>
      </w:r>
    </w:p>
    <w:p>
      <w:pPr>
        <w:pStyle w:val="Heading2"/>
      </w:pPr>
      <w:r>
        <w:t>Монастырское и переводное ядро</w:t>
      </w:r>
    </w:p>
    <w:p>
      <w:r>
        <w:t>Пахомианская линия получила два дополняющих входа: открытый коптский текст первой части «Наставлений» и современный трёхтомный перевод Pachomian Koinonia Армана Вейё. Тома охватывают жития, хронику и монастырские правила, наставления, письма и другие тексты Пахомия, Феодора и Орсисия. Это не три разных независимых традиции, а издательский комплекс одного корпуса. Открытая часть «Наставлений» не подменяет весь комплекс.</w:t>
      </w:r>
    </w:p>
    <w:p>
      <w:pPr>
        <w:pStyle w:val="SourceNote"/>
      </w:pPr>
      <w:r>
        <w:t xml:space="preserve">Источники и записи реестра: </w:t>
      </w:r>
      <w:hyperlink r:id="rId16">
        <w:r>
          <w:rPr>
            <w:color w:val="276C78"/>
            <w:u w:val="single"/>
          </w:rPr>
          <w:t>R003</w:t>
        </w:r>
      </w:hyperlink>
      <w:r>
        <w:t xml:space="preserve"> · </w:t>
      </w:r>
      <w:hyperlink r:id="rId17">
        <w:r>
          <w:rPr>
            <w:color w:val="276C78"/>
            <w:u w:val="single"/>
          </w:rPr>
          <w:t>R014</w:t>
        </w:r>
      </w:hyperlink>
      <w:r>
        <w:t xml:space="preserve"> · </w:t>
      </w:r>
      <w:hyperlink r:id="rId18">
        <w:r>
          <w:rPr>
            <w:color w:val="276C78"/>
            <w:u w:val="single"/>
          </w:rPr>
          <w:t>R015</w:t>
        </w:r>
      </w:hyperlink>
      <w:r>
        <w:t xml:space="preserve"> · </w:t>
      </w:r>
      <w:hyperlink r:id="rId19">
        <w:r>
          <w:rPr>
            <w:color w:val="276C78"/>
            <w:u w:val="single"/>
          </w:rPr>
          <w:t>R016</w:t>
        </w:r>
      </w:hyperlink>
    </w:p>
    <w:p>
      <w:r>
        <w:t>У Шенуте различены Canons, Discourses, современные выборки правил и речей, а также доступные цифровые фрагменты отдельных произведений. Включены, среди прочего, Not Because a Fox Barks, In the Night, Because of You Too O Prince of Evil, The Lord Thundered, Whoever Seeks God Will Find и So Listen. Сохранён корпус Бесы: письма и наставления, открытые отдельные тексты и научное двухтомное издание Куна. «Житие Шенуте», традиционно приписываемое Бесе, учтено отдельно от несомненного авторского корпуса.</w:t>
      </w:r>
    </w:p>
    <w:p>
      <w:pPr>
        <w:pStyle w:val="SourceNote"/>
      </w:pPr>
      <w:r>
        <w:t xml:space="preserve">Источники и записи реестра: </w:t>
      </w:r>
      <w:hyperlink r:id="rId20">
        <w:r>
          <w:rPr>
            <w:color w:val="276C78"/>
            <w:u w:val="single"/>
          </w:rPr>
          <w:t>R001</w:t>
        </w:r>
      </w:hyperlink>
      <w:r>
        <w:t xml:space="preserve"> · </w:t>
      </w:r>
      <w:hyperlink r:id="rId21">
        <w:r>
          <w:rPr>
            <w:color w:val="276C78"/>
            <w:u w:val="single"/>
          </w:rPr>
          <w:t>R002</w:t>
        </w:r>
      </w:hyperlink>
      <w:r>
        <w:t xml:space="preserve"> · </w:t>
      </w:r>
      <w:hyperlink r:id="rId22">
        <w:r>
          <w:rPr>
            <w:color w:val="276C78"/>
            <w:u w:val="single"/>
          </w:rPr>
          <w:t>R007</w:t>
        </w:r>
      </w:hyperlink>
      <w:r>
        <w:t xml:space="preserve"> · </w:t>
      </w:r>
      <w:hyperlink r:id="rId23">
        <w:r>
          <w:rPr>
            <w:color w:val="276C78"/>
            <w:u w:val="single"/>
          </w:rPr>
          <w:t>R008</w:t>
        </w:r>
      </w:hyperlink>
      <w:r>
        <w:t xml:space="preserve"> · </w:t>
      </w:r>
      <w:hyperlink r:id="rId24">
        <w:r>
          <w:rPr>
            <w:color w:val="276C78"/>
            <w:u w:val="single"/>
          </w:rPr>
          <w:t>R009</w:t>
        </w:r>
      </w:hyperlink>
      <w:r>
        <w:t xml:space="preserve"> · </w:t>
      </w:r>
      <w:hyperlink r:id="rId25">
        <w:r>
          <w:rPr>
            <w:color w:val="276C78"/>
            <w:u w:val="single"/>
          </w:rPr>
          <w:t>R010</w:t>
        </w:r>
      </w:hyperlink>
      <w:r>
        <w:t xml:space="preserve"> · </w:t>
      </w:r>
      <w:hyperlink r:id="rId26">
        <w:r>
          <w:rPr>
            <w:color w:val="276C78"/>
            <w:u w:val="single"/>
          </w:rPr>
          <w:t>R011</w:t>
        </w:r>
      </w:hyperlink>
      <w:r>
        <w:t xml:space="preserve"> · </w:t>
      </w:r>
      <w:hyperlink r:id="rId27">
        <w:r>
          <w:rPr>
            <w:color w:val="276C78"/>
            <w:u w:val="single"/>
          </w:rPr>
          <w:t>R019</w:t>
        </w:r>
      </w:hyperlink>
      <w:r>
        <w:t xml:space="preserve"> · </w:t>
      </w:r>
      <w:hyperlink r:id="rId28">
        <w:r>
          <w:rPr>
            <w:color w:val="276C78"/>
            <w:u w:val="single"/>
          </w:rPr>
          <w:t>R020</w:t>
        </w:r>
      </w:hyperlink>
      <w:r>
        <w:t xml:space="preserve"> · </w:t>
      </w:r>
      <w:hyperlink r:id="rId29">
        <w:r>
          <w:rPr>
            <w:color w:val="276C78"/>
            <w:u w:val="single"/>
          </w:rPr>
          <w:t>R021</w:t>
        </w:r>
      </w:hyperlink>
      <w:r>
        <w:t xml:space="preserve"> · </w:t>
      </w:r>
      <w:hyperlink r:id="rId30">
        <w:r>
          <w:rPr>
            <w:color w:val="276C78"/>
            <w:u w:val="single"/>
          </w:rPr>
          <w:t>R022</w:t>
        </w:r>
      </w:hyperlink>
      <w:r>
        <w:t xml:space="preserve"> · </w:t>
      </w:r>
      <w:hyperlink r:id="rId31">
        <w:r>
          <w:rPr>
            <w:color w:val="276C78"/>
            <w:u w:val="single"/>
          </w:rPr>
          <w:t>R023</w:t>
        </w:r>
      </w:hyperlink>
      <w:r>
        <w:t xml:space="preserve"> · </w:t>
      </w:r>
      <w:hyperlink r:id="rId32">
        <w:r>
          <w:rPr>
            <w:color w:val="276C78"/>
            <w:u w:val="single"/>
          </w:rPr>
          <w:t>R025</w:t>
        </w:r>
      </w:hyperlink>
      <w:r>
        <w:t xml:space="preserve"> · </w:t>
      </w:r>
      <w:hyperlink r:id="rId33">
        <w:r>
          <w:rPr>
            <w:color w:val="276C78"/>
            <w:u w:val="single"/>
          </w:rPr>
          <w:t>R059</w:t>
        </w:r>
      </w:hyperlink>
      <w:r>
        <w:t xml:space="preserve"> · </w:t>
      </w:r>
      <w:hyperlink r:id="rId34">
        <w:r>
          <w:rPr>
            <w:color w:val="276C78"/>
            <w:u w:val="single"/>
          </w:rPr>
          <w:t>R060</w:t>
        </w:r>
      </w:hyperlink>
    </w:p>
    <w:p>
      <w:r>
        <w:t>Апофегматическая традиция представлена конкретным коптским изречением AP035, цифровым собранием и двумя современными английскими переводами греческой алфавитной редакции. Для переводной библиотеки найдены отдельные слои Ветхого и Нового Заветов, трактат «О душе и теле», официально предложенные CMCL патристические издания и тексты житий. Sermo Asceticus Стефана Фиваидского получил точные научные библиографические входы для коптской и геэзской версий, но не подтверждённый свободный полный текст.</w:t>
      </w:r>
    </w:p>
    <w:p>
      <w:pPr>
        <w:pStyle w:val="SourceNote"/>
      </w:pPr>
      <w:r>
        <w:t xml:space="preserve">Источники и записи реестра: </w:t>
      </w:r>
      <w:hyperlink r:id="rId35">
        <w:r>
          <w:rPr>
            <w:color w:val="276C78"/>
            <w:u w:val="single"/>
          </w:rPr>
          <w:t>R005</w:t>
        </w:r>
      </w:hyperlink>
      <w:r>
        <w:t xml:space="preserve"> · </w:t>
      </w:r>
      <w:hyperlink r:id="rId36">
        <w:r>
          <w:rPr>
            <w:color w:val="276C78"/>
            <w:u w:val="single"/>
          </w:rPr>
          <w:t>R006</w:t>
        </w:r>
      </w:hyperlink>
      <w:r>
        <w:t xml:space="preserve"> · </w:t>
      </w:r>
      <w:hyperlink r:id="rId37">
        <w:r>
          <w:rPr>
            <w:color w:val="276C78"/>
            <w:u w:val="single"/>
          </w:rPr>
          <w:t>R017</w:t>
        </w:r>
      </w:hyperlink>
      <w:r>
        <w:t xml:space="preserve"> · </w:t>
      </w:r>
      <w:hyperlink r:id="rId38">
        <w:r>
          <w:rPr>
            <w:color w:val="276C78"/>
            <w:u w:val="single"/>
          </w:rPr>
          <w:t>R018</w:t>
        </w:r>
      </w:hyperlink>
      <w:r>
        <w:t xml:space="preserve"> · </w:t>
      </w:r>
      <w:hyperlink r:id="rId39">
        <w:r>
          <w:rPr>
            <w:color w:val="276C78"/>
            <w:u w:val="single"/>
          </w:rPr>
          <w:t>R024</w:t>
        </w:r>
      </w:hyperlink>
      <w:r>
        <w:t xml:space="preserve"> · </w:t>
      </w:r>
      <w:hyperlink r:id="rId40">
        <w:r>
          <w:rPr>
            <w:color w:val="276C78"/>
            <w:u w:val="single"/>
          </w:rPr>
          <w:t>R053</w:t>
        </w:r>
      </w:hyperlink>
      <w:r>
        <w:t xml:space="preserve"> · </w:t>
      </w:r>
      <w:hyperlink r:id="rId41">
        <w:r>
          <w:rPr>
            <w:color w:val="276C78"/>
            <w:u w:val="single"/>
          </w:rPr>
          <w:t>R073</w:t>
        </w:r>
      </w:hyperlink>
      <w:r>
        <w:t xml:space="preserve"> · </w:t>
      </w:r>
      <w:hyperlink r:id="rId42">
        <w:r>
          <w:rPr>
            <w:color w:val="276C78"/>
            <w:u w:val="single"/>
          </w:rPr>
          <w:t>R074</w:t>
        </w:r>
      </w:hyperlink>
    </w:p>
    <w:p>
      <w:pPr>
        <w:pStyle w:val="Heading2"/>
      </w:pPr>
      <w:r>
        <w:t>Добавления веб-поиска и хронологический ореол</w:t>
      </w:r>
    </w:p>
    <w:p>
      <w:r>
        <w:t>Веб-поиск добавил «Житие Исаака Александрийского», «Житие Апы Афу», «Житие Антония», Лавсаик Палладия, девятую конференцию Кассиана, издания Павла Таммского, жития Фифа и Лонгина, проповеди в собрании Фрира, копто-арабский Синаксарь и поздние руководства о Евхаристии. Эти добавления связаны с монашеским наставлением, конкретной переводной библиотекой или сохранением её авторитетов, а не только с принадлежностью к христианскому Египту.</w:t>
      </w:r>
    </w:p>
    <w:p>
      <w:pPr>
        <w:pStyle w:val="SourceNote"/>
      </w:pPr>
      <w:r>
        <w:t xml:space="preserve">Источники и записи реестра: </w:t>
      </w:r>
      <w:hyperlink r:id="rId43">
        <w:r>
          <w:rPr>
            <w:color w:val="276C78"/>
            <w:u w:val="single"/>
          </w:rPr>
          <w:t>R032</w:t>
        </w:r>
      </w:hyperlink>
      <w:r>
        <w:t xml:space="preserve"> · </w:t>
      </w:r>
      <w:hyperlink r:id="rId44">
        <w:r>
          <w:rPr>
            <w:color w:val="276C78"/>
            <w:u w:val="single"/>
          </w:rPr>
          <w:t>R035</w:t>
        </w:r>
      </w:hyperlink>
      <w:r>
        <w:t xml:space="preserve"> · </w:t>
      </w:r>
      <w:hyperlink r:id="rId45">
        <w:r>
          <w:rPr>
            <w:color w:val="276C78"/>
            <w:u w:val="single"/>
          </w:rPr>
          <w:t>R050</w:t>
        </w:r>
      </w:hyperlink>
      <w:r>
        <w:t xml:space="preserve"> · </w:t>
      </w:r>
      <w:hyperlink r:id="rId14">
        <w:r>
          <w:rPr>
            <w:color w:val="276C78"/>
            <w:u w:val="single"/>
          </w:rPr>
          <w:t>R051</w:t>
        </w:r>
      </w:hyperlink>
      <w:r>
        <w:t xml:space="preserve"> · </w:t>
      </w:r>
      <w:hyperlink r:id="rId46">
        <w:r>
          <w:rPr>
            <w:color w:val="276C78"/>
            <w:u w:val="single"/>
          </w:rPr>
          <w:t>R061</w:t>
        </w:r>
      </w:hyperlink>
      <w:r>
        <w:t xml:space="preserve"> · </w:t>
      </w:r>
      <w:hyperlink r:id="rId47">
        <w:r>
          <w:rPr>
            <w:color w:val="276C78"/>
            <w:u w:val="single"/>
          </w:rPr>
          <w:t>R062</w:t>
        </w:r>
      </w:hyperlink>
      <w:r>
        <w:t xml:space="preserve"> · </w:t>
      </w:r>
      <w:hyperlink r:id="rId48">
        <w:r>
          <w:rPr>
            <w:color w:val="276C78"/>
            <w:u w:val="single"/>
          </w:rPr>
          <w:t>R063</w:t>
        </w:r>
      </w:hyperlink>
      <w:r>
        <w:t xml:space="preserve"> · </w:t>
      </w:r>
      <w:hyperlink r:id="rId49">
        <w:r>
          <w:rPr>
            <w:color w:val="276C78"/>
            <w:u w:val="single"/>
          </w:rPr>
          <w:t>R064</w:t>
        </w:r>
      </w:hyperlink>
      <w:r>
        <w:t xml:space="preserve"> · </w:t>
      </w:r>
      <w:hyperlink r:id="rId50">
        <w:r>
          <w:rPr>
            <w:color w:val="276C78"/>
            <w:u w:val="single"/>
          </w:rPr>
          <w:t>R066</w:t>
        </w:r>
      </w:hyperlink>
    </w:p>
    <w:p>
      <w:r>
        <w:t>Поиск назад во времени дал прежде всего прямые текстовые связи пограничного корпуса. Для «Государства» Платона значим именно переработанный отрывок 588b–589b в NHC VI,5; поэтому сохранены и коптский текст в современном французском переводе, и старый английский перевод исходного произведения. Коптские «Сентенции Секста» соотносятся с более ранней греческой гномологической традицией. «Асклепий», молитва благодарения и «Огдоада и Эннеада» включены как конкретные герметические тексты кодекса VI. Это не повод включать все сочинения Платона или всю герметическую литературу.</w:t>
      </w:r>
    </w:p>
    <w:p>
      <w:pPr>
        <w:pStyle w:val="SourceNote"/>
      </w:pPr>
      <w:r>
        <w:t xml:space="preserve">Источники и записи реестра: </w:t>
      </w:r>
      <w:hyperlink r:id="rId51">
        <w:r>
          <w:rPr>
            <w:color w:val="276C78"/>
            <w:u w:val="single"/>
          </w:rPr>
          <w:t>R038</w:t>
        </w:r>
      </w:hyperlink>
      <w:r>
        <w:t xml:space="preserve"> · </w:t>
      </w:r>
      <w:hyperlink r:id="rId52">
        <w:r>
          <w:rPr>
            <w:color w:val="276C78"/>
            <w:u w:val="single"/>
          </w:rPr>
          <w:t>R039</w:t>
        </w:r>
      </w:hyperlink>
      <w:r>
        <w:t xml:space="preserve"> · </w:t>
      </w:r>
      <w:hyperlink r:id="rId53">
        <w:r>
          <w:rPr>
            <w:color w:val="276C78"/>
            <w:u w:val="single"/>
          </w:rPr>
          <w:t>R040</w:t>
        </w:r>
      </w:hyperlink>
      <w:r>
        <w:t xml:space="preserve"> · </w:t>
      </w:r>
      <w:hyperlink r:id="rId54">
        <w:r>
          <w:rPr>
            <w:color w:val="276C78"/>
            <w:u w:val="single"/>
          </w:rPr>
          <w:t>R041</w:t>
        </w:r>
      </w:hyperlink>
      <w:r>
        <w:t xml:space="preserve"> · </w:t>
      </w:r>
      <w:hyperlink r:id="rId55">
        <w:r>
          <w:rPr>
            <w:color w:val="276C78"/>
            <w:u w:val="single"/>
          </w:rPr>
          <w:t>R043</w:t>
        </w:r>
      </w:hyperlink>
      <w:r>
        <w:t xml:space="preserve"> · </w:t>
      </w:r>
      <w:hyperlink r:id="rId56">
        <w:r>
          <w:rPr>
            <w:color w:val="276C78"/>
            <w:u w:val="single"/>
          </w:rPr>
          <w:t>R056</w:t>
        </w:r>
      </w:hyperlink>
    </w:p>
    <w:p>
      <w:pPr>
        <w:keepNext/>
      </w:pPr>
      <w:r>
        <w:t>Поиск вперёд во времени охватил сохранение монастырской памяти в арабской «Истории патриархов», копто-арабском Синаксаре и поздних литургических комментариях. Важный добавленный пример — «Хроника» Иоанна Никиусского: английский перевод позволяет читать текст через геэзскую версию, восходящую к арабскому посреднику. При этом исходный греческий/коптский языковой состав не представлен как бесспорно установленный. Геэзская версия Sermo Asceticus также важна как отдельная линия передачи через арабский.</w:t>
      </w:r>
    </w:p>
    <w:p>
      <w:pPr>
        <w:pStyle w:val="SourceNote"/>
      </w:pPr>
      <w:r>
        <w:t xml:space="preserve">Источники и записи реестра: </w:t>
      </w:r>
      <w:hyperlink r:id="rId38">
        <w:r>
          <w:rPr>
            <w:color w:val="276C78"/>
            <w:u w:val="single"/>
          </w:rPr>
          <w:t>R018</w:t>
        </w:r>
      </w:hyperlink>
      <w:r>
        <w:t xml:space="preserve"> · </w:t>
      </w:r>
      <w:hyperlink r:id="rId57">
        <w:r>
          <w:rPr>
            <w:color w:val="276C78"/>
            <w:u w:val="single"/>
          </w:rPr>
          <w:t>R026</w:t>
        </w:r>
      </w:hyperlink>
      <w:r>
        <w:t xml:space="preserve"> · </w:t>
      </w:r>
      <w:hyperlink r:id="rId58">
        <w:r>
          <w:rPr>
            <w:color w:val="276C78"/>
            <w:u w:val="single"/>
          </w:rPr>
          <w:t>R027</w:t>
        </w:r>
      </w:hyperlink>
      <w:r>
        <w:t xml:space="preserve"> · </w:t>
      </w:r>
      <w:hyperlink r:id="rId59">
        <w:r>
          <w:rPr>
            <w:color w:val="276C78"/>
            <w:u w:val="single"/>
          </w:rPr>
          <w:t>R044</w:t>
        </w:r>
      </w:hyperlink>
      <w:r>
        <w:t xml:space="preserve"> · </w:t>
      </w:r>
      <w:hyperlink r:id="rId46">
        <w:r>
          <w:rPr>
            <w:color w:val="276C78"/>
            <w:u w:val="single"/>
          </w:rPr>
          <w:t>R061</w:t>
        </w:r>
      </w:hyperlink>
    </w:p>
    <w:p>
      <w:r>
        <w:t>Ибн Кабар, Ибн Сабба и Гавриил V выходят за верхнюю границу мастер-строки, но их комментарии к богослужению существенно связаны с институциональным продолжением коптской церковной библиотеки. Лавсаик и Кассиан фиксируют монашеское наставление в других языках; их включение не означает доказанного перевода с коптского. Житийная переработка и более поздний рукописный свидетель тоже отделены от даты жизни описанного лица.</w:t>
      </w:r>
    </w:p>
    <w:p>
      <w:pPr>
        <w:pStyle w:val="SourceNote"/>
      </w:pPr>
      <w:r>
        <w:t xml:space="preserve">Источники и записи реестра: </w:t>
      </w:r>
      <w:hyperlink r:id="rId57">
        <w:r>
          <w:rPr>
            <w:color w:val="276C78"/>
            <w:u w:val="single"/>
          </w:rPr>
          <w:t>R026</w:t>
        </w:r>
      </w:hyperlink>
      <w:r>
        <w:t xml:space="preserve"> · </w:t>
      </w:r>
      <w:hyperlink r:id="rId48">
        <w:r>
          <w:rPr>
            <w:color w:val="276C78"/>
            <w:u w:val="single"/>
          </w:rPr>
          <w:t>R063</w:t>
        </w:r>
      </w:hyperlink>
      <w:r>
        <w:t xml:space="preserve"> · </w:t>
      </w:r>
      <w:hyperlink r:id="rId50">
        <w:r>
          <w:rPr>
            <w:color w:val="276C78"/>
            <w:u w:val="single"/>
          </w:rPr>
          <w:t>R066</w:t>
        </w:r>
      </w:hyperlink>
      <w:r>
        <w:t xml:space="preserve"> · </w:t>
      </w:r>
      <w:hyperlink r:id="rId60">
        <w:r>
          <w:rPr>
            <w:color w:val="276C78"/>
            <w:u w:val="single"/>
          </w:rPr>
          <w:t>R072</w:t>
        </w:r>
      </w:hyperlink>
    </w:p>
    <w:p>
      <w:r>
        <w:t>Для Наг-Хаммади добавлены непосредственно родственные свидетели и версии: Berlin Codex 8502, Askew Codex, Bruce Codex и Codex Tchacos. Они не названы частью самой находки Наг-Хаммади. Две редакционные группы «Апокрифа Иоанна» сохранены раздельно; фрагментарное «Евангелие Марии», «Евангелие Фомы», «Евангелие Филиппа», Pistis Sophia и «Книги Иеу» не сведены к одному однородному учению.</w:t>
      </w:r>
    </w:p>
    <w:p>
      <w:pPr>
        <w:pStyle w:val="SourceNote"/>
      </w:pPr>
      <w:r>
        <w:t xml:space="preserve">Источники и записи реестра: </w:t>
      </w:r>
      <w:hyperlink r:id="rId61">
        <w:r>
          <w:rPr>
            <w:color w:val="276C78"/>
            <w:u w:val="single"/>
          </w:rPr>
          <w:t>R042</w:t>
        </w:r>
      </w:hyperlink>
      <w:r>
        <w:t xml:space="preserve"> · </w:t>
      </w:r>
      <w:hyperlink r:id="rId62">
        <w:r>
          <w:rPr>
            <w:color w:val="276C78"/>
            <w:u w:val="single"/>
          </w:rPr>
          <w:t>R045</w:t>
        </w:r>
      </w:hyperlink>
      <w:r>
        <w:t xml:space="preserve"> · </w:t>
      </w:r>
      <w:hyperlink r:id="rId63">
        <w:r>
          <w:rPr>
            <w:color w:val="276C78"/>
            <w:u w:val="single"/>
          </w:rPr>
          <w:t>R052</w:t>
        </w:r>
      </w:hyperlink>
      <w:r>
        <w:t xml:space="preserve"> · </w:t>
      </w:r>
      <w:hyperlink r:id="rId64">
        <w:r>
          <w:rPr>
            <w:color w:val="276C78"/>
            <w:u w:val="single"/>
          </w:rPr>
          <w:t>R054</w:t>
        </w:r>
      </w:hyperlink>
      <w:r>
        <w:t xml:space="preserve"> · </w:t>
      </w:r>
      <w:hyperlink r:id="rId65">
        <w:r>
          <w:rPr>
            <w:color w:val="276C78"/>
            <w:u w:val="single"/>
          </w:rPr>
          <w:t>R055</w:t>
        </w:r>
      </w:hyperlink>
      <w:r>
        <w:t xml:space="preserve"> · </w:t>
      </w:r>
      <w:hyperlink r:id="rId66">
        <w:r>
          <w:rPr>
            <w:color w:val="276C78"/>
            <w:u w:val="single"/>
          </w:rPr>
          <w:t>R067</w:t>
        </w:r>
      </w:hyperlink>
      <w:r>
        <w:t xml:space="preserve"> · </w:t>
      </w:r>
      <w:hyperlink r:id="rId67">
        <w:r>
          <w:rPr>
            <w:color w:val="276C78"/>
            <w:u w:val="single"/>
          </w:rPr>
          <w:t>R068</w:t>
        </w:r>
      </w:hyperlink>
      <w:r>
        <w:t xml:space="preserve"> · </w:t>
      </w:r>
      <w:hyperlink r:id="rId68">
        <w:r>
          <w:rPr>
            <w:color w:val="276C78"/>
            <w:u w:val="single"/>
          </w:rPr>
          <w:t>R069</w:t>
        </w:r>
      </w:hyperlink>
      <w:r>
        <w:t xml:space="preserve"> · </w:t>
      </w:r>
      <w:hyperlink r:id="rId69">
        <w:r>
          <w:rPr>
            <w:color w:val="276C78"/>
            <w:u w:val="single"/>
          </w:rPr>
          <w:t>R070</w:t>
        </w:r>
      </w:hyperlink>
    </w:p>
    <w:p>
      <w:pPr>
        <w:pStyle w:val="Heading2"/>
      </w:pPr>
      <w:r>
        <w:t>Как читать количественные итоги</w:t>
      </w:r>
    </w:p>
    <w:p>
      <w:r>
        <w:t>Реестр содержит 75 практически различимых записей доступа. Это около 30 произведений и корпусных семейств при укрупнённом учёте: сочинения Шенуте, Бесы и коллекции Наг-Хаммади группируются, а издания, переводы, отдельные свидетели и сервисы не выдаются за дополнительные произведения. Такая оценка описывает масштаб, но не претендует на окончательную дедупликацию всего коптского наследия.</w:t>
      </w:r>
    </w:p>
    <w:p>
      <w:r>
        <w:t>Распределение именно записей доступа: core — 31; same_corpus_or_tradition — 15; boundary — 13; transmission_or_preservation — 5; commentary_or_reception — 3; antecedent, continuation и infrastructure — по 2; supporting и secondary_navigation — по 1. Один и тот же текст может появляться в разных способах доступа. На листе gaps — 31 исследовательский пробел: это не 31 утраченное произведение и не 31 отсутствующий текст.</w:t>
      </w:r>
    </w:p>
    <w:p>
      <w:pPr>
        <w:pStyle w:val="Heading1"/>
        <w:pageBreakBefore/>
      </w:pPr>
      <w:r>
        <w:t>3. Лучшие пути доступа</w:t>
      </w:r>
    </w:p>
    <w:p>
      <w:pPr>
        <w:pStyle w:val="Heading2"/>
      </w:pPr>
      <w:r>
        <w:t>Коптская Библия и машиночитаемые тексты</w:t>
      </w:r>
    </w:p>
    <w:p>
      <w:r>
        <w:t>Для работы с оригинальным языком наиболее полезен Coptic Scriptorium: нормализованный и дипломатический текст, языковая разметка, метаданные и выгрузки корпуса. Общий пакет учитывается одной записью, а не отдельной находкой на каждый XML-файл. Реестр не объявляет весь пакет полностью проверенным: проверены страницы проекта, сведения о выпуске и отдельные тексты/лицензии; автоматическая разметка не приравнивается к ручной научной сверке.</w:t>
      </w:r>
    </w:p>
    <w:p>
      <w:pPr>
        <w:pStyle w:val="SourceNote"/>
      </w:pPr>
      <w:r>
        <w:t xml:space="preserve">Источники и записи реестра: </w:t>
      </w:r>
      <w:hyperlink r:id="rId11">
        <w:r>
          <w:rPr>
            <w:color w:val="276C78"/>
            <w:u w:val="single"/>
          </w:rPr>
          <w:t>R004</w:t>
        </w:r>
      </w:hyperlink>
    </w:p>
    <w:p>
      <w:r>
        <w:t>У сахидского Ветхого Завета наиболее свободен опубликованный Göttingen/Scriptorium текстовый слой под CC BY-SA 4.0, но он не равен полной коптской Библии и не предоставляет автоматически права на фотографии рукописей. Сахидский Новый Завет Sahidica — другой случай: специальные условия электронной репродукции с сохранением полного названия и copyright-уведомления не превращены в универсальную открытую лицензию. Отдельно отмечены современные редакторские реконструкции.</w:t>
      </w:r>
    </w:p>
    <w:p>
      <w:pPr>
        <w:pStyle w:val="SourceNote"/>
      </w:pPr>
      <w:r>
        <w:t xml:space="preserve">Источники и записи реестра: </w:t>
      </w:r>
      <w:hyperlink r:id="rId35">
        <w:r>
          <w:rPr>
            <w:color w:val="276C78"/>
            <w:u w:val="single"/>
          </w:rPr>
          <w:t>R005</w:t>
        </w:r>
      </w:hyperlink>
      <w:r>
        <w:t xml:space="preserve"> · </w:t>
      </w:r>
      <w:hyperlink r:id="rId36">
        <w:r>
          <w:rPr>
            <w:color w:val="276C78"/>
            <w:u w:val="single"/>
          </w:rPr>
          <w:t>R006</w:t>
        </w:r>
      </w:hyperlink>
    </w:p>
    <w:p>
      <w:r>
        <w:t>Старые издания Хорнера, полное покрытие бохайрской Библии и их конкретные свободные сканы остаются задачей продолжения. Для факсимильной и издательской опоры полезен том Worrell, The Coptic Manuscripts in the Freer Collection (1923): подтверждён институциональный источник публикации на Internet Archive. Однако файл PDF не открылся при проверке, поэтому нельзя считать проверенными все его листы, OCR и изображения.</w:t>
      </w:r>
    </w:p>
    <w:p>
      <w:pPr>
        <w:pStyle w:val="SourceNote"/>
      </w:pPr>
      <w:r>
        <w:t xml:space="preserve">Источники и записи реестра: </w:t>
      </w:r>
      <w:hyperlink r:id="rId47">
        <w:r>
          <w:rPr>
            <w:color w:val="276C78"/>
            <w:u w:val="single"/>
          </w:rPr>
          <w:t>R062</w:t>
        </w:r>
      </w:hyperlink>
    </w:p>
    <w:p>
      <w:pPr>
        <w:pStyle w:val="Heading2"/>
      </w:pPr>
      <w:r>
        <w:t>Пахомий, Шенуте и Беса</w:t>
      </w:r>
    </w:p>
    <w:p>
      <w:r>
        <w:t>У Пахомия лучший проверенный открытый коптский вход — первая часть «Наставлений», §§ 1–34, в Scriptorium под CC BY 4.0. Основа — публикация Budge, а не новая колляция рукописи. Для полного многоязычного корпуса лучшие найденные современные читательские входы — Pachomian Koinonia I–III: официальные страницы покупки перевода Вейё. Их содержание подтверждено издателем, но сам приобретённый текст в этом запуске не читался.</w:t>
      </w:r>
    </w:p>
    <w:p>
      <w:pPr>
        <w:pStyle w:val="SourceNote"/>
      </w:pPr>
      <w:r>
        <w:t xml:space="preserve">Источники и записи реестра: </w:t>
      </w:r>
      <w:hyperlink r:id="rId16">
        <w:r>
          <w:rPr>
            <w:color w:val="276C78"/>
            <w:u w:val="single"/>
          </w:rPr>
          <w:t>R003</w:t>
        </w:r>
      </w:hyperlink>
      <w:r>
        <w:t xml:space="preserve"> · </w:t>
      </w:r>
      <w:hyperlink r:id="rId17">
        <w:r>
          <w:rPr>
            <w:color w:val="276C78"/>
            <w:u w:val="single"/>
          </w:rPr>
          <w:t>R014</w:t>
        </w:r>
      </w:hyperlink>
      <w:r>
        <w:t xml:space="preserve"> · </w:t>
      </w:r>
      <w:hyperlink r:id="rId18">
        <w:r>
          <w:rPr>
            <w:color w:val="276C78"/>
            <w:u w:val="single"/>
          </w:rPr>
          <w:t>R015</w:t>
        </w:r>
      </w:hyperlink>
      <w:r>
        <w:t xml:space="preserve"> · </w:t>
      </w:r>
      <w:hyperlink r:id="rId19">
        <w:r>
          <w:rPr>
            <w:color w:val="276C78"/>
            <w:u w:val="single"/>
          </w:rPr>
          <w:t>R016</w:t>
        </w:r>
      </w:hyperlink>
    </w:p>
    <w:p>
      <w:r>
        <w:t>У Шенуте и Бесы свободный путь строится из конкретных текстов, а не из обещания «скачать всё». Для чтения оригинала, локального анализа и собственного перевода наиболее ясны отдельные записи с CC BY 4.0. Среди них — Not Because a Fox Barks, In the Night, The Lord Thundered и письма/наставления Бесы. В каждой строке указаны сиглы, фрагменты, издание-основа и пределы доступного слоя.</w:t>
      </w:r>
    </w:p>
    <w:p>
      <w:pPr>
        <w:pStyle w:val="SourceNote"/>
      </w:pPr>
      <w:r>
        <w:t xml:space="preserve">Источники и записи реестра: </w:t>
      </w:r>
      <w:hyperlink r:id="rId20">
        <w:r>
          <w:rPr>
            <w:color w:val="276C78"/>
            <w:u w:val="single"/>
          </w:rPr>
          <w:t>R001</w:t>
        </w:r>
      </w:hyperlink>
      <w:r>
        <w:t xml:space="preserve"> · </w:t>
      </w:r>
      <w:hyperlink r:id="rId21">
        <w:r>
          <w:rPr>
            <w:color w:val="276C78"/>
            <w:u w:val="single"/>
          </w:rPr>
          <w:t>R002</w:t>
        </w:r>
      </w:hyperlink>
      <w:r>
        <w:t xml:space="preserve"> · </w:t>
      </w:r>
      <w:hyperlink r:id="rId22">
        <w:r>
          <w:rPr>
            <w:color w:val="276C78"/>
            <w:u w:val="single"/>
          </w:rPr>
          <w:t>R007</w:t>
        </w:r>
      </w:hyperlink>
      <w:r>
        <w:t xml:space="preserve"> · </w:t>
      </w:r>
      <w:hyperlink r:id="rId23">
        <w:r>
          <w:rPr>
            <w:color w:val="276C78"/>
            <w:u w:val="single"/>
          </w:rPr>
          <w:t>R008</w:t>
        </w:r>
      </w:hyperlink>
      <w:r>
        <w:t xml:space="preserve"> · </w:t>
      </w:r>
      <w:hyperlink r:id="rId24">
        <w:r>
          <w:rPr>
            <w:color w:val="276C78"/>
            <w:u w:val="single"/>
          </w:rPr>
          <w:t>R009</w:t>
        </w:r>
      </w:hyperlink>
      <w:r>
        <w:t xml:space="preserve"> · </w:t>
      </w:r>
      <w:hyperlink r:id="rId25">
        <w:r>
          <w:rPr>
            <w:color w:val="276C78"/>
            <w:u w:val="single"/>
          </w:rPr>
          <w:t>R010</w:t>
        </w:r>
      </w:hyperlink>
      <w:r>
        <w:t xml:space="preserve"> · </w:t>
      </w:r>
      <w:hyperlink r:id="rId27">
        <w:r>
          <w:rPr>
            <w:color w:val="276C78"/>
            <w:u w:val="single"/>
          </w:rPr>
          <w:t>R019</w:t>
        </w:r>
      </w:hyperlink>
      <w:r>
        <w:t xml:space="preserve"> · </w:t>
      </w:r>
      <w:hyperlink r:id="rId28">
        <w:r>
          <w:rPr>
            <w:color w:val="276C78"/>
            <w:u w:val="single"/>
          </w:rPr>
          <w:t>R020</w:t>
        </w:r>
      </w:hyperlink>
      <w:r>
        <w:t xml:space="preserve"> · </w:t>
      </w:r>
      <w:hyperlink r:id="rId29">
        <w:r>
          <w:rPr>
            <w:color w:val="276C78"/>
            <w:u w:val="single"/>
          </w:rPr>
          <w:t>R021</w:t>
        </w:r>
      </w:hyperlink>
      <w:r>
        <w:t xml:space="preserve"> · </w:t>
      </w:r>
      <w:hyperlink r:id="rId30">
        <w:r>
          <w:rPr>
            <w:color w:val="276C78"/>
            <w:u w:val="single"/>
          </w:rPr>
          <w:t>R022</w:t>
        </w:r>
      </w:hyperlink>
      <w:r>
        <w:t xml:space="preserve"> · </w:t>
      </w:r>
      <w:hyperlink r:id="rId31">
        <w:r>
          <w:rPr>
            <w:color w:val="276C78"/>
            <w:u w:val="single"/>
          </w:rPr>
          <w:t>R023</w:t>
        </w:r>
      </w:hyperlink>
    </w:p>
    <w:p>
      <w:r>
        <w:t>Для научного чтения правил существенно издание Bentley Layton, The Canons of Our Fathers (2014). Это выборка монастырских правил, а не полное издание всех девяти Canons. Для речей — David Brakke и Andrew Crislip, Selected Discourses of Shenoute (2015): в реестре сохранена открывшаяся авторизованная страница продажи, поскольку издательская страница была недоступна. Современные переводы защищены; их ценность как читательского и научного входа от этого не уменьшается.</w:t>
      </w:r>
    </w:p>
    <w:p>
      <w:pPr>
        <w:pStyle w:val="SourceNote"/>
      </w:pPr>
      <w:r>
        <w:t xml:space="preserve">Источники и записи реестра: </w:t>
      </w:r>
      <w:hyperlink r:id="rId70">
        <w:r>
          <w:rPr>
            <w:color w:val="276C78"/>
            <w:u w:val="single"/>
          </w:rPr>
          <w:t>R013</w:t>
        </w:r>
      </w:hyperlink>
      <w:r>
        <w:t xml:space="preserve"> · </w:t>
      </w:r>
      <w:hyperlink r:id="rId71">
        <w:r>
          <w:rPr>
            <w:color w:val="276C78"/>
            <w:u w:val="single"/>
          </w:rPr>
          <w:t>R049</w:t>
        </w:r>
      </w:hyperlink>
    </w:p>
    <w:p>
      <w:r>
        <w:t>Для Бесы сохранены отдельные тома Куна — коптский текст и английский перевод, CSCO 157/158. Официальные ссылки на товары обнаружены, но не открылись: наличие и условия покупки нужно перепроверить. Для «Жития Шенуте» есть перевод David N. Bell (1983); бохайрское цифровое собрание отмечено как найденное, но его отдельные представления текста не удалось полноценно проверить.</w:t>
      </w:r>
    </w:p>
    <w:p>
      <w:pPr>
        <w:pStyle w:val="SourceNote"/>
      </w:pPr>
      <w:r>
        <w:t xml:space="preserve">Источники и записи реестра: </w:t>
      </w:r>
      <w:hyperlink r:id="rId32">
        <w:r>
          <w:rPr>
            <w:color w:val="276C78"/>
            <w:u w:val="single"/>
          </w:rPr>
          <w:t>R025</w:t>
        </w:r>
      </w:hyperlink>
      <w:r>
        <w:t xml:space="preserve"> · </w:t>
      </w:r>
      <w:hyperlink r:id="rId72">
        <w:r>
          <w:rPr>
            <w:color w:val="276C78"/>
            <w:u w:val="single"/>
          </w:rPr>
          <w:t>R048</w:t>
        </w:r>
      </w:hyperlink>
      <w:r>
        <w:t xml:space="preserve"> · </w:t>
      </w:r>
      <w:hyperlink r:id="rId33">
        <w:r>
          <w:rPr>
            <w:color w:val="276C78"/>
            <w:u w:val="single"/>
          </w:rPr>
          <w:t>R059</w:t>
        </w:r>
      </w:hyperlink>
      <w:r>
        <w:t xml:space="preserve"> · </w:t>
      </w:r>
      <w:hyperlink r:id="rId34">
        <w:r>
          <w:rPr>
            <w:color w:val="276C78"/>
            <w:u w:val="single"/>
          </w:rPr>
          <w:t>R060</w:t>
        </w:r>
      </w:hyperlink>
    </w:p>
    <w:p>
      <w:pPr>
        <w:pStyle w:val="Heading2"/>
      </w:pPr>
      <w:r>
        <w:t>Апофегмы, жития и аскетическая библиотека</w:t>
      </w:r>
    </w:p>
    <w:p>
      <w:r>
        <w:t>Для коптских апофегм надёжно разграничен AP035 и более широкий цифровой корпус: положительные теги повторного использования относятся к проверенному тексту AP035, а не автоматически к каждому изречению. Для последовательного современного чтения доступны Benedicta Ward, The Sayings of the Desert Fathers, и двухтомный перевод Tim Vivian. Оба относятся к греческой алфавитной традиции; это не полные переводы всех коптских редакций.</w:t>
      </w:r>
    </w:p>
    <w:p>
      <w:pPr>
        <w:pStyle w:val="SourceNote"/>
      </w:pPr>
      <w:r>
        <w:t xml:space="preserve">Источники и записи реестра: </w:t>
      </w:r>
      <w:hyperlink r:id="rId39">
        <w:r>
          <w:rPr>
            <w:color w:val="276C78"/>
            <w:u w:val="single"/>
          </w:rPr>
          <w:t>R024</w:t>
        </w:r>
      </w:hyperlink>
      <w:r>
        <w:t xml:space="preserve"> · </w:t>
      </w:r>
      <w:hyperlink r:id="rId41">
        <w:r>
          <w:rPr>
            <w:color w:val="276C78"/>
            <w:u w:val="single"/>
          </w:rPr>
          <w:t>R073</w:t>
        </w:r>
      </w:hyperlink>
      <w:r>
        <w:t xml:space="preserve"> · </w:t>
      </w:r>
      <w:hyperlink r:id="rId42">
        <w:r>
          <w:rPr>
            <w:color w:val="276C78"/>
            <w:u w:val="single"/>
          </w:rPr>
          <w:t>R074</w:t>
        </w:r>
      </w:hyperlink>
    </w:p>
    <w:p>
      <w:r>
        <w:t>Старый английский перевод Лавсаика Палладия W. K. Lowther Clarke (1918) опубликован с явным разрешением свободного копирования. «Житие Антония», фрагменты 39-го праздничного послания Афанасия и девятая конференция Кассиана доступны для бесплатного чтения на New Advent, но современный цифровой слой сайта имеет отдельное copyright-уведомление. Возраст переводов не использован как основание безусловно зеркалировать именно эти страницы.</w:t>
      </w:r>
    </w:p>
    <w:p>
      <w:pPr>
        <w:pStyle w:val="SourceNote"/>
      </w:pPr>
      <w:r>
        <w:t xml:space="preserve">Источники и записи реестра: </w:t>
      </w:r>
      <w:hyperlink r:id="rId48">
        <w:r>
          <w:rPr>
            <w:color w:val="276C78"/>
            <w:u w:val="single"/>
          </w:rPr>
          <w:t>R063</w:t>
        </w:r>
      </w:hyperlink>
      <w:r>
        <w:t xml:space="preserve"> · </w:t>
      </w:r>
      <w:hyperlink r:id="rId49">
        <w:r>
          <w:rPr>
            <w:color w:val="276C78"/>
            <w:u w:val="single"/>
          </w:rPr>
          <w:t>R064</w:t>
        </w:r>
      </w:hyperlink>
      <w:r>
        <w:t xml:space="preserve"> · </w:t>
      </w:r>
      <w:hyperlink r:id="rId73">
        <w:r>
          <w:rPr>
            <w:color w:val="276C78"/>
            <w:u w:val="single"/>
          </w:rPr>
          <w:t>R065</w:t>
        </w:r>
      </w:hyperlink>
      <w:r>
        <w:t xml:space="preserve"> · </w:t>
      </w:r>
      <w:hyperlink r:id="rId50">
        <w:r>
          <w:rPr>
            <w:color w:val="276C78"/>
            <w:u w:val="single"/>
          </w:rPr>
          <w:t>R066</w:t>
        </w:r>
      </w:hyperlink>
    </w:p>
    <w:p>
      <w:r>
        <w:t>«Житие Апы Афу», часть 1, — особенно полезная некоммерческая находка: коптский текст §§ 0–61 опубликован под CC BY-NC-SA 4.0. Это не та же лицензия, что обычная CC BY 4.0 в Scriptorium. «Житие Исаака Александрийского», часть 1, имеет открытый коптский слой; его английское представление опирается на машинный перевод французского издания с последующей обработкой, а не обозначается как новый прямой научный перевод с коптского.</w:t>
      </w:r>
    </w:p>
    <w:p>
      <w:pPr>
        <w:pStyle w:val="SourceNote"/>
      </w:pPr>
      <w:r>
        <w:t xml:space="preserve">Источники и записи реестра: </w:t>
      </w:r>
      <w:hyperlink r:id="rId45">
        <w:r>
          <w:rPr>
            <w:color w:val="276C78"/>
            <w:u w:val="single"/>
          </w:rPr>
          <w:t>R050</w:t>
        </w:r>
      </w:hyperlink>
      <w:r>
        <w:t xml:space="preserve"> · </w:t>
      </w:r>
      <w:hyperlink r:id="rId14">
        <w:r>
          <w:rPr>
            <w:color w:val="276C78"/>
            <w:u w:val="single"/>
          </w:rPr>
          <w:t>R051</w:t>
        </w:r>
      </w:hyperlink>
    </w:p>
    <w:p>
      <w:r>
        <w:t>Для Sermo Asceticus найдены публикации Alin Suciu (2018) и Suciu/Tefera (2019). Вторая даёт вход в геэзскую линию сохранения; в репозитории прямо отсутствует открытый полный файл. Для патристической библиотеки CMCL официально предлагает PDF восьми изданий: Кирилл, Севериан, псевдоэпиграфические тексты, Павел Таммский, Шенуте, жития Фифа и Лонгина. Ссылки сохранены, но загрузки не удались, а лицензии файлов не установлены.</w:t>
      </w:r>
    </w:p>
    <w:p>
      <w:pPr>
        <w:pStyle w:val="SourceNote"/>
      </w:pPr>
      <w:r>
        <w:t xml:space="preserve">Источники и записи реестра: </w:t>
      </w:r>
      <w:hyperlink r:id="rId37">
        <w:r>
          <w:rPr>
            <w:color w:val="276C78"/>
            <w:u w:val="single"/>
          </w:rPr>
          <w:t>R017</w:t>
        </w:r>
      </w:hyperlink>
      <w:r>
        <w:t xml:space="preserve"> · </w:t>
      </w:r>
      <w:hyperlink r:id="rId38">
        <w:r>
          <w:rPr>
            <w:color w:val="276C78"/>
            <w:u w:val="single"/>
          </w:rPr>
          <w:t>R018</w:t>
        </w:r>
      </w:hyperlink>
      <w:r>
        <w:t xml:space="preserve"> · </w:t>
      </w:r>
      <w:hyperlink r:id="rId74">
        <w:r>
          <w:rPr>
            <w:color w:val="276C78"/>
            <w:u w:val="single"/>
          </w:rPr>
          <w:t>R028</w:t>
        </w:r>
      </w:hyperlink>
      <w:r>
        <w:t xml:space="preserve"> · </w:t>
      </w:r>
      <w:hyperlink r:id="rId75">
        <w:r>
          <w:rPr>
            <w:color w:val="276C78"/>
            <w:u w:val="single"/>
          </w:rPr>
          <w:t>R029</w:t>
        </w:r>
      </w:hyperlink>
      <w:r>
        <w:t xml:space="preserve"> · </w:t>
      </w:r>
      <w:hyperlink r:id="rId76">
        <w:r>
          <w:rPr>
            <w:color w:val="276C78"/>
            <w:u w:val="single"/>
          </w:rPr>
          <w:t>R030</w:t>
        </w:r>
      </w:hyperlink>
      <w:r>
        <w:t xml:space="preserve"> · </w:t>
      </w:r>
      <w:hyperlink r:id="rId77">
        <w:r>
          <w:rPr>
            <w:color w:val="276C78"/>
            <w:u w:val="single"/>
          </w:rPr>
          <w:t>R031</w:t>
        </w:r>
      </w:hyperlink>
      <w:r>
        <w:t xml:space="preserve"> · </w:t>
      </w:r>
      <w:hyperlink r:id="rId43">
        <w:r>
          <w:rPr>
            <w:color w:val="276C78"/>
            <w:u w:val="single"/>
          </w:rPr>
          <w:t>R032</w:t>
        </w:r>
      </w:hyperlink>
      <w:r>
        <w:t xml:space="preserve"> · </w:t>
      </w:r>
      <w:hyperlink r:id="rId78">
        <w:r>
          <w:rPr>
            <w:color w:val="276C78"/>
            <w:u w:val="single"/>
          </w:rPr>
          <w:t>R033</w:t>
        </w:r>
      </w:hyperlink>
      <w:r>
        <w:t xml:space="preserve"> · </w:t>
      </w:r>
      <w:hyperlink r:id="rId79">
        <w:r>
          <w:rPr>
            <w:color w:val="276C78"/>
            <w:u w:val="single"/>
          </w:rPr>
          <w:t>R034</w:t>
        </w:r>
      </w:hyperlink>
      <w:r>
        <w:t xml:space="preserve"> · </w:t>
      </w:r>
      <w:hyperlink r:id="rId44">
        <w:r>
          <w:rPr>
            <w:color w:val="276C78"/>
            <w:u w:val="single"/>
          </w:rPr>
          <w:t>R035</w:t>
        </w:r>
      </w:hyperlink>
    </w:p>
    <w:p>
      <w:r>
        <w:t>Рабочая открытая альтернатива для одного текста — «О душе и теле» в Scriptorium по Budge (1910), §§ 1–91, CC BY 4.0. Это конкретная опубликованная версия; её нельзя без сопоставления отождествлять со всем критическим материалом другого издания CMCL.</w:t>
      </w:r>
    </w:p>
    <w:p>
      <w:pPr>
        <w:pStyle w:val="SourceNote"/>
      </w:pPr>
      <w:r>
        <w:t xml:space="preserve">Источники и записи реестра: </w:t>
      </w:r>
      <w:hyperlink r:id="rId40">
        <w:r>
          <w:rPr>
            <w:color w:val="276C78"/>
            <w:u w:val="single"/>
          </w:rPr>
          <w:t>R053</w:t>
        </w:r>
      </w:hyperlink>
    </w:p>
    <w:p>
      <w:pPr>
        <w:pStyle w:val="Heading2"/>
      </w:pPr>
      <w:r>
        <w:t>История и копто-арабская передача</w:t>
      </w:r>
    </w:p>
    <w:p>
      <w:r>
        <w:t>Лучший старый бесплатный перевод найденной части «Истории патриархов» — Evetts, Parts I–II (1904), от Марка до Вениамина I, умершего в 661 г. На странице публикации есть явное разрешение свободного копирования. Это лишь начальная часть многослойного собрания: поздние патриаршие биографии, арабские источники и редакционные продолжения не считаются прочитанными или полностью доступными через эту ссылку.</w:t>
      </w:r>
    </w:p>
    <w:p>
      <w:pPr>
        <w:pStyle w:val="SourceNote"/>
      </w:pPr>
      <w:r>
        <w:t xml:space="preserve">Источники и записи реестра: </w:t>
      </w:r>
      <w:hyperlink r:id="rId58">
        <w:r>
          <w:rPr>
            <w:color w:val="276C78"/>
            <w:u w:val="single"/>
          </w:rPr>
          <w:t>R027</w:t>
        </w:r>
      </w:hyperlink>
    </w:p>
    <w:p>
      <w:r>
        <w:t>Для «Хроники» Иоанна Никиусского найден полный опубликованный английский перевод R. H. Charles (1916), также с разрешением свободного копирования. Он представляет дошедшую версию текста, а не восстанавливает утраченные части оригинала. Для Coptic Ecclesiastical History закреплено издание Orlandi (1968): коптский текст с латинским переводом. Полный цифровой том не подтверждён; академическая рецензия используется только для библиографической идентификации, а не как замена самого произведения.</w:t>
      </w:r>
    </w:p>
    <w:p>
      <w:pPr>
        <w:pStyle w:val="SourceNote"/>
      </w:pPr>
      <w:r>
        <w:t xml:space="preserve">Источники и записи реестра: </w:t>
      </w:r>
      <w:hyperlink r:id="rId59">
        <w:r>
          <w:rPr>
            <w:color w:val="276C78"/>
            <w:u w:val="single"/>
          </w:rPr>
          <w:t>R044</w:t>
        </w:r>
      </w:hyperlink>
      <w:r>
        <w:t xml:space="preserve"> · </w:t>
      </w:r>
      <w:hyperlink r:id="rId80">
        <w:r>
          <w:rPr>
            <w:color w:val="276C78"/>
            <w:u w:val="single"/>
          </w:rPr>
          <w:t>R057</w:t>
        </w:r>
      </w:hyperlink>
      <w:r>
        <w:t xml:space="preserve"> · </w:t>
      </w:r>
      <w:hyperlink r:id="rId81">
        <w:r>
          <w:rPr>
            <w:color w:val="276C78"/>
            <w:u w:val="single"/>
          </w:rPr>
          <w:t>R058</w:t>
        </w:r>
      </w:hyperlink>
    </w:p>
    <w:p>
      <w:r>
        <w:t>Савир ибн аль-Мукаффаʿ, «Светильник разума» / Sirāj al-ʿaql, представлен официальной каталожной записью арабского издания, не свободным полным текстом. Поздняя литургическая линия доступна через современный том Medieval Coptic Guides to the Eucharist с переводами выбранных частей Ибн Кабара, Ибн Саббы и Гавриила V. Для арабо-французского Синаксаря Basset найден библиотечный каталог: описанные экземпляры не названы доступной цифровой выдачей.</w:t>
      </w:r>
    </w:p>
    <w:p>
      <w:pPr>
        <w:pStyle w:val="SourceNote"/>
      </w:pPr>
      <w:r>
        <w:t xml:space="preserve">Источники и записи реестра: </w:t>
      </w:r>
      <w:hyperlink r:id="rId57">
        <w:r>
          <w:rPr>
            <w:color w:val="276C78"/>
            <w:u w:val="single"/>
          </w:rPr>
          <w:t>R026</w:t>
        </w:r>
      </w:hyperlink>
      <w:r>
        <w:t xml:space="preserve"> · </w:t>
      </w:r>
      <w:hyperlink r:id="rId82">
        <w:r>
          <w:rPr>
            <w:color w:val="276C78"/>
            <w:u w:val="single"/>
          </w:rPr>
          <w:t>R036</w:t>
        </w:r>
      </w:hyperlink>
      <w:r>
        <w:t xml:space="preserve"> · </w:t>
      </w:r>
      <w:hyperlink r:id="rId46">
        <w:r>
          <w:rPr>
            <w:color w:val="276C78"/>
            <w:u w:val="single"/>
          </w:rPr>
          <w:t>R061</w:t>
        </w:r>
      </w:hyperlink>
    </w:p>
    <w:p>
      <w:pPr>
        <w:pStyle w:val="Heading2"/>
      </w:pPr>
      <w:r>
        <w:t>Наг-Хаммади и родственные кодексы</w:t>
      </w:r>
    </w:p>
    <w:p>
      <w:r>
        <w:t>Лучший найденный бесплатный современный читательский вход — французские переводы Bibliothèque copte de Nag Hammadi, Université Laval. Помимо общего указателя отдельно проверены PDF избранных произведений: Фома, Филипп, Мария, две редакционные группы «Апокрифа Иоанна», герметические тексты кодекса VI, Секст, «Книги Иеу» и Иуда. Для каждого различены полный доступ к данному переводу и фрагментарная сохранность исходного произведения.</w:t>
      </w:r>
    </w:p>
    <w:p>
      <w:pPr>
        <w:pStyle w:val="SourceNote"/>
      </w:pPr>
      <w:r>
        <w:t xml:space="preserve">Источники и записи реестра: </w:t>
      </w:r>
      <w:hyperlink r:id="rId51">
        <w:r>
          <w:rPr>
            <w:color w:val="276C78"/>
            <w:u w:val="single"/>
          </w:rPr>
          <w:t>R038</w:t>
        </w:r>
      </w:hyperlink>
      <w:r>
        <w:t xml:space="preserve"> · </w:t>
      </w:r>
      <w:hyperlink r:id="rId52">
        <w:r>
          <w:rPr>
            <w:color w:val="276C78"/>
            <w:u w:val="single"/>
          </w:rPr>
          <w:t>R039</w:t>
        </w:r>
      </w:hyperlink>
      <w:r>
        <w:t xml:space="preserve"> · </w:t>
      </w:r>
      <w:hyperlink r:id="rId53">
        <w:r>
          <w:rPr>
            <w:color w:val="276C78"/>
            <w:u w:val="single"/>
          </w:rPr>
          <w:t>R040</w:t>
        </w:r>
      </w:hyperlink>
      <w:r>
        <w:t xml:space="preserve"> · </w:t>
      </w:r>
      <w:hyperlink r:id="rId54">
        <w:r>
          <w:rPr>
            <w:color w:val="276C78"/>
            <w:u w:val="single"/>
          </w:rPr>
          <w:t>R041</w:t>
        </w:r>
      </w:hyperlink>
      <w:r>
        <w:t xml:space="preserve"> · </w:t>
      </w:r>
      <w:hyperlink r:id="rId61">
        <w:r>
          <w:rPr>
            <w:color w:val="276C78"/>
            <w:u w:val="single"/>
          </w:rPr>
          <w:t>R042</w:t>
        </w:r>
      </w:hyperlink>
      <w:r>
        <w:t xml:space="preserve"> · </w:t>
      </w:r>
      <w:hyperlink r:id="rId64">
        <w:r>
          <w:rPr>
            <w:color w:val="276C78"/>
            <w:u w:val="single"/>
          </w:rPr>
          <w:t>R054</w:t>
        </w:r>
      </w:hyperlink>
      <w:r>
        <w:t xml:space="preserve"> · </w:t>
      </w:r>
      <w:hyperlink r:id="rId65">
        <w:r>
          <w:rPr>
            <w:color w:val="276C78"/>
            <w:u w:val="single"/>
          </w:rPr>
          <w:t>R055</w:t>
        </w:r>
      </w:hyperlink>
      <w:r>
        <w:t xml:space="preserve"> · </w:t>
      </w:r>
      <w:hyperlink r:id="rId56">
        <w:r>
          <w:rPr>
            <w:color w:val="276C78"/>
            <w:u w:val="single"/>
          </w:rPr>
          <w:t>R056</w:t>
        </w:r>
      </w:hyperlink>
      <w:r>
        <w:t xml:space="preserve"> · </w:t>
      </w:r>
      <w:hyperlink r:id="rId66">
        <w:r>
          <w:rPr>
            <w:color w:val="276C78"/>
            <w:u w:val="single"/>
          </w:rPr>
          <w:t>R067</w:t>
        </w:r>
      </w:hyperlink>
      <w:r>
        <w:t xml:space="preserve"> · </w:t>
      </w:r>
      <w:hyperlink r:id="rId67">
        <w:r>
          <w:rPr>
            <w:color w:val="276C78"/>
            <w:u w:val="single"/>
          </w:rPr>
          <w:t>R068</w:t>
        </w:r>
      </w:hyperlink>
      <w:r>
        <w:t xml:space="preserve"> · </w:t>
      </w:r>
      <w:hyperlink r:id="rId68">
        <w:r>
          <w:rPr>
            <w:color w:val="276C78"/>
            <w:u w:val="single"/>
          </w:rPr>
          <w:t>R069</w:t>
        </w:r>
      </w:hyperlink>
      <w:r>
        <w:t xml:space="preserve"> · </w:t>
      </w:r>
      <w:hyperlink r:id="rId69">
        <w:r>
          <w:rPr>
            <w:color w:val="276C78"/>
            <w:u w:val="single"/>
          </w:rPr>
          <w:t>R070</w:t>
        </w:r>
      </w:hyperlink>
      <w:r>
        <w:t xml:space="preserve"> · </w:t>
      </w:r>
      <w:hyperlink r:id="rId15">
        <w:r>
          <w:rPr>
            <w:color w:val="276C78"/>
            <w:u w:val="single"/>
          </w:rPr>
          <w:t>R071</w:t>
        </w:r>
      </w:hyperlink>
    </w:p>
    <w:p>
      <w:r>
        <w:t>Для оригинальных коптских текстов с современным английским переводом важна Coptic Gnostic Library Online (Brill), воспроизводящая научную серию. Это платный/институциональный путь, описанный издателем; он не приравнен к проверенной бесплатной загрузке всего корпуса и не даёт прав на музейные изображения. The Gnostic Scriptures, 2-е издание (2021), Layton/Brakke, — полезная современная антология, но не полный набор всех текстов и факсимиле.</w:t>
      </w:r>
    </w:p>
    <w:p>
      <w:pPr>
        <w:pStyle w:val="SourceNote"/>
      </w:pPr>
      <w:r>
        <w:t xml:space="preserve">Источники и записи реестра: </w:t>
      </w:r>
      <w:hyperlink r:id="rId12">
        <w:r>
          <w:rPr>
            <w:color w:val="276C78"/>
            <w:u w:val="single"/>
          </w:rPr>
          <w:t>R037</w:t>
        </w:r>
      </w:hyperlink>
      <w:r>
        <w:t xml:space="preserve"> · </w:t>
      </w:r>
      <w:hyperlink r:id="rId83">
        <w:r>
          <w:rPr>
            <w:color w:val="276C78"/>
            <w:u w:val="single"/>
          </w:rPr>
          <w:t>R075</w:t>
        </w:r>
      </w:hyperlink>
    </w:p>
    <w:p>
      <w:r>
        <w:t>Наиболее ясная чистая основа в части Pistis Sophia — только коптский текст книги I, §§ 1–13, по старому изданию Petermann, опубликованный с открытой разметкой. Английский перевод Violet MacDermot (1978) исключён из области открытого разрешения. Для Bruce 96, NHC III и рукописи монастыря Макария сохранены конкретные каталожные входы; открывшаяся карточка не выдана за просмотр всех изображений. HMML требует бесплатную регистрацию для чтения изображений; аккаунт не создавался.</w:t>
      </w:r>
    </w:p>
    <w:p>
      <w:pPr>
        <w:pStyle w:val="SourceNote"/>
      </w:pPr>
      <w:r>
        <w:t xml:space="preserve">Источники и записи реестра: </w:t>
      </w:r>
      <w:hyperlink r:id="rId62">
        <w:r>
          <w:rPr>
            <w:color w:val="276C78"/>
            <w:u w:val="single"/>
          </w:rPr>
          <w:t>R045</w:t>
        </w:r>
      </w:hyperlink>
      <w:r>
        <w:t xml:space="preserve"> · </w:t>
      </w:r>
      <w:hyperlink r:id="rId84">
        <w:r>
          <w:rPr>
            <w:color w:val="276C78"/>
            <w:u w:val="single"/>
          </w:rPr>
          <w:t>R046</w:t>
        </w:r>
      </w:hyperlink>
      <w:r>
        <w:t xml:space="preserve"> · </w:t>
      </w:r>
      <w:hyperlink r:id="rId63">
        <w:r>
          <w:rPr>
            <w:color w:val="276C78"/>
            <w:u w:val="single"/>
          </w:rPr>
          <w:t>R052</w:t>
        </w:r>
      </w:hyperlink>
      <w:r>
        <w:t xml:space="preserve"> · </w:t>
      </w:r>
      <w:hyperlink r:id="rId60">
        <w:r>
          <w:rPr>
            <w:color w:val="276C78"/>
            <w:u w:val="single"/>
          </w:rPr>
          <w:t>R072</w:t>
        </w:r>
      </w:hyperlink>
    </w:p>
    <w:p>
      <w:pPr>
        <w:pStyle w:val="Heading1"/>
        <w:pageBreakBefore/>
      </w:pPr>
      <w:r>
        <w:t>4. Карта прав и практического использования</w:t>
      </w:r>
    </w:p>
    <w:p>
      <w:pPr>
        <w:pStyle w:val="Heading2"/>
      </w:pPr>
      <w:r>
        <w:t>Открытые текстовые слои</w:t>
      </w:r>
    </w:p>
    <w:p>
      <w:r>
        <w:t>Самый ясный слой для повторного использования — конкретные транскрипции и разметка, у которых проверена CC BY 4.0. В пределах названных фрагментов допустимы копирование и переработка с атрибуцией, сохранением ссылки на лицензию и обозначением изменений. В реестре отдельно оценены зеркалирование, OCR, полнотекстовая индексация, embeddings и собственный перевод. Ни один такой тег не распространяется автоматически на фотографии рукописи или защищённый перевод рядом с текстом.</w:t>
      </w:r>
    </w:p>
    <w:p>
      <w:pPr>
        <w:pStyle w:val="SourceNote"/>
      </w:pPr>
      <w:r>
        <w:t xml:space="preserve">Источники и записи реестра: </w:t>
      </w:r>
      <w:hyperlink r:id="rId20">
        <w:r>
          <w:rPr>
            <w:color w:val="276C78"/>
            <w:u w:val="single"/>
          </w:rPr>
          <w:t>R001</w:t>
        </w:r>
      </w:hyperlink>
      <w:r>
        <w:t xml:space="preserve"> · </w:t>
      </w:r>
      <w:hyperlink r:id="rId21">
        <w:r>
          <w:rPr>
            <w:color w:val="276C78"/>
            <w:u w:val="single"/>
          </w:rPr>
          <w:t>R002</w:t>
        </w:r>
      </w:hyperlink>
      <w:r>
        <w:t xml:space="preserve"> · </w:t>
      </w:r>
      <w:hyperlink r:id="rId16">
        <w:r>
          <w:rPr>
            <w:color w:val="276C78"/>
            <w:u w:val="single"/>
          </w:rPr>
          <w:t>R003</w:t>
        </w:r>
      </w:hyperlink>
      <w:r>
        <w:t xml:space="preserve"> · </w:t>
      </w:r>
      <w:hyperlink r:id="rId27">
        <w:r>
          <w:rPr>
            <w:color w:val="276C78"/>
            <w:u w:val="single"/>
          </w:rPr>
          <w:t>R019</w:t>
        </w:r>
      </w:hyperlink>
      <w:r>
        <w:t xml:space="preserve"> · </w:t>
      </w:r>
      <w:hyperlink r:id="rId39">
        <w:r>
          <w:rPr>
            <w:color w:val="276C78"/>
            <w:u w:val="single"/>
          </w:rPr>
          <w:t>R024</w:t>
        </w:r>
      </w:hyperlink>
      <w:r>
        <w:t xml:space="preserve"> · </w:t>
      </w:r>
      <w:hyperlink r:id="rId45">
        <w:r>
          <w:rPr>
            <w:color w:val="276C78"/>
            <w:u w:val="single"/>
          </w:rPr>
          <w:t>R050</w:t>
        </w:r>
      </w:hyperlink>
      <w:r>
        <w:t xml:space="preserve"> · </w:t>
      </w:r>
      <w:hyperlink r:id="rId63">
        <w:r>
          <w:rPr>
            <w:color w:val="276C78"/>
            <w:u w:val="single"/>
          </w:rPr>
          <w:t>R052</w:t>
        </w:r>
      </w:hyperlink>
      <w:r>
        <w:t xml:space="preserve"> · </w:t>
      </w:r>
      <w:hyperlink r:id="rId40">
        <w:r>
          <w:rPr>
            <w:color w:val="276C78"/>
            <w:u w:val="single"/>
          </w:rPr>
          <w:t>R053</w:t>
        </w:r>
      </w:hyperlink>
    </w:p>
    <w:p>
      <w:r>
        <w:t>Сахидский ветхозаветный слой под CC BY-SA 4.0 требует соблюдения ShareAlike при распространении переработок. «Житие Апы Афу» под CC BY-NC-SA 4.0 полезно для некоммерческого ToS: разрешения ограничены опубликованным коптским фрагментом; необходимы атрибуция и соблюдение NC/SA. Отсутствие продажи текста само по себе не решает, соответствует ли конкретный способ использования условию NonCommercial.</w:t>
      </w:r>
    </w:p>
    <w:p>
      <w:pPr>
        <w:pStyle w:val="SourceNote"/>
      </w:pPr>
      <w:r>
        <w:t xml:space="preserve">Источники и записи реестра: </w:t>
      </w:r>
      <w:hyperlink r:id="rId35">
        <w:r>
          <w:rPr>
            <w:color w:val="276C78"/>
            <w:u w:val="single"/>
          </w:rPr>
          <w:t>R005</w:t>
        </w:r>
      </w:hyperlink>
      <w:r>
        <w:t xml:space="preserve"> · </w:t>
      </w:r>
      <w:hyperlink r:id="rId14">
        <w:r>
          <w:rPr>
            <w:color w:val="276C78"/>
            <w:u w:val="single"/>
          </w:rPr>
          <w:t>R051</w:t>
        </w:r>
      </w:hyperlink>
    </w:p>
    <w:p>
      <w:r>
        <w:t>Sahidica NT следует собственному разрешению электронной репродукции, а не CC-лицензии. Оно связано с сохранением полного названия и copyright-уведомления. Разрешение на этот способ распространения не перенесено на печатное издание, переработку, защищённые реконструкции или создание собственного нового перевода. Поэтому положительный тег электронной репродукции сочетается с RIGHTS_REVIEW_REQUIRED для действий за пределами прямо разрешённого.</w:t>
      </w:r>
    </w:p>
    <w:p>
      <w:pPr>
        <w:pStyle w:val="SourceNote"/>
      </w:pPr>
      <w:r>
        <w:t xml:space="preserve">Источники и записи реестра: </w:t>
      </w:r>
      <w:hyperlink r:id="rId36">
        <w:r>
          <w:rPr>
            <w:color w:val="276C78"/>
            <w:u w:val="single"/>
          </w:rPr>
          <w:t>R006</w:t>
        </w:r>
      </w:hyperlink>
    </w:p>
    <w:p>
      <w:pPr>
        <w:pStyle w:val="Heading2"/>
      </w:pPr>
      <w:r>
        <w:t>Старые переводы, свободное чтение и защищённые издания</w:t>
      </w:r>
    </w:p>
    <w:p>
      <w:r>
        <w:t>Для переводов Evetts, Charles и Clarke страницы публикации прямо допускают свободное копирование. Эти заявления отражены как практический путь, но не превращены в независимое заключение об общественном достоянии во всех странах. Project Gutenberg указывает статус своего издания Платона для США. Перед международным зеркалированием ToS нужна проверка применимой юрисдикции и конкретного цифрового слоя. Старый английский перевод не считается чистым оригиналом для тега собственного перевода с коптского.</w:t>
      </w:r>
    </w:p>
    <w:p>
      <w:pPr>
        <w:pStyle w:val="SourceNote"/>
      </w:pPr>
      <w:r>
        <w:t xml:space="preserve">Источники и записи реестра: </w:t>
      </w:r>
      <w:hyperlink r:id="rId58">
        <w:r>
          <w:rPr>
            <w:color w:val="276C78"/>
            <w:u w:val="single"/>
          </w:rPr>
          <w:t>R027</w:t>
        </w:r>
      </w:hyperlink>
      <w:r>
        <w:t xml:space="preserve"> · </w:t>
      </w:r>
      <w:hyperlink r:id="rId55">
        <w:r>
          <w:rPr>
            <w:color w:val="276C78"/>
            <w:u w:val="single"/>
          </w:rPr>
          <w:t>R043</w:t>
        </w:r>
      </w:hyperlink>
      <w:r>
        <w:t xml:space="preserve"> · </w:t>
      </w:r>
      <w:hyperlink r:id="rId59">
        <w:r>
          <w:rPr>
            <w:color w:val="276C78"/>
            <w:u w:val="single"/>
          </w:rPr>
          <w:t>R044</w:t>
        </w:r>
      </w:hyperlink>
      <w:r>
        <w:t xml:space="preserve"> · </w:t>
      </w:r>
      <w:hyperlink r:id="rId48">
        <w:r>
          <w:rPr>
            <w:color w:val="276C78"/>
            <w:u w:val="single"/>
          </w:rPr>
          <w:t>R063</w:t>
        </w:r>
      </w:hyperlink>
    </w:p>
    <w:p>
      <w:r>
        <w:t>Французские переводы Laval можно бесплатно читать и скачивать, но сайт требует разрешения на перепубликацию. Предупреждение внутри PDF о запрете коммерческого распространения не означает, что некоммерческое зеркалирование уже разрешено. Аналогично официально предлагаемое скачивание CMCL не доказывает права на переиздание, публичный OCR или распространение производной транскрипции; сами файлы в этой проверке не открылись.</w:t>
      </w:r>
    </w:p>
    <w:p>
      <w:pPr>
        <w:pStyle w:val="SourceNote"/>
      </w:pPr>
      <w:r>
        <w:t xml:space="preserve">Источники и записи реестра: </w:t>
      </w:r>
      <w:hyperlink r:id="rId13">
        <w:r>
          <w:rPr>
            <w:color w:val="276C78"/>
            <w:u w:val="single"/>
          </w:rPr>
          <w:t>R047</w:t>
        </w:r>
      </w:hyperlink>
      <w:r>
        <w:t xml:space="preserve"> · </w:t>
      </w:r>
      <w:hyperlink r:id="rId64">
        <w:r>
          <w:rPr>
            <w:color w:val="276C78"/>
            <w:u w:val="single"/>
          </w:rPr>
          <w:t>R054</w:t>
        </w:r>
      </w:hyperlink>
      <w:r>
        <w:t xml:space="preserve"> · </w:t>
      </w:r>
      <w:hyperlink r:id="rId65">
        <w:r>
          <w:rPr>
            <w:color w:val="276C78"/>
            <w:u w:val="single"/>
          </w:rPr>
          <w:t>R055</w:t>
        </w:r>
      </w:hyperlink>
      <w:r>
        <w:t xml:space="preserve"> · </w:t>
      </w:r>
      <w:hyperlink r:id="rId66">
        <w:r>
          <w:rPr>
            <w:color w:val="276C78"/>
            <w:u w:val="single"/>
          </w:rPr>
          <w:t>R067</w:t>
        </w:r>
      </w:hyperlink>
      <w:r>
        <w:t xml:space="preserve"> · </w:t>
      </w:r>
      <w:hyperlink r:id="rId15">
        <w:r>
          <w:rPr>
            <w:color w:val="276C78"/>
            <w:u w:val="single"/>
          </w:rPr>
          <w:t>R071</w:t>
        </w:r>
      </w:hyperlink>
    </w:p>
    <w:p>
      <w:r>
        <w:t>Современные переводы и критические издания Oxford, Cambridge, Liturgical Press, Fordham, Brill и Yale остаются ссылками на чтение при законном доступе, покупку или институциональную подписку. Открытая товарная страница — не открытая книга. В реестре нет выдуманной бесплатной библиотечной выдачи или подтверждённого Controlled Digital Lending: каталоги NLI и Wellcome не выдают сами по себе такую возможность.</w:t>
      </w:r>
    </w:p>
    <w:p>
      <w:pPr>
        <w:pStyle w:val="SourceNote"/>
      </w:pPr>
      <w:r>
        <w:t xml:space="preserve">Источники и записи реестра: </w:t>
      </w:r>
      <w:hyperlink r:id="rId70">
        <w:r>
          <w:rPr>
            <w:color w:val="276C78"/>
            <w:u w:val="single"/>
          </w:rPr>
          <w:t>R013</w:t>
        </w:r>
      </w:hyperlink>
      <w:r>
        <w:t xml:space="preserve"> · </w:t>
      </w:r>
      <w:hyperlink r:id="rId17">
        <w:r>
          <w:rPr>
            <w:color w:val="276C78"/>
            <w:u w:val="single"/>
          </w:rPr>
          <w:t>R014</w:t>
        </w:r>
      </w:hyperlink>
      <w:r>
        <w:t xml:space="preserve"> · </w:t>
      </w:r>
      <w:hyperlink r:id="rId32">
        <w:r>
          <w:rPr>
            <w:color w:val="276C78"/>
            <w:u w:val="single"/>
          </w:rPr>
          <w:t>R025</w:t>
        </w:r>
      </w:hyperlink>
      <w:r>
        <w:t xml:space="preserve"> · </w:t>
      </w:r>
      <w:hyperlink r:id="rId57">
        <w:r>
          <w:rPr>
            <w:color w:val="276C78"/>
            <w:u w:val="single"/>
          </w:rPr>
          <w:t>R026</w:t>
        </w:r>
      </w:hyperlink>
      <w:r>
        <w:t xml:space="preserve"> · </w:t>
      </w:r>
      <w:hyperlink r:id="rId82">
        <w:r>
          <w:rPr>
            <w:color w:val="276C78"/>
            <w:u w:val="single"/>
          </w:rPr>
          <w:t>R036</w:t>
        </w:r>
      </w:hyperlink>
      <w:r>
        <w:t xml:space="preserve"> · </w:t>
      </w:r>
      <w:hyperlink r:id="rId12">
        <w:r>
          <w:rPr>
            <w:color w:val="276C78"/>
            <w:u w:val="single"/>
          </w:rPr>
          <w:t>R037</w:t>
        </w:r>
      </w:hyperlink>
      <w:r>
        <w:t xml:space="preserve"> · </w:t>
      </w:r>
      <w:hyperlink r:id="rId71">
        <w:r>
          <w:rPr>
            <w:color w:val="276C78"/>
            <w:u w:val="single"/>
          </w:rPr>
          <w:t>R049</w:t>
        </w:r>
      </w:hyperlink>
      <w:r>
        <w:t xml:space="preserve"> · </w:t>
      </w:r>
      <w:hyperlink r:id="rId46">
        <w:r>
          <w:rPr>
            <w:color w:val="276C78"/>
            <w:u w:val="single"/>
          </w:rPr>
          <w:t>R061</w:t>
        </w:r>
      </w:hyperlink>
      <w:r>
        <w:t xml:space="preserve"> · </w:t>
      </w:r>
      <w:hyperlink r:id="rId41">
        <w:r>
          <w:rPr>
            <w:color w:val="276C78"/>
            <w:u w:val="single"/>
          </w:rPr>
          <w:t>R073</w:t>
        </w:r>
      </w:hyperlink>
      <w:r>
        <w:t xml:space="preserve"> · </w:t>
      </w:r>
      <w:hyperlink r:id="rId42">
        <w:r>
          <w:rPr>
            <w:color w:val="276C78"/>
            <w:u w:val="single"/>
          </w:rPr>
          <w:t>R074</w:t>
        </w:r>
      </w:hyperlink>
      <w:r>
        <w:t xml:space="preserve"> · </w:t>
      </w:r>
      <w:hyperlink r:id="rId83">
        <w:r>
          <w:rPr>
            <w:color w:val="276C78"/>
            <w:u w:val="single"/>
          </w:rPr>
          <w:t>R075</w:t>
        </w:r>
      </w:hyperlink>
    </w:p>
    <w:p>
      <w:r>
        <w:t>Изображения HMML — отдельный слой: бесплатная регистрация для просмотра не даёт автоматического права копировать или перераспространять их; применимы условия HMML и разрешения владельцев. У собрания Фрира опубликовано заявление об отсутствии известных ограничений, но оно не превращено в CC0 и не заменяет проверку скана и юрисдикции. Общая политика Bodleian также не перенесена без проверки на каждую часть Bruce 96.</w:t>
      </w:r>
    </w:p>
    <w:p>
      <w:pPr>
        <w:pStyle w:val="SourceNote"/>
      </w:pPr>
      <w:r>
        <w:t xml:space="preserve">Источники и записи реестра: </w:t>
      </w:r>
      <w:hyperlink r:id="rId62">
        <w:r>
          <w:rPr>
            <w:color w:val="276C78"/>
            <w:u w:val="single"/>
          </w:rPr>
          <w:t>R045</w:t>
        </w:r>
      </w:hyperlink>
      <w:r>
        <w:t xml:space="preserve"> · </w:t>
      </w:r>
      <w:hyperlink r:id="rId47">
        <w:r>
          <w:rPr>
            <w:color w:val="276C78"/>
            <w:u w:val="single"/>
          </w:rPr>
          <w:t>R062</w:t>
        </w:r>
      </w:hyperlink>
      <w:r>
        <w:t xml:space="preserve"> · </w:t>
      </w:r>
      <w:hyperlink r:id="rId60">
        <w:r>
          <w:rPr>
            <w:color w:val="276C78"/>
            <w:u w:val="single"/>
          </w:rPr>
          <w:t>R072</w:t>
        </w:r>
      </w:hyperlink>
    </w:p>
    <w:p>
      <w:r>
        <w:t>Самостоятельного подтверждённого класса «можно распространять только неизменённым» на основании CC BY-ND или аналогичной item-level лицензии не установлено. Специальные ограничения Sahidica и разрешения на отдельные цифровые слои сохранены своими словами, без искусственного присвоения им несоответствующей лицензии.</w:t>
      </w:r>
    </w:p>
    <w:p>
      <w:pPr>
        <w:pStyle w:val="Heading2"/>
      </w:pPr>
      <w:r>
        <w:t>Основа для собственного перевода ToS</w:t>
      </w:r>
    </w:p>
    <w:p>
      <w:r>
        <w:t>В 19 записях поставлен OWN_TRANSLATION_POSSIBLE. Это 19 проверенных основ доступа, а не 19 целиком свободных произведений или корпусов. Основанием служит конкретный открыто лицензированный оригинальноязычный текст: например, фрагмент Шенуте, письмо Бесы, часть «Наставлений», часть жития или §§ 1–13 Pistis Sophia. Новый перевод ограничен этим объёмом и обязан соблюдать условия исходного открытого слоя.</w:t>
      </w:r>
    </w:p>
    <w:p>
      <w:r>
        <w:t>Тег не поставлен только потому, что древнее произведение свободно от первоначального авторского права. Защищённый современный критический текст, перевод-посредник, редакторская реконструкция или неустановленные права на факсимиле требуют отдельной проверки. При сочетании положительного тега с RIGHTS_REVIEW_REQUIRED автоматическое использование допустимо лишь там, где scope и coverage прямо снимают неопределённость.</w:t>
      </w:r>
    </w:p>
    <w:p>
      <w:pPr>
        <w:pStyle w:val="SourceNote"/>
      </w:pPr>
      <w:r>
        <w:t xml:space="preserve">Источники и записи реестра: </w:t>
      </w:r>
      <w:hyperlink r:id="rId16">
        <w:r>
          <w:rPr>
            <w:color w:val="276C78"/>
            <w:u w:val="single"/>
          </w:rPr>
          <w:t>R003</w:t>
        </w:r>
      </w:hyperlink>
      <w:r>
        <w:t xml:space="preserve"> · </w:t>
      </w:r>
      <w:hyperlink r:id="rId35">
        <w:r>
          <w:rPr>
            <w:color w:val="276C78"/>
            <w:u w:val="single"/>
          </w:rPr>
          <w:t>R005</w:t>
        </w:r>
      </w:hyperlink>
      <w:r>
        <w:t xml:space="preserve"> · </w:t>
      </w:r>
      <w:hyperlink r:id="rId36">
        <w:r>
          <w:rPr>
            <w:color w:val="276C78"/>
            <w:u w:val="single"/>
          </w:rPr>
          <w:t>R006</w:t>
        </w:r>
      </w:hyperlink>
      <w:r>
        <w:t xml:space="preserve"> · </w:t>
      </w:r>
      <w:hyperlink r:id="rId39">
        <w:r>
          <w:rPr>
            <w:color w:val="276C78"/>
            <w:u w:val="single"/>
          </w:rPr>
          <w:t>R024</w:t>
        </w:r>
      </w:hyperlink>
      <w:r>
        <w:t xml:space="preserve"> · </w:t>
      </w:r>
      <w:hyperlink r:id="rId14">
        <w:r>
          <w:rPr>
            <w:color w:val="276C78"/>
            <w:u w:val="single"/>
          </w:rPr>
          <w:t>R051</w:t>
        </w:r>
      </w:hyperlink>
      <w:r>
        <w:t xml:space="preserve"> · </w:t>
      </w:r>
      <w:hyperlink r:id="rId63">
        <w:r>
          <w:rPr>
            <w:color w:val="276C78"/>
            <w:u w:val="single"/>
          </w:rPr>
          <w:t>R052</w:t>
        </w:r>
      </w:hyperlink>
      <w:r>
        <w:t xml:space="preserve"> · </w:t>
      </w:r>
      <w:hyperlink r:id="rId40">
        <w:r>
          <w:rPr>
            <w:color w:val="276C78"/>
            <w:u w:val="single"/>
          </w:rPr>
          <w:t>R053</w:t>
        </w:r>
      </w:hyperlink>
    </w:p>
    <w:p>
      <w:pPr>
        <w:pStyle w:val="Heading1"/>
        <w:pageBreakBefore/>
      </w:pPr>
      <w:r>
        <w:t>5. Характерные правовые тонкости</w:t>
      </w:r>
    </w:p>
    <w:p>
      <w:pPr>
        <w:pStyle w:val="Heading2"/>
      </w:pPr>
      <w:r>
        <w:t>Лицензия страницы не всегда является лицензией текста</w:t>
      </w:r>
    </w:p>
    <w:p>
      <w:r>
        <w:t>Главный повторяющийся риск — перенос общего footer на весь объект. У «Жития Апы Афу» специфическое CC BY-NC-SA 4.0 важнее общей CC BY 4.0 сайта. У Abraham Our Father item-level основание оказалось недостаточно ясным, поэтому общий знак лицензии не стал разрешением на свободное повторное использование. У Pistis Sophia коптский текст и английский перевод имеют разные правовые основания.</w:t>
      </w:r>
    </w:p>
    <w:p>
      <w:pPr>
        <w:pStyle w:val="SourceNote"/>
      </w:pPr>
      <w:r>
        <w:t xml:space="preserve">Источники и записи реестра: </w:t>
      </w:r>
      <w:hyperlink r:id="rId85">
        <w:r>
          <w:rPr>
            <w:color w:val="276C78"/>
            <w:u w:val="single"/>
          </w:rPr>
          <w:t>R012</w:t>
        </w:r>
      </w:hyperlink>
      <w:r>
        <w:t xml:space="preserve"> · </w:t>
      </w:r>
      <w:hyperlink r:id="rId14">
        <w:r>
          <w:rPr>
            <w:color w:val="276C78"/>
            <w:u w:val="single"/>
          </w:rPr>
          <w:t>R051</w:t>
        </w:r>
      </w:hyperlink>
      <w:r>
        <w:t xml:space="preserve"> · </w:t>
      </w:r>
      <w:hyperlink r:id="rId63">
        <w:r>
          <w:rPr>
            <w:color w:val="276C78"/>
            <w:u w:val="single"/>
          </w:rPr>
          <w:t>R052</w:t>
        </w:r>
      </w:hyperlink>
    </w:p>
    <w:p>
      <w:pPr>
        <w:pStyle w:val="Heading2"/>
      </w:pPr>
      <w:r>
        <w:t>Доступный текст не обязательно является новой критической редакцией</w:t>
      </w:r>
    </w:p>
    <w:p>
      <w:r>
        <w:t>Открытая транскрипция может воспроизводить старое издание, быть частью реконструированного кодекса или включать автоматическую языковую разметку. Это не обесценивает её, но требует указания основы. Особый пример — «Житие Исаака»: английское представление не должно цитироваться как самостоятельный прямой перевод с коптского без проверки описания метода. Свободная лицензия и качество научного текста — разные характеристики.</w:t>
      </w:r>
    </w:p>
    <w:p>
      <w:pPr>
        <w:pStyle w:val="SourceNote"/>
      </w:pPr>
      <w:r>
        <w:t xml:space="preserve">Источники и записи реестра: </w:t>
      </w:r>
      <w:hyperlink r:id="rId16">
        <w:r>
          <w:rPr>
            <w:color w:val="276C78"/>
            <w:u w:val="single"/>
          </w:rPr>
          <w:t>R003</w:t>
        </w:r>
      </w:hyperlink>
      <w:r>
        <w:t xml:space="preserve"> · </w:t>
      </w:r>
      <w:hyperlink r:id="rId11">
        <w:r>
          <w:rPr>
            <w:color w:val="276C78"/>
            <w:u w:val="single"/>
          </w:rPr>
          <w:t>R004</w:t>
        </w:r>
      </w:hyperlink>
      <w:r>
        <w:t xml:space="preserve"> · </w:t>
      </w:r>
      <w:hyperlink r:id="rId45">
        <w:r>
          <w:rPr>
            <w:color w:val="276C78"/>
            <w:u w:val="single"/>
          </w:rPr>
          <w:t>R050</w:t>
        </w:r>
      </w:hyperlink>
    </w:p>
    <w:p>
      <w:pPr>
        <w:pStyle w:val="Heading2"/>
      </w:pPr>
      <w:r>
        <w:t>Целый PDF может содержать только фрагмент произведения</w:t>
      </w:r>
    </w:p>
    <w:p>
      <w:r>
        <w:t>Полностью скачиваемое «Евангелие Марии» не возвращает утраченные страницы рукописи; французский перевод коптских «Сентенций Секста» не равен полному греческому собранию. Одно проверенное изречение AP035 не покрывает весь коптский корпус апофегм. Полная алфавитная редакция в переводе Ward или Vivian не включает автоматически систематическую и анонимную редакции.</w:t>
      </w:r>
    </w:p>
    <w:p>
      <w:pPr>
        <w:pStyle w:val="SourceNote"/>
      </w:pPr>
      <w:r>
        <w:t xml:space="preserve">Источники и записи реестра: </w:t>
      </w:r>
      <w:hyperlink r:id="rId39">
        <w:r>
          <w:rPr>
            <w:color w:val="276C78"/>
            <w:u w:val="single"/>
          </w:rPr>
          <w:t>R024</w:t>
        </w:r>
      </w:hyperlink>
      <w:r>
        <w:t xml:space="preserve"> · </w:t>
      </w:r>
      <w:hyperlink r:id="rId56">
        <w:r>
          <w:rPr>
            <w:color w:val="276C78"/>
            <w:u w:val="single"/>
          </w:rPr>
          <w:t>R056</w:t>
        </w:r>
      </w:hyperlink>
      <w:r>
        <w:t xml:space="preserve"> · </w:t>
      </w:r>
      <w:hyperlink r:id="rId68">
        <w:r>
          <w:rPr>
            <w:color w:val="276C78"/>
            <w:u w:val="single"/>
          </w:rPr>
          <w:t>R069</w:t>
        </w:r>
      </w:hyperlink>
      <w:r>
        <w:t xml:space="preserve"> · </w:t>
      </w:r>
      <w:hyperlink r:id="rId41">
        <w:r>
          <w:rPr>
            <w:color w:val="276C78"/>
            <w:u w:val="single"/>
          </w:rPr>
          <w:t>R073</w:t>
        </w:r>
      </w:hyperlink>
      <w:r>
        <w:t xml:space="preserve"> · </w:t>
      </w:r>
      <w:hyperlink r:id="rId42">
        <w:r>
          <w:rPr>
            <w:color w:val="276C78"/>
            <w:u w:val="single"/>
          </w:rPr>
          <w:t>R074</w:t>
        </w:r>
      </w:hyperlink>
    </w:p>
    <w:p>
      <w:pPr>
        <w:pStyle w:val="Heading2"/>
      </w:pPr>
      <w:r>
        <w:t>Атрибуция и история передачи требуют отдельной осторожности</w:t>
      </w:r>
    </w:p>
    <w:p>
      <w:r>
        <w:t>«Житие Шенуте» не смешано с авторскими письмами Бесы. Для «О душе и теле» сохранено различие традиционных атрибуций и современных идентификаций. «История патриархов» не приписана целиком одному Савиру: её источник, компиляция и поздние продолжения — разные слои. «Светильник разума» Савира не спутан со «Светильником тьмы» Ибн Кабара.</w:t>
      </w:r>
    </w:p>
    <w:p>
      <w:pPr>
        <w:pStyle w:val="SourceNote"/>
      </w:pPr>
      <w:r>
        <w:t xml:space="preserve">Источники и записи реестра: </w:t>
      </w:r>
      <w:hyperlink r:id="rId32">
        <w:r>
          <w:rPr>
            <w:color w:val="276C78"/>
            <w:u w:val="single"/>
          </w:rPr>
          <w:t>R025</w:t>
        </w:r>
      </w:hyperlink>
      <w:r>
        <w:t xml:space="preserve"> · </w:t>
      </w:r>
      <w:hyperlink r:id="rId57">
        <w:r>
          <w:rPr>
            <w:color w:val="276C78"/>
            <w:u w:val="single"/>
          </w:rPr>
          <w:t>R026</w:t>
        </w:r>
      </w:hyperlink>
      <w:r>
        <w:t xml:space="preserve"> · </w:t>
      </w:r>
      <w:hyperlink r:id="rId58">
        <w:r>
          <w:rPr>
            <w:color w:val="276C78"/>
            <w:u w:val="single"/>
          </w:rPr>
          <w:t>R027</w:t>
        </w:r>
      </w:hyperlink>
      <w:r>
        <w:t xml:space="preserve"> · </w:t>
      </w:r>
      <w:hyperlink r:id="rId77">
        <w:r>
          <w:rPr>
            <w:color w:val="276C78"/>
            <w:u w:val="single"/>
          </w:rPr>
          <w:t>R031</w:t>
        </w:r>
      </w:hyperlink>
      <w:r>
        <w:t xml:space="preserve"> · </w:t>
      </w:r>
      <w:hyperlink r:id="rId82">
        <w:r>
          <w:rPr>
            <w:color w:val="276C78"/>
            <w:u w:val="single"/>
          </w:rPr>
          <w:t>R036</w:t>
        </w:r>
      </w:hyperlink>
      <w:r>
        <w:t xml:space="preserve"> · </w:t>
      </w:r>
      <w:hyperlink r:id="rId40">
        <w:r>
          <w:rPr>
            <w:color w:val="276C78"/>
            <w:u w:val="single"/>
          </w:rPr>
          <w:t>R053</w:t>
        </w:r>
      </w:hyperlink>
    </w:p>
    <w:p>
      <w:r>
        <w:t>Отдельно сохранено ограничение исходного DR: утверждение о составе Coptic Ecclesiastical History и его связи с первыми восемью книгами Евсевия здесь не подтверждено достаточным источником. В основной реестр оно не перенесено как установленный факт; требуется проверка самого издания и специализированной библиографии. Академическая рецензия подтверждает идентичность издания, но не заменяет такой проверки.</w:t>
      </w:r>
    </w:p>
    <w:p>
      <w:pPr>
        <w:pStyle w:val="SourceNote"/>
      </w:pPr>
      <w:r>
        <w:t xml:space="preserve">Источники и записи реестра: </w:t>
      </w:r>
      <w:hyperlink r:id="rId80">
        <w:r>
          <w:rPr>
            <w:color w:val="276C78"/>
            <w:u w:val="single"/>
          </w:rPr>
          <w:t>R057</w:t>
        </w:r>
      </w:hyperlink>
      <w:r>
        <w:t xml:space="preserve"> · </w:t>
      </w:r>
      <w:hyperlink r:id="rId81">
        <w:r>
          <w:rPr>
            <w:color w:val="276C78"/>
            <w:u w:val="single"/>
          </w:rPr>
          <w:t>R058</w:t>
        </w:r>
      </w:hyperlink>
    </w:p>
    <w:p>
      <w:pPr>
        <w:pStyle w:val="Heading1"/>
        <w:pageBreakBefore/>
      </w:pPr>
      <w:r>
        <w:t>6. Пробелы и дальнейший поиск</w:t>
      </w:r>
    </w:p>
    <w:p>
      <w:r>
        <w:t>Лист gaps содержит 31 конкретный пункт с объяснением связи, недостающего подтверждения и следующего поискового шага. Он различает отсутствие найденного полного текста, неоткрывшийся файл, неясные права и непроверенного кандидата. Ни один из этих случаев не назван доказательством отсутствия самого произведения.</w:t>
      </w:r>
    </w:p>
    <w:p>
      <w:r>
        <w:t>Наиболее существенны неполное открытое покрытие Canons и Discourses Шенуте; пахомианских оригиналов и второй части «Наставлений»; коптских редакций апофегм; бохайрской Библии; полного Sermo Asceticus; Coptic Ecclesiastical History; арабских сочинений Савира и поздних частей «Истории патриархов». Часть задач имеет хороший платный научный вход, но не проверенный свободный оригинал.</w:t>
      </w:r>
    </w:p>
    <w:p>
      <w:r>
        <w:t>Технически не удалось открыть восемь предложенных CMCL PDF, некоторые представления Scriptorium, скан Chassinat в MENAdoc, отдельные издательские/библиотечные записи, PDF собрания Фрира и часть рукописных изображений. Такие сбои описывают этот запуск и инструмент, а не доказывают, что ссылка недоступна всем пользователям. Конкретные адреса сохранены в registry или gaps.</w:t>
      </w:r>
    </w:p>
    <w:p>
      <w:r>
        <w:t>Русскоязычная ветвь покрыта слабее английской и французской. Для книги А. И. Еланской 2001 г. найден библиографический кандидат РГБ, но не подтверждён законный свободный полный доступ. Испанские переводы, включая издательские варианты, также требуют отдельного завершённого прохода. Эти ограничения не восполнены неавторизованными копиями.</w:t>
      </w:r>
    </w:p>
    <w:p>
      <w:pPr>
        <w:pStyle w:val="Heading2"/>
      </w:pPr>
      <w:r>
        <w:t>Восемь прицельных направлений</w:t>
      </w:r>
    </w:p>
    <w:p>
      <w:r>
        <w:t>1. Шенуте и Беса. Сверить доступные фрагменты с составом Canons/Discourses и реконструкциями кодексов; проверить Chassinat, Emmel и полные тома Куна. Приоритет — тексты, уже названные в gaps, а не повторный сбор общих порталов.</w:t>
      </w:r>
    </w:p>
    <w:p>
      <w:r>
        <w:t>2. Пахомий и апофегмы. Найти вторую часть «Наставлений», оригинальные правила, письма Феодора и Орсисия; затем систематические и анонимные редакции апофегм. Проверять версию, язык и полноту, а не только совпадение названия.</w:t>
      </w:r>
    </w:p>
    <w:p>
      <w:r>
        <w:t>3. Sermo Asceticus. Проверить авторские разрешённые версии статей, арабский посредник и геэзское издание; уточнить предполагаемые отношения с 6 Ezra. Историческую связь и права на доступный текст подтверждать раздельно.</w:t>
      </w:r>
    </w:p>
    <w:p>
      <w:r>
        <w:t>4. Коптская и арабская история. Открыть Orlandi и проверить связь с Евсевием; искать арабские издания/свидетели цепочки Мавхуба и поздние части «Истории патриархов», включая ориентиры Seybold. Для Синаксаря перейти от каталожных томов Basset к конкретным легальным факсимиле.</w:t>
      </w:r>
    </w:p>
    <w:p>
      <w:r>
        <w:t>5. Рукописные изображения. Установить полный состав HMML ABMQ 00017, условия каждого изображения и реальную доступность просмотра; проверить IIIF и item-level права Bruce 96, NHC III и фриеровских рукописей. Общая лицензия каталога не должна замещать эти шаги.</w:t>
      </w:r>
    </w:p>
    <w:p>
      <w:r>
        <w:t>6. Полнота пограничного корпуса. Дойти от указателя BCNH до оставшихся отдельных переводов; проверить недоступные тексты Codex Tchacos, другие тексты Bruce Codex и остальные части Pistis Sophia. Отдельно выяснить разрешения на защищённые английские переводы.</w:t>
      </w:r>
    </w:p>
    <w:p>
      <w:r>
        <w:t>7. Более ранние источники. Найти чистые греческие основы отрывка Платона и «Сентенций Секста», латинский Asclepius и конкретные параллели герметических текстов. «Оды Соломона» остаются unverified_candidate: предполагаемую связь требуется подтвердить академически до включения в основной реестр.</w:t>
      </w:r>
    </w:p>
    <w:p>
      <w:r>
        <w:t>8. Поздние языковые линии и переводы. Завершить русские/испанские официальные издательские входы; проверить полные сочинения Ибн Кабара, Ибн Саббы и Гавриила V. Через Beta maṣāḥǝft и Syriaca искать только конкретные совпадающие произведения и свидетели, не выводить прямую коптскую трансмиссию из одной институциональной близости.</w:t>
      </w:r>
    </w:p>
    <w:p>
      <w:r>
        <w:t>Приоритет внепериодных пробелов — не расширение до всей истории христианского Востока, а проверка названных цепочек: ранний источник → коптская версия; коптский материал → арабская компиляция; арабский посредник → геэзская сохранность; монастырская память → поздний календарь или комментарий. Это сохраняет фокус T2-06 без искусственного хронологического запрета.</w:t>
      </w:r>
    </w:p>
    <w:p>
      <w:pPr>
        <w:pStyle w:val="Heading1"/>
        <w:pageBreakBefore w:val="0"/>
      </w:pPr>
      <w:r>
        <w:t>7. Итоговая оценка</w:t>
      </w:r>
    </w:p>
    <w:p>
      <w:r>
        <w:t>Получена рабочая, но не исчерпывающая карта корпуса. Лучше всего покрыты открытые коптские транскрипции отдельных монастырских произведений, современные научные переводные издания и французский читательский слой Наг-Хаммади. Слабее покрыты полные оригинальные собрания, подтверждённые права на рукописные фотографии, поздняя арабская историография и русские переводы.</w:t>
      </w:r>
    </w:p>
    <w:p>
      <w:r>
        <w:t>Наиболее свободный слой находится не в одном «полностью открытом коптском архиве», а в конкретных лицензированных текстах Scriptorium, сахидском ветхозаветном пакете и отдельно отмеченном некоммерческом фрагменте «Жития Апы Афу». Старые переводы дают дополнительные пути, но требуют юрисдикционной осторожности. Лучшие современные критические издания во многих случаях защищены — они сохранены как полезные законные варианты доступа.</w:t>
      </w:r>
    </w:p>
    <w:p>
      <w:r>
        <w:t>Пакет пригоден для передачи Codex как исследовательский реестр: ID, версия, свидетель, источник доступа, права, область разрешения и ограничения разделены. Он не является автоматическим списком разрешений на публикацию. Перед загрузкой, OCR, индексацией, embeddings, переводом или зеркалированием необходимо читать вместе tos_use, rights_scope, coverage и verification_status.</w:t>
      </w:r>
    </w:p>
    <w:p>
      <w:r>
        <w:t>Практический первый шаг для ToS — библиографические карточки и внешние ссылки на подтверждённые маршруты; затем работа с теми локальными текстовыми слоями, для которых зафиксировано достаточное разрешение. Для материалов с неясными правами сохранён путь доступа, а не выдумано разрешение.</w:t>
      </w:r>
    </w:p>
    <w:p>
      <w:pPr>
        <w:pStyle w:val="SourceNote"/>
      </w:pPr>
      <w:r>
        <w:t>В XLSX — 75 записей на листе registry и 31 пункт на листе gaps. Сокращённые ссылки R001–R075 в этом отчёте соответствуют record_id T2-06-R001–T2-06-R075 и ведут к источникам доступа. Полные сведения о версиях, правах, доказательствах, неудавшихся открытиях и границах использования находятся в соответствующих строках реестра.</w:t>
      </w:r>
    </w:p>
    <w:sectPr w:rsidR="00FC693F" w:rsidRPr="0006063C" w:rsidSect="00034616">
      <w:headerReference w:type="default" r:id="rId9"/>
      <w:footerReference w:type="default" r:id="rId10"/>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T2-06  ·  04.09.2026</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73E50"/>
      <w:sz w:val="34"/>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276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73E5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160" w:line="240" w:lineRule="auto"/>
    </w:pPr>
    <w:rPr>
      <w:rFonts w:ascii="Calibri" w:hAnsi="Calibri"/>
      <w:color w:val="596A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opticScriptorium/corpora" TargetMode="External"/><Relationship Id="rId12" Type="http://schemas.openxmlformats.org/officeDocument/2006/relationships/hyperlink" Target="https://scholarlyeditions.brill.com/cglo/" TargetMode="External"/><Relationship Id="rId13" Type="http://schemas.openxmlformats.org/officeDocument/2006/relationships/hyperlink" Target="https://www.cmcl.it/" TargetMode="External"/><Relationship Id="rId14" Type="http://schemas.openxmlformats.org/officeDocument/2006/relationships/hyperlink" Target="https://data.copticscriptorium.org/texts/lifeaphou/life-of-apa-aphou-part-1/norm/" TargetMode="External"/><Relationship Id="rId15" Type="http://schemas.openxmlformats.org/officeDocument/2006/relationships/hyperlink" Target="https://www.naghammadi.org/traductions" TargetMode="External"/><Relationship Id="rId16" Type="http://schemas.openxmlformats.org/officeDocument/2006/relationships/hyperlink" Target="https://data.copticscriptorium.org/texts/pachomiusinstructions/instructions-of-apa-pachomius-in-mercar-in-budge-ed-part-1/" TargetMode="External"/><Relationship Id="rId17" Type="http://schemas.openxmlformats.org/officeDocument/2006/relationships/hyperlink" Target="https://litpress.org/Products/CS045/Pachomian-Koinonia-1" TargetMode="External"/><Relationship Id="rId18" Type="http://schemas.openxmlformats.org/officeDocument/2006/relationships/hyperlink" Target="https://litpress.org/Products/CS046/Pachomian-Koinonia-2" TargetMode="External"/><Relationship Id="rId19" Type="http://schemas.openxmlformats.org/officeDocument/2006/relationships/hyperlink" Target="https://litpress.org/Products/CS047/Pachomian-Koinonia-3" TargetMode="External"/><Relationship Id="rId20" Type="http://schemas.openxmlformats.org/officeDocument/2006/relationships/hyperlink" Target="https://data.copticscriptorium.org/texts/besa_letters/to-aphthonia/analytic/" TargetMode="External"/><Relationship Id="rId21" Type="http://schemas.openxmlformats.org/officeDocument/2006/relationships/hyperlink" Target="https://data.copticscriptorium.org/texts/not_because_a_fox_barks/not-because-a-fox-barks-xh-204-216/" TargetMode="External"/><Relationship Id="rId22" Type="http://schemas.openxmlformats.org/officeDocument/2006/relationships/hyperlink" Target="https://data.copticscriptorium.org/texts/besa_letters/on-vigilance/" TargetMode="External"/><Relationship Id="rId23" Type="http://schemas.openxmlformats.org/officeDocument/2006/relationships/hyperlink" Target="https://data.copticscriptorium.org/texts/besa_letters/exhortations/" TargetMode="External"/><Relationship Id="rId24" Type="http://schemas.openxmlformats.org/officeDocument/2006/relationships/hyperlink" Target="https://data.copticscriptorium.org/texts/besa_letters/on-lack-of-food/" TargetMode="External"/><Relationship Id="rId25" Type="http://schemas.openxmlformats.org/officeDocument/2006/relationships/hyperlink" Target="https://data.copticscriptorium.org/texts/besa_letters/to-thieving-nuns/" TargetMode="External"/><Relationship Id="rId26" Type="http://schemas.openxmlformats.org/officeDocument/2006/relationships/hyperlink" Target="https://data.copticscriptorium.org/texts/acephalous_work_22/acephelous-work-22-yb-67-80/norm/" TargetMode="External"/><Relationship Id="rId27" Type="http://schemas.openxmlformats.org/officeDocument/2006/relationships/hyperlink" Target="https://data.copticscriptorium.org/texts/shenoutenight/in-the-night-bv278-282/" TargetMode="External"/><Relationship Id="rId28" Type="http://schemas.openxmlformats.org/officeDocument/2006/relationships/hyperlink" Target="https://data.copticscriptorium.org/texts/shenouteprince/because-of-you-too-o-prince-of-evil-xh-185-194/" TargetMode="External"/><Relationship Id="rId29" Type="http://schemas.openxmlformats.org/officeDocument/2006/relationships/hyperlink" Target="https://data.copticscriptorium.org/texts/shenoutethundered/the-lord-thundered-gg-19-28-in-amelineau/" TargetMode="External"/><Relationship Id="rId30" Type="http://schemas.openxmlformats.org/officeDocument/2006/relationships/hyperlink" Target="https://data.copticscriptorium.org/texts/shenouteseeks/whoever-seeks-god-will-find-cz-129-137/" TargetMode="External"/><Relationship Id="rId31" Type="http://schemas.openxmlformats.org/officeDocument/2006/relationships/hyperlink" Target="https://data.copticscriptorium.org/texts/shenoutelisten/so-listen-fl15-28/" TargetMode="External"/><Relationship Id="rId32" Type="http://schemas.openxmlformats.org/officeDocument/2006/relationships/hyperlink" Target="https://litpress.org/Products/CS073/The-Life-of-Shenoute" TargetMode="External"/><Relationship Id="rId33" Type="http://schemas.openxmlformats.org/officeDocument/2006/relationships/hyperlink" Target="https://isdistribution.com/work/letters-and-sermons-of-besa/" TargetMode="External"/><Relationship Id="rId34" Type="http://schemas.openxmlformats.org/officeDocument/2006/relationships/hyperlink" Target="https://isdistribution.com/work/letters-and-sermons-of-besa-2/" TargetMode="External"/><Relationship Id="rId35" Type="http://schemas.openxmlformats.org/officeDocument/2006/relationships/hyperlink" Target="https://data.copticscriptorium.org/texts/old-testament/" TargetMode="External"/><Relationship Id="rId36" Type="http://schemas.openxmlformats.org/officeDocument/2006/relationships/hyperlink" Target="https://data.copticscriptorium.org/texts/new-testament/" TargetMode="External"/><Relationship Id="rId37" Type="http://schemas.openxmlformats.org/officeDocument/2006/relationships/hyperlink" Target="https://academic.oup.com/jts/article/69/2/628/5107031" TargetMode="External"/><Relationship Id="rId38" Type="http://schemas.openxmlformats.org/officeDocument/2006/relationships/hyperlink" Target="https://epub.ub.uni-muenchen.de/78150/" TargetMode="External"/><Relationship Id="rId39" Type="http://schemas.openxmlformats.org/officeDocument/2006/relationships/hyperlink" Target="https://data.copticscriptorium.org/texts/ap/apophthegmata-patrum-sahidic-035/dipl/" TargetMode="External"/><Relationship Id="rId40" Type="http://schemas.openxmlformats.org/officeDocument/2006/relationships/hyperlink" Target="https://data.copticscriptorium.org/texts/pseudoathanasiusdiscourses/on-the-soul-and-body/norm/" TargetMode="External"/><Relationship Id="rId41" Type="http://schemas.openxmlformats.org/officeDocument/2006/relationships/hyperlink" Target="https://litpress.org/Products/CS059/The-Sayings-Of-The-Desert-Fathers" TargetMode="External"/><Relationship Id="rId42" Type="http://schemas.openxmlformats.org/officeDocument/2006/relationships/hyperlink" Target="https://litpress.org/Products/DFDMSET/The-Sayings-and-Stories-of-the-Desert-Fathers-and-Mothers-Set" TargetMode="External"/><Relationship Id="rId43" Type="http://schemas.openxmlformats.org/officeDocument/2006/relationships/hyperlink" Target="https://cmcl.it/~cmcl/paolotamma1.PDF" TargetMode="External"/><Relationship Id="rId44" Type="http://schemas.openxmlformats.org/officeDocument/2006/relationships/hyperlink" Target="https://cmcl.it/~cmcl/phif_longino.pdf" TargetMode="External"/><Relationship Id="rId45" Type="http://schemas.openxmlformats.org/officeDocument/2006/relationships/hyperlink" Target="https://data.copticscriptorium.org/texts/bohairiclifeisaac/life-of-isaac-of-alexandria-part-1/norm/" TargetMode="External"/><Relationship Id="rId46" Type="http://schemas.openxmlformats.org/officeDocument/2006/relationships/hyperlink" Target="https://wellcomecollection.org/works/d3vxj26q" TargetMode="External"/><Relationship Id="rId47" Type="http://schemas.openxmlformats.org/officeDocument/2006/relationships/hyperlink" Target="https://archive.org/details/copticmanuscript00coel" TargetMode="External"/><Relationship Id="rId48" Type="http://schemas.openxmlformats.org/officeDocument/2006/relationships/hyperlink" Target="https://www.tertullian.org/fathers/palladius_lausiac_02_text.htm" TargetMode="External"/><Relationship Id="rId49" Type="http://schemas.openxmlformats.org/officeDocument/2006/relationships/hyperlink" Target="https://www.newadvent.org/fathers/2811.htm" TargetMode="External"/><Relationship Id="rId50" Type="http://schemas.openxmlformats.org/officeDocument/2006/relationships/hyperlink" Target="https://www.newadvent.org/fathers/350809.htm" TargetMode="External"/><Relationship Id="rId51" Type="http://schemas.openxmlformats.org/officeDocument/2006/relationships/hyperlink" Target="https://www.naghammadi.org/sites/naghammadi.org/files/uploads/traductions/nh-vi-5-fragment-de-la-republique-de-platon.pdf" TargetMode="External"/><Relationship Id="rId52" Type="http://schemas.openxmlformats.org/officeDocument/2006/relationships/hyperlink" Target="https://www.naghammadi.org/sites/naghammadi.org/files/uploads/traductions/nh-vi-6-ogdoade-et-enneade.pdf" TargetMode="External"/><Relationship Id="rId53" Type="http://schemas.openxmlformats.org/officeDocument/2006/relationships/hyperlink" Target="https://www.naghammadi.org/sites/naghammadi.org/files/uploads/traductions/nh-vi-7-priere-daction-de-grace.pdf" TargetMode="External"/><Relationship Id="rId54" Type="http://schemas.openxmlformats.org/officeDocument/2006/relationships/hyperlink" Target="https://www.naghammadi.org/sites/naghammadi.org/files/uploads/traductions/nh-vi-8-fragment-du-discours-parfait.pdf" TargetMode="External"/><Relationship Id="rId55" Type="http://schemas.openxmlformats.org/officeDocument/2006/relationships/hyperlink" Target="https://www.gutenberg.org/ebooks/1497" TargetMode="External"/><Relationship Id="rId56" Type="http://schemas.openxmlformats.org/officeDocument/2006/relationships/hyperlink" Target="https://www.naghammadi.org/sites/naghammadi.org/files/uploads/traductions/nh-xii-1-sentences-de-sextus.pdf" TargetMode="External"/><Relationship Id="rId57" Type="http://schemas.openxmlformats.org/officeDocument/2006/relationships/hyperlink" Target="https://academic.oup.com/fordham-scholarship-online/book/44086" TargetMode="External"/><Relationship Id="rId58" Type="http://schemas.openxmlformats.org/officeDocument/2006/relationships/hyperlink" Target="https://www.tertullian.org/fathers/severus_hermopolis_hist_alex_patr_01_part1.htm" TargetMode="External"/><Relationship Id="rId59" Type="http://schemas.openxmlformats.org/officeDocument/2006/relationships/hyperlink" Target="https://www.tertullian.org/fathers/nikiu2_chronicle.htm" TargetMode="External"/><Relationship Id="rId60" Type="http://schemas.openxmlformats.org/officeDocument/2006/relationships/hyperlink" Target="https://www.vhmml.org/readingRoom/view/133016" TargetMode="External"/><Relationship Id="rId61" Type="http://schemas.openxmlformats.org/officeDocument/2006/relationships/hyperlink" Target="https://www.naghammadi.org/sites/naghammadi.org/files/uploads/traductions/ct-3-evangile-de-judas.pdf" TargetMode="External"/><Relationship Id="rId62" Type="http://schemas.openxmlformats.org/officeDocument/2006/relationships/hyperlink" Target="https://digital.bodleian.ox.ac.uk/objects/32770258-9c24-4b1c-9b9d-79a66f8914cf/" TargetMode="External"/><Relationship Id="rId63" Type="http://schemas.openxmlformats.org/officeDocument/2006/relationships/hyperlink" Target="https://data.copticscriptorium.org/texts/pistissophia/pistis-sophia-book-1-part-1/norm/" TargetMode="External"/><Relationship Id="rId64" Type="http://schemas.openxmlformats.org/officeDocument/2006/relationships/hyperlink" Target="https://www.naghammadi.org/sites/naghammadi.org/files/uploads/traductions/ms-bruce-96-1-les-livres-du-grand-discours-mysterique.pdf" TargetMode="External"/><Relationship Id="rId65" Type="http://schemas.openxmlformats.org/officeDocument/2006/relationships/hyperlink" Target="https://www.naghammadi.org/sites/naghammadi.org/files/uploads/traductions/nh-ii-2-evangile-selon-thomas.pdf" TargetMode="External"/><Relationship Id="rId66" Type="http://schemas.openxmlformats.org/officeDocument/2006/relationships/hyperlink" Target="https://www.naghammadi.org/sites/naghammadi.org/files/uploads/traductions/nh-ii-1-livre-des-secrets-de-jean.pdf" TargetMode="External"/><Relationship Id="rId67" Type="http://schemas.openxmlformats.org/officeDocument/2006/relationships/hyperlink" Target="https://www.naghammadi.org/sites/naghammadi.org/files/uploads/traductions/nh-iii-1-bg-2-livre-des-secrets-de-jean.pdf" TargetMode="External"/><Relationship Id="rId68" Type="http://schemas.openxmlformats.org/officeDocument/2006/relationships/hyperlink" Target="https://www.naghammadi.org/sites/naghammadi.org/files/uploads/traductions/bg-1-evangile-selon-marie.pdf" TargetMode="External"/><Relationship Id="rId69" Type="http://schemas.openxmlformats.org/officeDocument/2006/relationships/hyperlink" Target="https://www.naghammadi.org/sites/naghammadi.org/files/uploads/traductions/nh-ii-3-evangile-selon-philippe.pdf" TargetMode="External"/><Relationship Id="rId70" Type="http://schemas.openxmlformats.org/officeDocument/2006/relationships/hyperlink" Target="https://academic.oup.com/book/10148" TargetMode="External"/><Relationship Id="rId71" Type="http://schemas.openxmlformats.org/officeDocument/2006/relationships/hyperlink" Target="https://books.apple.com/us/book/selected-discourses-of-shenoute-the-great/id1064929024" TargetMode="External"/><Relationship Id="rId72" Type="http://schemas.openxmlformats.org/officeDocument/2006/relationships/hyperlink" Target="https://data.copticscriptorium.org/texts/bohairiclifeshenoute/" TargetMode="External"/><Relationship Id="rId73" Type="http://schemas.openxmlformats.org/officeDocument/2006/relationships/hyperlink" Target="https://www.newadvent.org/fathers/2806039.htm" TargetMode="External"/><Relationship Id="rId74" Type="http://schemas.openxmlformats.org/officeDocument/2006/relationships/hyperlink" Target="https://cmcl.it/~cmcl/cirapoc_0107.pdf" TargetMode="External"/><Relationship Id="rId75" Type="http://schemas.openxmlformats.org/officeDocument/2006/relationships/hyperlink" Target="https://cmcl.it/~cmcl/cc0397a.pdf" TargetMode="External"/><Relationship Id="rId76" Type="http://schemas.openxmlformats.org/officeDocument/2006/relationships/hyperlink" Target="https://cmcl.it/~cmcl/severiano_vol1.pdf" TargetMode="External"/><Relationship Id="rId77" Type="http://schemas.openxmlformats.org/officeDocument/2006/relationships/hyperlink" Target="https://cmcl.it/~cmcl/ancorp.pdf" TargetMode="External"/><Relationship Id="rId78" Type="http://schemas.openxmlformats.org/officeDocument/2006/relationships/hyperlink" Target="https://cmcl.it/~cmcl/contro_orig1.PDF" TargetMode="External"/><Relationship Id="rId79" Type="http://schemas.openxmlformats.org/officeDocument/2006/relationships/hyperlink" Target="https://cmcl.it/~cmcl/cirillo_verg1.PDF" TargetMode="External"/><Relationship Id="rId80" Type="http://schemas.openxmlformats.org/officeDocument/2006/relationships/hyperlink" Target="https://search.worldcat.org/oclc/806758" TargetMode="External"/><Relationship Id="rId81" Type="http://schemas.openxmlformats.org/officeDocument/2006/relationships/hyperlink" Target="https://www.persee.fr/doc/rhr_0035-1423_1971_num_180_2_9785" TargetMode="External"/><Relationship Id="rId82" Type="http://schemas.openxmlformats.org/officeDocument/2006/relationships/hyperlink" Target="https://www.nli.org.il/en/books/NNL_ALEPH990034324990205171/NLI" TargetMode="External"/><Relationship Id="rId83" Type="http://schemas.openxmlformats.org/officeDocument/2006/relationships/hyperlink" Target="https://yalebooks.yale.edu/book/9780300255577/the-gnostic-scriptures/" TargetMode="External"/><Relationship Id="rId84" Type="http://schemas.openxmlformats.org/officeDocument/2006/relationships/hyperlink" Target="https://www.nasscal.com/manuscripta-apocryphorum/cairo-coptic-museum-inv-4851/" TargetMode="External"/><Relationship Id="rId85" Type="http://schemas.openxmlformats.org/officeDocument/2006/relationships/hyperlink" Target="https://data.copticscriptorium.org/texts/abraham_our_father/abraham-our-father-ya-518-20/n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T2-06</dc:title>
  <dc:subject>Коптский Египет: корпус, доступ и права</dc:subject>
  <dc:creator>ToS / Древо Софии</dc:creator>
  <cp:keywords>T2-06, Coptic, корпус, доступ, права, research-first v4.3.1</cp:keywords>
  <dc:description>generated by python-docx</dc:description>
  <cp:lastModifiedBy/>
  <cp:revision>1</cp:revision>
  <dcterms:created xsi:type="dcterms:W3CDTF">2013-12-23T23:15:00Z</dcterms:created>
  <dcterms:modified xsi:type="dcterms:W3CDTF">2013-12-23T23:15:00Z</dcterms:modified>
  <cp:category/>
</cp:coreProperties>
</file>