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</w:t>
        <w:br/>
        <w:t>Registry</w:t>
      </w:r>
    </w:p>
    <w:p>
      <w:pPr>
        <w:pStyle w:val="Subtitle"/>
      </w:pPr>
      <w:r>
        <w:t>T2-33 · Вишиштадвайта, Двайта</w:t>
        <w:br/>
        <w:t>и теистические веданты</w:t>
      </w:r>
    </w:p>
    <w:p>
      <w:r>
        <w:rPr>
          <w:b/>
        </w:rPr>
        <w:t>102 пути доступа</w:t>
      </w:r>
      <w:r>
        <w:t xml:space="preserve"> • около 75–80 произведений и корпусных единиц • 41 запись о пробелах</w:t>
      </w:r>
    </w:p>
    <w:p>
      <w:r>
        <w:t>Исследовательский пакет v4.3.1. Историческое ядро сохранено; корпусный поиск расширен назад к источникам и вперёд к комментариям, переводам и текстам рецепции. Реестр описывает не только свободные файлы, но и законное чтение, каталоги, образцы и приобретение.</w:t>
      </w:r>
    </w:p>
    <w:p>
      <w:pPr>
        <w:pStyle w:val="Heading1"/>
        <w:pageBreakBefore w:val="0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Строка и исходная оценка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T2-33; статус A; уверенность 4/5. Оценка мастер-строки не изменялась.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Исторические интервалы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Формирование X–XIII вв.; письменное ядро XI–XIV вв.; канонизация и комментарий XII–XV вв.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Исходный документ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ToS Deep Research_ T2-33 — Вишиштадвайта, Двайта и теистические веданты(1).docx; прежде всего разделы 1–7, 12–17.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Дата живой проверки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4 сентября 2026 года. Дата описывает этот запуск, а не гарантию дальнейшей работоспособности.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Языки поиска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Санскритские названия в IAST и деванагари; английский, русский, тамильский; дополнительные немецкие и французские библиографические варианты. Maṇipravāḷa — исследуемый язык корпуса, не обещание полного филологического прочтения.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Итоговые файлы</w:t>
            </w:r>
          </w:p>
        </w:tc>
        <w:tc>
          <w:tcPr>
            <w:tcW w:type="dxa" w:w="725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Один XLSX: registry (32 поля) и gaps. Этот DOCX объясняет охват и ограничения, не воспроизводя 102 строки целиком.</w:t>
            </w:r>
          </w:p>
        </w:tc>
      </w:tr>
    </w:tbl>
    <w:p>
      <w:r>
        <w:t>Ядром считались авторские и комментарийные корпуса Рамануджи, Мадхвы, Ямуны, Джая­тиртхи и Веданты Дешики, а также непосредственно связанная тамильско-маниправальская традиция. Искались произведения, конкретные редакции и переводы, рукописи, старые сканы и машиночитаемые тексты. Биографические и доктринальные пересказы не заменяли первичные объекты.</w:t>
      </w:r>
    </w:p>
    <w:p>
      <w:r>
        <w:t>Для доступа использованы официальные текстовые проекты, библиотеки, рукописные собрания, издательства и авторские сайты. Идентификация проверялась по заголовкам e-text, библиотечным записям, ISBN/Handle/ARK и издательскому составу. Права — по item-level уведомлениям и применимым условиям; исторический возраст не подменял лицензию цифрового слоя.</w:t>
      </w:r>
    </w:p>
    <w:p>
      <w:r>
        <w:t>Обозначение R001 в отчёте означает T2-33-R001 в XLSX; оно кликабельно и ведёт к источнику. G001 означает строку листа gaps. Неизвестные права и неудачные открытия сохранены явно. Покупки, регистрация, выдача книг и обращения к правообладателям не выполнялись.</w:t>
      </w:r>
    </w:p>
    <w:p>
      <w:pPr>
        <w:pStyle w:val="Heading1"/>
        <w:pageBreakBefore w:val="0"/>
      </w:pPr>
      <w:r>
        <w:t>2. Охват корпуса</w:t>
      </w:r>
    </w:p>
    <w:p>
      <w:pPr>
        <w:pStyle w:val="Heading2"/>
      </w:pPr>
      <w:r>
        <w:t>2.1. Что было извлечено из DR</w:t>
      </w:r>
    </w:p>
    <w:p>
      <w:r>
        <w:t>Исходная карта дала три крупнейших сочинения Рамануджи — Śrībhāṣya, Vedārthasaṃgraha и Bhagavadgītābhāṣya — и Gadyatraya с оговоркой об атрибуции. На стороне Ямуны сохранены три Siddhi, Āgamaprāmāṇya и Gītārthasaṃgraha. Тамильское ядро — Nālāyira Divya Prabandham, прежде всего Tiruvāymoḻi и комментарий Piḷḷān «Six Thousand». Это разные произведения и языковые слои, а не единый «текст Рамануджи».</w:t>
      </w:r>
      <w:r>
        <w:rPr>
          <w:sz w:val="18"/>
        </w:rPr>
        <w:t xml:space="preserve">  [</w:t>
      </w:r>
      <w:hyperlink r:id="rId11">
        <w:r>
          <w:rPr>
            <w:color w:val="176B80"/>
            <w:u w:val="single"/>
            <w:sz w:val="18"/>
          </w:rPr>
          <w:t>R001</w:t>
        </w:r>
      </w:hyperlink>
      <w:r>
        <w:rPr>
          <w:sz w:val="18"/>
        </w:rPr>
        <w:t xml:space="preserve">; </w:t>
      </w:r>
      <w:hyperlink r:id="rId12">
        <w:r>
          <w:rPr>
            <w:color w:val="176B80"/>
            <w:u w:val="single"/>
            <w:sz w:val="18"/>
          </w:rPr>
          <w:t>R002</w:t>
        </w:r>
      </w:hyperlink>
      <w:r>
        <w:rPr>
          <w:sz w:val="18"/>
        </w:rPr>
        <w:t xml:space="preserve">; </w:t>
      </w:r>
      <w:hyperlink r:id="rId13">
        <w:r>
          <w:rPr>
            <w:color w:val="176B80"/>
            <w:u w:val="single"/>
            <w:sz w:val="18"/>
          </w:rPr>
          <w:t>R012</w:t>
        </w:r>
      </w:hyperlink>
      <w:r>
        <w:rPr>
          <w:sz w:val="18"/>
        </w:rPr>
        <w:t xml:space="preserve">; </w:t>
      </w:r>
      <w:hyperlink r:id="rId14">
        <w:r>
          <w:rPr>
            <w:color w:val="176B80"/>
            <w:u w:val="single"/>
            <w:sz w:val="18"/>
          </w:rPr>
          <w:t>R076</w:t>
        </w:r>
      </w:hyperlink>
      <w:r>
        <w:rPr>
          <w:sz w:val="18"/>
        </w:rPr>
        <w:t xml:space="preserve">; </w:t>
      </w:r>
      <w:hyperlink r:id="rId15">
        <w:r>
          <w:rPr>
            <w:color w:val="176B80"/>
            <w:u w:val="single"/>
            <w:sz w:val="18"/>
          </w:rPr>
          <w:t>R081</w:t>
        </w:r>
      </w:hyperlink>
      <w:r>
        <w:rPr>
          <w:sz w:val="18"/>
        </w:rPr>
        <w:t xml:space="preserve">; </w:t>
      </w:r>
      <w:hyperlink r:id="rId16">
        <w:r>
          <w:rPr>
            <w:color w:val="176B80"/>
            <w:u w:val="single"/>
            <w:sz w:val="18"/>
          </w:rPr>
          <w:t>R083</w:t>
        </w:r>
      </w:hyperlink>
      <w:r>
        <w:rPr>
          <w:sz w:val="18"/>
        </w:rPr>
        <w:t>]</w:t>
      </w:r>
    </w:p>
    <w:p>
      <w:r>
        <w:t>У Дешики проверены пути к Tattvamuktākalāpa с Sarvārthasiddhi, Nyāyapariśuddhi, Nyāyasiddhāñjana, Pāñcarātrarakṣā, Śatadūṣaṇī, Tattvaṭīkā и Rahasyatrayasāra. Для Paramatabhaṅga отдельный надёжный вход не установлен: он назван в G009, а наличие общего Deśikaprabandham не выдано за доказательство состава каждого его члена.</w:t>
      </w:r>
      <w:r>
        <w:rPr>
          <w:sz w:val="18"/>
        </w:rPr>
        <w:t xml:space="preserve">  [</w:t>
      </w:r>
      <w:hyperlink r:id="rId17">
        <w:r>
          <w:rPr>
            <w:color w:val="176B80"/>
            <w:u w:val="single"/>
            <w:sz w:val="18"/>
          </w:rPr>
          <w:t>R057</w:t>
        </w:r>
      </w:hyperlink>
      <w:r>
        <w:rPr>
          <w:sz w:val="18"/>
        </w:rPr>
        <w:t xml:space="preserve">; </w:t>
      </w:r>
      <w:hyperlink r:id="rId18">
        <w:r>
          <w:rPr>
            <w:color w:val="176B80"/>
            <w:u w:val="single"/>
            <w:sz w:val="18"/>
          </w:rPr>
          <w:t>R059</w:t>
        </w:r>
      </w:hyperlink>
      <w:r>
        <w:rPr>
          <w:sz w:val="18"/>
        </w:rPr>
        <w:t xml:space="preserve">; </w:t>
      </w:r>
      <w:hyperlink r:id="rId19">
        <w:r>
          <w:rPr>
            <w:color w:val="176B80"/>
            <w:u w:val="single"/>
            <w:sz w:val="18"/>
          </w:rPr>
          <w:t>R070</w:t>
        </w:r>
      </w:hyperlink>
      <w:r>
        <w:rPr>
          <w:sz w:val="18"/>
        </w:rPr>
        <w:t xml:space="preserve">; </w:t>
      </w:r>
      <w:hyperlink r:id="rId20">
        <w:r>
          <w:rPr>
            <w:color w:val="176B80"/>
            <w:u w:val="single"/>
            <w:sz w:val="18"/>
          </w:rPr>
          <w:t>R073</w:t>
        </w:r>
      </w:hyperlink>
      <w:r>
        <w:rPr>
          <w:sz w:val="18"/>
        </w:rPr>
        <w:t xml:space="preserve">; </w:t>
      </w:r>
      <w:hyperlink r:id="rId21">
        <w:r>
          <w:rPr>
            <w:color w:val="176B80"/>
            <w:u w:val="single"/>
            <w:sz w:val="18"/>
          </w:rPr>
          <w:t>R074</w:t>
        </w:r>
      </w:hyperlink>
      <w:r>
        <w:rPr>
          <w:sz w:val="18"/>
        </w:rPr>
        <w:t xml:space="preserve">; </w:t>
      </w:r>
      <w:hyperlink r:id="rId22">
        <w:r>
          <w:rPr>
            <w:color w:val="176B80"/>
            <w:u w:val="single"/>
            <w:sz w:val="18"/>
          </w:rPr>
          <w:t>R086</w:t>
        </w:r>
      </w:hyperlink>
      <w:r>
        <w:rPr>
          <w:sz w:val="18"/>
        </w:rPr>
        <w:t>]</w:t>
      </w:r>
    </w:p>
    <w:p>
      <w:r>
        <w:t>Якоря Мадхвы — Anuvyākhyāna и Mahābhāratatātparyanirṇaya; Джая­тиртхи — Nyāyasudhā. Для них найдены оригинальные электронные тексты и дополнительные официальные ветви. Все три IFP-свидетеля, названные в DR, сохранены как отдельные неоткрывшиеся кандидаты G004–G006, а не как якобы осмотренные факсимиле.</w:t>
      </w:r>
      <w:r>
        <w:rPr>
          <w:sz w:val="18"/>
        </w:rPr>
        <w:t xml:space="preserve">  [</w:t>
      </w:r>
      <w:hyperlink r:id="rId23">
        <w:r>
          <w:rPr>
            <w:color w:val="176B80"/>
            <w:u w:val="single"/>
            <w:sz w:val="18"/>
          </w:rPr>
          <w:t>R003</w:t>
        </w:r>
      </w:hyperlink>
      <w:r>
        <w:rPr>
          <w:sz w:val="18"/>
        </w:rPr>
        <w:t xml:space="preserve">; </w:t>
      </w:r>
      <w:hyperlink r:id="rId24">
        <w:r>
          <w:rPr>
            <w:color w:val="176B80"/>
            <w:u w:val="single"/>
            <w:sz w:val="18"/>
          </w:rPr>
          <w:t>R004</w:t>
        </w:r>
      </w:hyperlink>
      <w:r>
        <w:rPr>
          <w:sz w:val="18"/>
        </w:rPr>
        <w:t xml:space="preserve">; </w:t>
      </w:r>
      <w:hyperlink r:id="rId25">
        <w:r>
          <w:rPr>
            <w:color w:val="176B80"/>
            <w:u w:val="single"/>
            <w:sz w:val="18"/>
          </w:rPr>
          <w:t>R005</w:t>
        </w:r>
      </w:hyperlink>
      <w:r>
        <w:rPr>
          <w:sz w:val="18"/>
        </w:rPr>
        <w:t xml:space="preserve">; </w:t>
      </w:r>
      <w:hyperlink r:id="rId26">
        <w:r>
          <w:rPr>
            <w:color w:val="176B80"/>
            <w:u w:val="single"/>
            <w:sz w:val="18"/>
          </w:rPr>
          <w:t>R015</w:t>
        </w:r>
      </w:hyperlink>
      <w:r>
        <w:rPr>
          <w:sz w:val="18"/>
        </w:rPr>
        <w:t xml:space="preserve">; </w:t>
      </w:r>
      <w:hyperlink r:id="rId27">
        <w:r>
          <w:rPr>
            <w:color w:val="176B80"/>
            <w:u w:val="single"/>
            <w:sz w:val="18"/>
          </w:rPr>
          <w:t>R019</w:t>
        </w:r>
      </w:hyperlink>
      <w:r>
        <w:rPr>
          <w:sz w:val="18"/>
        </w:rPr>
        <w:t>]</w:t>
      </w:r>
    </w:p>
    <w:p>
      <w:pPr>
        <w:pStyle w:val="Heading2"/>
      </w:pPr>
      <w:r>
        <w:t>2.2. Существенные добавления веб-поиска</w:t>
      </w:r>
    </w:p>
    <w:p>
      <w:r>
        <w:t>Мадхва представлен существенно шире двух якорей: Brahmasūtrabhāṣya, Anubhāṣya, Nyāyavivaraṇa, Ṛgbhāṣya, Bhāgavatatātparyanirṇaya, ряд упанишадических bhāṣya, Kathālakṣaṇa, полемические khaṇḍana, Viṣṇutattvavinirṇaya и Karmanirṇaya. Дополнительно обнаружены Tattvasaṅkhyāna, Tattvaviveka, Tattvodyota, Sadācārasmṛti, Tantrasārasaṅgraha, Yatipraṇavakalpa, Jayantīnirṇaya, Dvādaśastotra, Yamakabhārata и Kṛṣṇāmṛtamahārṇava. Полнота каждого входа указана отдельно, не на уровне обещания всего Sarvamūla.</w:t>
      </w:r>
      <w:r>
        <w:rPr>
          <w:sz w:val="18"/>
        </w:rPr>
        <w:t xml:space="preserve">  [</w:t>
      </w:r>
      <w:hyperlink r:id="rId28">
        <w:r>
          <w:rPr>
            <w:color w:val="176B80"/>
            <w:u w:val="single"/>
            <w:sz w:val="18"/>
          </w:rPr>
          <w:t>R014</w:t>
        </w:r>
      </w:hyperlink>
      <w:r>
        <w:rPr>
          <w:sz w:val="18"/>
        </w:rPr>
        <w:t xml:space="preserve">; </w:t>
      </w:r>
      <w:hyperlink r:id="rId29">
        <w:r>
          <w:rPr>
            <w:color w:val="176B80"/>
            <w:u w:val="single"/>
            <w:sz w:val="18"/>
          </w:rPr>
          <w:t>R018</w:t>
        </w:r>
      </w:hyperlink>
      <w:r>
        <w:rPr>
          <w:sz w:val="18"/>
        </w:rPr>
        <w:t xml:space="preserve">; </w:t>
      </w:r>
      <w:hyperlink r:id="rId30">
        <w:r>
          <w:rPr>
            <w:color w:val="176B80"/>
            <w:u w:val="single"/>
            <w:sz w:val="18"/>
          </w:rPr>
          <w:t>R020</w:t>
        </w:r>
      </w:hyperlink>
      <w:r>
        <w:rPr>
          <w:sz w:val="18"/>
        </w:rPr>
        <w:t xml:space="preserve">; </w:t>
      </w:r>
      <w:hyperlink r:id="rId31">
        <w:r>
          <w:rPr>
            <w:color w:val="176B80"/>
            <w:u w:val="single"/>
            <w:sz w:val="18"/>
          </w:rPr>
          <w:t>R030</w:t>
        </w:r>
      </w:hyperlink>
      <w:r>
        <w:rPr>
          <w:sz w:val="18"/>
        </w:rPr>
        <w:t xml:space="preserve">; </w:t>
      </w:r>
      <w:hyperlink r:id="rId32">
        <w:r>
          <w:rPr>
            <w:color w:val="176B80"/>
            <w:u w:val="single"/>
            <w:sz w:val="18"/>
          </w:rPr>
          <w:t>R034</w:t>
        </w:r>
      </w:hyperlink>
      <w:r>
        <w:rPr>
          <w:sz w:val="18"/>
        </w:rPr>
        <w:t xml:space="preserve">; </w:t>
      </w:r>
      <w:hyperlink r:id="rId33">
        <w:r>
          <w:rPr>
            <w:color w:val="176B80"/>
            <w:u w:val="single"/>
            <w:sz w:val="18"/>
          </w:rPr>
          <w:t>R041</w:t>
        </w:r>
      </w:hyperlink>
      <w:r>
        <w:rPr>
          <w:sz w:val="18"/>
        </w:rPr>
        <w:t xml:space="preserve">; </w:t>
      </w:r>
      <w:hyperlink r:id="rId34">
        <w:r>
          <w:rPr>
            <w:color w:val="176B80"/>
            <w:u w:val="single"/>
            <w:sz w:val="18"/>
          </w:rPr>
          <w:t>R102</w:t>
        </w:r>
      </w:hyperlink>
      <w:r>
        <w:rPr>
          <w:sz w:val="18"/>
        </w:rPr>
        <w:t>]</w:t>
      </w:r>
    </w:p>
    <w:p>
      <w:r>
        <w:t>В линии Śrī Vaiṣṇava добавлены Śrīvacanabhūṣaṇa, Prapannapārijāta, Tattvatraya, Ācāryahṛdaya и Mumukṣuppaṭi с поздним комментарием Māmuni; сохранён Rāmānuja Nūṟṟantāti как поэтическая рецепция самого учителя. Это расширение по авторской, комментарийной и институциональной связи, а не по сходству религиозной тематики.</w:t>
      </w:r>
      <w:r>
        <w:rPr>
          <w:sz w:val="18"/>
        </w:rPr>
        <w:t xml:space="preserve">  [</w:t>
      </w:r>
      <w:hyperlink r:id="rId35">
        <w:r>
          <w:rPr>
            <w:color w:val="176B80"/>
            <w:u w:val="single"/>
            <w:sz w:val="18"/>
          </w:rPr>
          <w:t>R044</w:t>
        </w:r>
      </w:hyperlink>
      <w:r>
        <w:rPr>
          <w:sz w:val="18"/>
        </w:rPr>
        <w:t xml:space="preserve">; </w:t>
      </w:r>
      <w:hyperlink r:id="rId36">
        <w:r>
          <w:rPr>
            <w:color w:val="176B80"/>
            <w:u w:val="single"/>
            <w:sz w:val="18"/>
          </w:rPr>
          <w:t>R045</w:t>
        </w:r>
      </w:hyperlink>
      <w:r>
        <w:rPr>
          <w:sz w:val="18"/>
        </w:rPr>
        <w:t xml:space="preserve">; </w:t>
      </w:r>
      <w:hyperlink r:id="rId37">
        <w:r>
          <w:rPr>
            <w:color w:val="176B80"/>
            <w:u w:val="single"/>
            <w:sz w:val="18"/>
          </w:rPr>
          <w:t>R062</w:t>
        </w:r>
      </w:hyperlink>
      <w:r>
        <w:rPr>
          <w:sz w:val="18"/>
        </w:rPr>
        <w:t xml:space="preserve">; </w:t>
      </w:r>
      <w:hyperlink r:id="rId38">
        <w:r>
          <w:rPr>
            <w:color w:val="176B80"/>
            <w:u w:val="single"/>
            <w:sz w:val="18"/>
          </w:rPr>
          <w:t>R068</w:t>
        </w:r>
      </w:hyperlink>
      <w:r>
        <w:rPr>
          <w:sz w:val="18"/>
        </w:rPr>
        <w:t xml:space="preserve">; </w:t>
      </w:r>
      <w:hyperlink r:id="rId39">
        <w:r>
          <w:rPr>
            <w:color w:val="176B80"/>
            <w:u w:val="single"/>
            <w:sz w:val="18"/>
          </w:rPr>
          <w:t>R069</w:t>
        </w:r>
      </w:hyperlink>
      <w:r>
        <w:rPr>
          <w:sz w:val="18"/>
        </w:rPr>
        <w:t xml:space="preserve">; </w:t>
      </w:r>
      <w:hyperlink r:id="rId40">
        <w:r>
          <w:rPr>
            <w:color w:val="176B80"/>
            <w:u w:val="single"/>
            <w:sz w:val="18"/>
          </w:rPr>
          <w:t>R087</w:t>
        </w:r>
      </w:hyperlink>
      <w:r>
        <w:rPr>
          <w:sz w:val="18"/>
        </w:rPr>
        <w:t>]</w:t>
      </w:r>
    </w:p>
    <w:p>
      <w:r>
        <w:t>Материальная передача дополнена Palimaru Sarvamūla, рукописью Nyāyapariśuddhi EAP1294/1/6, RAS Whish 83 со Śatadūṣaṇī и RAS 229 со Śrībhāṣya. Старые издания Tattvamuktākalāpa и Tattvaṭīkā имеют институционально прослеживаемый путь в Internet Archive, но пока не прошли полную постраничную сверку.</w:t>
      </w:r>
      <w:r>
        <w:rPr>
          <w:sz w:val="18"/>
        </w:rPr>
        <w:t xml:space="preserve">  [</w:t>
      </w:r>
      <w:hyperlink r:id="rId41">
        <w:r>
          <w:rPr>
            <w:color w:val="176B80"/>
            <w:u w:val="single"/>
            <w:sz w:val="18"/>
          </w:rPr>
          <w:t>R056</w:t>
        </w:r>
      </w:hyperlink>
      <w:r>
        <w:rPr>
          <w:sz w:val="18"/>
        </w:rPr>
        <w:t xml:space="preserve">; </w:t>
      </w:r>
      <w:hyperlink r:id="rId42">
        <w:r>
          <w:rPr>
            <w:color w:val="176B80"/>
            <w:u w:val="single"/>
            <w:sz w:val="18"/>
          </w:rPr>
          <w:t>R058</w:t>
        </w:r>
      </w:hyperlink>
      <w:r>
        <w:rPr>
          <w:sz w:val="18"/>
        </w:rPr>
        <w:t xml:space="preserve">; </w:t>
      </w:r>
      <w:hyperlink r:id="rId43">
        <w:r>
          <w:rPr>
            <w:color w:val="176B80"/>
            <w:u w:val="single"/>
            <w:sz w:val="18"/>
          </w:rPr>
          <w:t>R071</w:t>
        </w:r>
      </w:hyperlink>
      <w:r>
        <w:rPr>
          <w:sz w:val="18"/>
        </w:rPr>
        <w:t xml:space="preserve">; </w:t>
      </w:r>
      <w:hyperlink r:id="rId44">
        <w:r>
          <w:rPr>
            <w:color w:val="176B80"/>
            <w:u w:val="single"/>
            <w:sz w:val="18"/>
          </w:rPr>
          <w:t>R072</w:t>
        </w:r>
      </w:hyperlink>
      <w:r>
        <w:rPr>
          <w:sz w:val="18"/>
        </w:rPr>
        <w:t xml:space="preserve">; </w:t>
      </w:r>
      <w:hyperlink r:id="rId21">
        <w:r>
          <w:rPr>
            <w:color w:val="176B80"/>
            <w:u w:val="single"/>
            <w:sz w:val="18"/>
          </w:rPr>
          <w:t>R074</w:t>
        </w:r>
      </w:hyperlink>
      <w:r>
        <w:rPr>
          <w:sz w:val="18"/>
        </w:rPr>
        <w:t xml:space="preserve">; </w:t>
      </w:r>
      <w:hyperlink r:id="rId45">
        <w:r>
          <w:rPr>
            <w:color w:val="176B80"/>
            <w:u w:val="single"/>
            <w:sz w:val="18"/>
          </w:rPr>
          <w:t>R075</w:t>
        </w:r>
      </w:hyperlink>
      <w:r>
        <w:rPr>
          <w:sz w:val="18"/>
        </w:rPr>
        <w:t>]</w:t>
      </w:r>
    </w:p>
    <w:p>
      <w:pPr>
        <w:pStyle w:val="Heading2"/>
      </w:pPr>
      <w:r>
        <w:t>2.3. Более ранние источники</w:t>
      </w:r>
    </w:p>
    <w:p>
      <w:r>
        <w:t>Ямуна — непосредственный предшествующий философский пласт: Siddhitraya, Gītārthasaṃgraha, Catuḥślokī, Stotraratna и Āgamaprāmāṇya. Его X–XI-вековые тексты частично пересекают интервал формирования строки, но предшествуют зрелому корпусу Рамануджи. Новая проверка уточнила, что сохранившиеся Siddhi фрагментарны: полнота файла received-text не равна полноте первоначального трактата.</w:t>
      </w:r>
      <w:r>
        <w:rPr>
          <w:sz w:val="18"/>
        </w:rPr>
        <w:t xml:space="preserve">  [</w:t>
      </w:r>
      <w:hyperlink r:id="rId46">
        <w:r>
          <w:rPr>
            <w:color w:val="176B80"/>
            <w:u w:val="single"/>
            <w:sz w:val="18"/>
          </w:rPr>
          <w:t>R006</w:t>
        </w:r>
      </w:hyperlink>
      <w:r>
        <w:rPr>
          <w:sz w:val="18"/>
        </w:rPr>
        <w:t xml:space="preserve">; </w:t>
      </w:r>
      <w:hyperlink r:id="rId47">
        <w:r>
          <w:rPr>
            <w:color w:val="176B80"/>
            <w:u w:val="single"/>
            <w:sz w:val="18"/>
          </w:rPr>
          <w:t>R007</w:t>
        </w:r>
      </w:hyperlink>
      <w:r>
        <w:rPr>
          <w:sz w:val="18"/>
        </w:rPr>
        <w:t xml:space="preserve">; </w:t>
      </w:r>
      <w:hyperlink r:id="rId48">
        <w:r>
          <w:rPr>
            <w:color w:val="176B80"/>
            <w:u w:val="single"/>
            <w:sz w:val="18"/>
          </w:rPr>
          <w:t>R008</w:t>
        </w:r>
      </w:hyperlink>
      <w:r>
        <w:rPr>
          <w:sz w:val="18"/>
        </w:rPr>
        <w:t xml:space="preserve">; </w:t>
      </w:r>
      <w:hyperlink r:id="rId49">
        <w:r>
          <w:rPr>
            <w:color w:val="176B80"/>
            <w:u w:val="single"/>
            <w:sz w:val="18"/>
          </w:rPr>
          <w:t>R009</w:t>
        </w:r>
      </w:hyperlink>
      <w:r>
        <w:rPr>
          <w:sz w:val="18"/>
        </w:rPr>
        <w:t xml:space="preserve">; </w:t>
      </w:r>
      <w:hyperlink r:id="rId50">
        <w:r>
          <w:rPr>
            <w:color w:val="176B80"/>
            <w:u w:val="single"/>
            <w:sz w:val="18"/>
          </w:rPr>
          <w:t>R010</w:t>
        </w:r>
      </w:hyperlink>
      <w:r>
        <w:rPr>
          <w:sz w:val="18"/>
        </w:rPr>
        <w:t xml:space="preserve">; </w:t>
      </w:r>
      <w:hyperlink r:id="rId51">
        <w:r>
          <w:rPr>
            <w:color w:val="176B80"/>
            <w:u w:val="single"/>
            <w:sz w:val="18"/>
          </w:rPr>
          <w:t>R011</w:t>
        </w:r>
      </w:hyperlink>
      <w:r>
        <w:rPr>
          <w:sz w:val="18"/>
        </w:rPr>
        <w:t xml:space="preserve">; 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>]</w:t>
      </w:r>
    </w:p>
    <w:p>
      <w:r>
        <w:t>Nālāyira и Tiruvāymoḻi включены как тамильский канонический источник последующей экзегезы; самостоятельная Brahmasūtra — как комментируемый корневой текст. Nārāyaṇīya, Bhāgavatapurāṇa и Viṣṇupurāṇa представляют конкретный эпико-пуранический вход. Viṣvaksenasaṃhitā, Lakṣmītantra и Ahirbudhnyasaṃhitā отмечены осторожнее — как члены непосредственно релевантной Pāñcarātra-семьи, без искусственно единой датировки и без утверждения, что каждый текст непременно предшествовал Раманудже.</w:t>
      </w:r>
      <w:r>
        <w:rPr>
          <w:sz w:val="18"/>
        </w:rPr>
        <w:t xml:space="preserve">  [</w:t>
      </w:r>
      <w:hyperlink r:id="rId53">
        <w:r>
          <w:rPr>
            <w:color w:val="176B80"/>
            <w:u w:val="single"/>
            <w:sz w:val="18"/>
          </w:rPr>
          <w:t>R061</w:t>
        </w:r>
      </w:hyperlink>
      <w:r>
        <w:rPr>
          <w:sz w:val="18"/>
        </w:rPr>
        <w:t xml:space="preserve">; </w:t>
      </w:r>
      <w:hyperlink r:id="rId54">
        <w:r>
          <w:rPr>
            <w:color w:val="176B80"/>
            <w:u w:val="single"/>
            <w:sz w:val="18"/>
          </w:rPr>
          <w:t>R077</w:t>
        </w:r>
      </w:hyperlink>
      <w:r>
        <w:rPr>
          <w:sz w:val="18"/>
        </w:rPr>
        <w:t xml:space="preserve">; </w:t>
      </w:r>
      <w:hyperlink r:id="rId55">
        <w:r>
          <w:rPr>
            <w:color w:val="176B80"/>
            <w:u w:val="single"/>
            <w:sz w:val="18"/>
          </w:rPr>
          <w:t>R078</w:t>
        </w:r>
      </w:hyperlink>
      <w:r>
        <w:rPr>
          <w:sz w:val="18"/>
        </w:rPr>
        <w:t xml:space="preserve">; </w:t>
      </w:r>
      <w:hyperlink r:id="rId56">
        <w:r>
          <w:rPr>
            <w:color w:val="176B80"/>
            <w:u w:val="single"/>
            <w:sz w:val="18"/>
          </w:rPr>
          <w:t>R079</w:t>
        </w:r>
      </w:hyperlink>
      <w:r>
        <w:rPr>
          <w:sz w:val="18"/>
        </w:rPr>
        <w:t xml:space="preserve">; </w:t>
      </w:r>
      <w:hyperlink r:id="rId57">
        <w:r>
          <w:rPr>
            <w:color w:val="176B80"/>
            <w:u w:val="single"/>
            <w:sz w:val="18"/>
          </w:rPr>
          <w:t>R080</w:t>
        </w:r>
      </w:hyperlink>
      <w:r>
        <w:rPr>
          <w:sz w:val="18"/>
        </w:rPr>
        <w:t xml:space="preserve">; </w:t>
      </w:r>
      <w:hyperlink r:id="rId58">
        <w:r>
          <w:rPr>
            <w:color w:val="176B80"/>
            <w:u w:val="single"/>
            <w:sz w:val="18"/>
          </w:rPr>
          <w:t>R089</w:t>
        </w:r>
      </w:hyperlink>
      <w:r>
        <w:rPr>
          <w:sz w:val="18"/>
        </w:rPr>
        <w:t xml:space="preserve">; </w:t>
      </w:r>
      <w:hyperlink r:id="rId59">
        <w:r>
          <w:rPr>
            <w:color w:val="176B80"/>
            <w:u w:val="single"/>
            <w:sz w:val="18"/>
          </w:rPr>
          <w:t>R095</w:t>
        </w:r>
      </w:hyperlink>
      <w:r>
        <w:rPr>
          <w:sz w:val="18"/>
        </w:rPr>
        <w:t xml:space="preserve">; </w:t>
      </w:r>
      <w:hyperlink r:id="rId60">
        <w:r>
          <w:rPr>
            <w:color w:val="176B80"/>
            <w:u w:val="single"/>
            <w:sz w:val="18"/>
          </w:rPr>
          <w:t>R096</w:t>
        </w:r>
      </w:hyperlink>
      <w:r>
        <w:rPr>
          <w:sz w:val="18"/>
        </w:rPr>
        <w:t>]</w:t>
      </w:r>
    </w:p>
    <w:p>
      <w:r>
        <w:t>Утраченному Nyāyatattva Натхамуни не приписан доступный полный оригинал. Его правильный будущий объект — фрагменты и testimonia в произведениях носителей; конкретные места требуют локализации. Аналогично самостоятельные чистые версии всех цитируемых Упанишад пока не образуют завершённого набора: наличие стихов внутри bhāṣya не доказывает полноту корневого корпуса. См. G022 и G025.</w:t>
      </w:r>
    </w:p>
    <w:p>
      <w:pPr>
        <w:pStyle w:val="Heading2"/>
      </w:pPr>
      <w:r>
        <w:t>2.4. Поздние продолжения и рецепция</w:t>
      </w:r>
    </w:p>
    <w:p>
      <w:r>
        <w:t>Вперёд от Джая­тиртхи поиск дошёл до Nyāyāmṛta, Bhedojjīvana и Tātparyacandrikā Вьясатиртхи, а также Yuktimallikā Вадираджи. Это прямые XV–XVI-вековые продолжения Dvaita; их дата не понижала релевантность. Sumadhvavijaya включена как первичный носитель школьной памяти, но не как проверенная фактическая биография. XVII-вековые сочинения Рагхавендры и Tarkatāṇḍava оставлены конкретными задачами G020–G021.</w:t>
      </w:r>
      <w:r>
        <w:rPr>
          <w:sz w:val="18"/>
        </w:rPr>
        <w:t xml:space="preserve">  [</w:t>
      </w:r>
      <w:hyperlink r:id="rId61">
        <w:r>
          <w:rPr>
            <w:color w:val="176B80"/>
            <w:u w:val="single"/>
            <w:sz w:val="18"/>
          </w:rPr>
          <w:t>R036</w:t>
        </w:r>
      </w:hyperlink>
      <w:r>
        <w:rPr>
          <w:sz w:val="18"/>
        </w:rPr>
        <w:t xml:space="preserve">; </w:t>
      </w:r>
      <w:hyperlink r:id="rId62">
        <w:r>
          <w:rPr>
            <w:color w:val="176B80"/>
            <w:u w:val="single"/>
            <w:sz w:val="18"/>
          </w:rPr>
          <w:t>R037</w:t>
        </w:r>
      </w:hyperlink>
      <w:r>
        <w:rPr>
          <w:sz w:val="18"/>
        </w:rPr>
        <w:t xml:space="preserve">; </w:t>
      </w:r>
      <w:hyperlink r:id="rId63">
        <w:r>
          <w:rPr>
            <w:color w:val="176B80"/>
            <w:u w:val="single"/>
            <w:sz w:val="18"/>
          </w:rPr>
          <w:t>R038</w:t>
        </w:r>
      </w:hyperlink>
      <w:r>
        <w:rPr>
          <w:sz w:val="18"/>
        </w:rPr>
        <w:t xml:space="preserve">; </w:t>
      </w:r>
      <w:hyperlink r:id="rId64">
        <w:r>
          <w:rPr>
            <w:color w:val="176B80"/>
            <w:u w:val="single"/>
            <w:sz w:val="18"/>
          </w:rPr>
          <w:t>R039</w:t>
        </w:r>
      </w:hyperlink>
      <w:r>
        <w:rPr>
          <w:sz w:val="18"/>
        </w:rPr>
        <w:t xml:space="preserve">; </w:t>
      </w:r>
      <w:hyperlink r:id="rId65">
        <w:r>
          <w:rPr>
            <w:color w:val="176B80"/>
            <w:u w:val="single"/>
            <w:sz w:val="18"/>
          </w:rPr>
          <w:t>R040</w:t>
        </w:r>
      </w:hyperlink>
      <w:r>
        <w:rPr>
          <w:sz w:val="18"/>
        </w:rPr>
        <w:t>]</w:t>
      </w:r>
    </w:p>
    <w:p>
      <w:r>
        <w:t>Для тамильско-маниправальской линии поздняя передача представлена Māmuni и современными переводами его комментариев. Книжные редакции XIX–XXI веков включены независимо от даты как способы сохранения раннего материала. Русский сборник 2021 года связывает сразу несколько текстов Ямуны и Рамануджи; он учитывается одной издательской записью, а не десятком независимых файлов.</w:t>
      </w:r>
      <w:r>
        <w:rPr>
          <w:sz w:val="18"/>
        </w:rPr>
        <w:t xml:space="preserve">  [</w:t>
      </w:r>
      <w:hyperlink r:id="rId38">
        <w:r>
          <w:rPr>
            <w:color w:val="176B80"/>
            <w:u w:val="single"/>
            <w:sz w:val="18"/>
          </w:rPr>
          <w:t>R068</w:t>
        </w:r>
      </w:hyperlink>
      <w:r>
        <w:rPr>
          <w:sz w:val="18"/>
        </w:rPr>
        <w:t xml:space="preserve">; </w:t>
      </w:r>
      <w:hyperlink r:id="rId39">
        <w:r>
          <w:rPr>
            <w:color w:val="176B80"/>
            <w:u w:val="single"/>
            <w:sz w:val="18"/>
          </w:rPr>
          <w:t>R069</w:t>
        </w:r>
      </w:hyperlink>
      <w:r>
        <w:rPr>
          <w:sz w:val="18"/>
        </w:rPr>
        <w:t xml:space="preserve">; </w:t>
      </w:r>
      <w:hyperlink r:id="rId40">
        <w:r>
          <w:rPr>
            <w:color w:val="176B80"/>
            <w:u w:val="single"/>
            <w:sz w:val="18"/>
          </w:rPr>
          <w:t>R087</w:t>
        </w:r>
      </w:hyperlink>
      <w:r>
        <w:rPr>
          <w:sz w:val="18"/>
        </w:rPr>
        <w:t xml:space="preserve">; </w:t>
      </w:r>
      <w:hyperlink r:id="rId66">
        <w:r>
          <w:rPr>
            <w:color w:val="176B80"/>
            <w:u w:val="single"/>
            <w:sz w:val="18"/>
          </w:rPr>
          <w:t>R088</w:t>
        </w:r>
      </w:hyperlink>
      <w:r>
        <w:rPr>
          <w:sz w:val="18"/>
        </w:rPr>
        <w:t xml:space="preserve">; </w:t>
      </w:r>
      <w:hyperlink r:id="rId67">
        <w:r>
          <w:rPr>
            <w:color w:val="176B80"/>
            <w:u w:val="single"/>
            <w:sz w:val="18"/>
          </w:rPr>
          <w:t>R099</w:t>
        </w:r>
      </w:hyperlink>
      <w:r>
        <w:rPr>
          <w:sz w:val="18"/>
        </w:rPr>
        <w:t>]</w:t>
      </w:r>
    </w:p>
    <w:p>
      <w:r>
        <w:t>Особый проверенный дальний след — Caitanya-caritāmṛta, Madhya 8.73: страница воспроизводит стих и прямо относит его к Stotraratna Ямуны. Номер в BBT — 43, параллель GRETIL — YStr_46, с вариантами чтения. Это доказанная текстовая рецепция, но не доказательство генеалогии «Мадхва → Чайтанья». Другие Gauḍīya-кандидаты без проверки первичного места остались в G038.</w:t>
      </w:r>
      <w:r>
        <w:rPr>
          <w:sz w:val="18"/>
        </w:rPr>
        <w:t xml:space="preserve">  [</w:t>
      </w:r>
      <w:hyperlink r:id="rId51">
        <w:r>
          <w:rPr>
            <w:color w:val="176B80"/>
            <w:u w:val="single"/>
            <w:sz w:val="18"/>
          </w:rPr>
          <w:t>R011</w:t>
        </w:r>
      </w:hyperlink>
      <w:r>
        <w:rPr>
          <w:sz w:val="18"/>
        </w:rPr>
        <w:t xml:space="preserve">; </w:t>
      </w:r>
      <w:hyperlink r:id="rId68">
        <w:r>
          <w:rPr>
            <w:color w:val="176B80"/>
            <w:u w:val="single"/>
            <w:sz w:val="18"/>
          </w:rPr>
          <w:t>R101</w:t>
        </w:r>
      </w:hyperlink>
      <w:r>
        <w:rPr>
          <w:sz w:val="18"/>
        </w:rPr>
        <w:t>]</w:t>
      </w:r>
    </w:p>
    <w:p>
      <w:pPr>
        <w:pStyle w:val="Heading2"/>
      </w:pPr>
      <w:r>
        <w:t>2.5. Количественная картина и предел счёта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считается</w:t>
            </w:r>
          </w:p>
        </w:tc>
        <w:tc>
          <w:tcPr>
            <w:tcW w:type="dxa" w:w="27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447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Как понимать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Способы доступа</w:t>
            </w:r>
          </w:p>
        </w:tc>
        <w:tc>
          <w:tcPr>
            <w:tcW w:type="dxa" w:w="27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102 записи</w:t>
            </w:r>
          </w:p>
        </w:tc>
        <w:tc>
          <w:tcPr>
            <w:tcW w:type="dxa" w:w="447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Различаются текст, язык, редакция, репозиторий, свидетель или режим доступа.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Произведения / корпусные единицы</w:t>
            </w:r>
          </w:p>
        </w:tc>
        <w:tc>
          <w:tcPr>
            <w:tcW w:type="dxa" w:w="27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Около 75–80</w:t>
            </w:r>
          </w:p>
        </w:tc>
        <w:tc>
          <w:tcPr>
            <w:tcW w:type="dxa" w:w="447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Редакции одного текста объединены при оценке; сборники и комплексы mūla + комментарий не имеют простой взаимно-однозначной дедупликации.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Ядро и прямые родственники</w:t>
            </w:r>
          </w:p>
        </w:tc>
        <w:tc>
          <w:tcPr>
            <w:tcW w:type="dxa" w:w="27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25 core; 42 same_corpus_or_tradition</w:t>
            </w:r>
          </w:p>
        </w:tc>
        <w:tc>
          <w:tcPr>
            <w:tcW w:type="dxa" w:w="447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Это число записей доступа, а не независимых сочинений.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Хронологическое расширение</w:t>
            </w:r>
          </w:p>
        </w:tc>
        <w:tc>
          <w:tcPr>
            <w:tcW w:type="dxa" w:w="27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17 antecedent; 3 continuation; 9 commentary_or_reception; 5 transmission_or_preservation</w:t>
            </w:r>
          </w:p>
        </w:tc>
        <w:tc>
          <w:tcPr>
            <w:tcW w:type="dxa" w:w="447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Роли записи; они не являются автоматическим выводом только из даты.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Инфраструктура и пробелы</w:t>
            </w:r>
          </w:p>
        </w:tc>
        <w:tc>
          <w:tcPr>
            <w:tcW w:type="dxa" w:w="277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1 портал; 41 gap</w:t>
            </w:r>
          </w:p>
        </w:tc>
        <w:tc>
          <w:tcPr>
            <w:tcW w:type="dxa" w:w="447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Boundary-кандидаты и вспомогательные проверки оставлены в gaps; общие порталы не заменяли item-level поиск.</w:t>
            </w:r>
          </w:p>
        </w:tc>
      </w:tr>
    </w:tbl>
    <w:p>
      <w:r>
        <w:t>По режимам доступа: 79 записей позволяют бесплатно читать доступный слой; 32 содержат путь сохранения файла или HTML; 12 дают preview/образец; 9 — приобретение; 12 — метаданные; 3 включают временную недоступность. Значения пересекаются. Ни одна каталожная карточка не посчитана состоявшейся библиотечной выдачей; активный Controlled Digital Lending не подтверждён. Free_full_read относится к описанному объекту: им может быть одна глава или один фрагмент, что ограничено полем coverage.</w:t>
      </w:r>
    </w:p>
    <w:p>
      <w:pPr>
        <w:pStyle w:val="Heading1"/>
        <w:pageBreakBefore w:val="0"/>
      </w:pPr>
      <w:r>
        <w:t>3. Лучшие пути доступа</w:t>
      </w:r>
    </w:p>
    <w:p>
      <w:r>
        <w:t>Ниже «предпочтительный» означает лучший из проверенных входов для конкретной задачи. Удобство чтения, научная ценность, полнота и свобода лицензии оцениваются раздельно. Там, где полноценного современного перевода или свободного оригинала не найдено, это не скрывается заменой случайным PDF.</w:t>
      </w:r>
    </w:p>
    <w:p>
      <w:pPr>
        <w:pStyle w:val="Heading2"/>
      </w:pPr>
      <w:r>
        <w:t>3.1. Рамануджа: три основных сочинения и Gadya</w:t>
      </w:r>
    </w:p>
    <w:p>
      <w:r>
        <w:t>Śrībhāṣya. Для последовательного бесплатного английского чтения и скачивания наиболее практичен Thibaut, Sacred Books of the East 48, через Project Gutenberg. Это старый полный перевод, обозначенный Public Domain в США; его терминологический и редакторский возраст нужно сохранять в карточке. Санскритский GRETIL-вход покрывает только 1.1.3. RAS 229 даёт иной, материальный путь: Grantha-свидетель с неполным концом. Полный проверенный машиночитаемый санскритский текст остаётся приоритетным пробелом.</w:t>
      </w:r>
      <w:r>
        <w:rPr>
          <w:sz w:val="18"/>
        </w:rPr>
        <w:t xml:space="preserve">  [</w:t>
      </w:r>
      <w:hyperlink r:id="rId13">
        <w:r>
          <w:rPr>
            <w:color w:val="176B80"/>
            <w:u w:val="single"/>
            <w:sz w:val="18"/>
          </w:rPr>
          <w:t>R012</w:t>
        </w:r>
      </w:hyperlink>
      <w:r>
        <w:rPr>
          <w:sz w:val="18"/>
        </w:rPr>
        <w:t xml:space="preserve">; </w:t>
      </w:r>
      <w:hyperlink r:id="rId69">
        <w:r>
          <w:rPr>
            <w:color w:val="176B80"/>
            <w:u w:val="single"/>
            <w:sz w:val="18"/>
          </w:rPr>
          <w:t>R013</w:t>
        </w:r>
      </w:hyperlink>
      <w:r>
        <w:rPr>
          <w:sz w:val="18"/>
        </w:rPr>
        <w:t xml:space="preserve">; </w:t>
      </w:r>
      <w:hyperlink r:id="rId45">
        <w:r>
          <w:rPr>
            <w:color w:val="176B80"/>
            <w:u w:val="single"/>
            <w:sz w:val="18"/>
          </w:rPr>
          <w:t>R075</w:t>
        </w:r>
      </w:hyperlink>
      <w:r>
        <w:rPr>
          <w:sz w:val="18"/>
        </w:rPr>
        <w:t>]</w:t>
      </w:r>
    </w:p>
    <w:p>
      <w:r>
        <w:t>Vedārthasaṃgraha. GRETIL удобен как поисковый санскритский текст и открыто лицензированная транскрипция, но не как безусловно критическое издание. Для научной редакции и английского перевода сохранён библиотечный вход к J. A. B. van Buitenen, 1956: открылась каталожная запись Deccan College, не книга. Русский перевод включён в сборник Псху 2021 года, подтверждённый издателем. Копия Academia с неустановленными полномочиями загрузчика оставлена в G034.</w:t>
      </w:r>
      <w:r>
        <w:rPr>
          <w:sz w:val="18"/>
        </w:rPr>
        <w:t xml:space="preserve">  [</w:t>
      </w:r>
      <w:hyperlink r:id="rId12">
        <w:r>
          <w:rPr>
            <w:color w:val="176B80"/>
            <w:u w:val="single"/>
            <w:sz w:val="18"/>
          </w:rPr>
          <w:t>R002</w:t>
        </w:r>
      </w:hyperlink>
      <w:r>
        <w:rPr>
          <w:sz w:val="18"/>
        </w:rPr>
        <w:t xml:space="preserve">; </w:t>
      </w:r>
      <w:hyperlink r:id="rId70">
        <w:r>
          <w:rPr>
            <w:color w:val="176B80"/>
            <w:u w:val="single"/>
            <w:sz w:val="18"/>
          </w:rPr>
          <w:t>R097</w:t>
        </w:r>
      </w:hyperlink>
      <w:r>
        <w:rPr>
          <w:sz w:val="18"/>
        </w:rPr>
        <w:t xml:space="preserve">; </w:t>
      </w:r>
      <w:hyperlink r:id="rId67">
        <w:r>
          <w:rPr>
            <w:color w:val="176B80"/>
            <w:u w:val="single"/>
            <w:sz w:val="18"/>
          </w:rPr>
          <w:t>R099</w:t>
        </w:r>
      </w:hyperlink>
      <w:r>
        <w:rPr>
          <w:sz w:val="18"/>
        </w:rPr>
        <w:t>]</w:t>
      </w:r>
    </w:p>
    <w:p>
      <w:r>
        <w:t>Bhagavadgītābhāṣya. Санскрит и машинный поиск — GRETIL, 18 глав. Бесплатный английский PDF Srirama Ramanuja Achari прямо сокращён: его нельзя выдавать за полный bhāṣya. Для полного современного книжного чтения сохранены официальный печатный Sri Ramanuja Gita Bhashya Свами Адидевананды и электронная версия Sri Ramakrishna Math в Google Play. Русская «Гитабхашья» Семенцова, издание 2021 года, библиографически подтверждена ИНИОН, но полнотекстовый доступ через НЭБ в этом запуске не сработал.</w:t>
      </w:r>
      <w:r>
        <w:rPr>
          <w:sz w:val="18"/>
        </w:rPr>
        <w:t xml:space="preserve">  [</w:t>
      </w:r>
      <w:hyperlink r:id="rId11">
        <w:r>
          <w:rPr>
            <w:color w:val="176B80"/>
            <w:u w:val="single"/>
            <w:sz w:val="18"/>
          </w:rPr>
          <w:t>R001</w:t>
        </w:r>
      </w:hyperlink>
      <w:r>
        <w:rPr>
          <w:sz w:val="18"/>
        </w:rPr>
        <w:t xml:space="preserve">; </w:t>
      </w:r>
      <w:hyperlink r:id="rId71">
        <w:r>
          <w:rPr>
            <w:color w:val="176B80"/>
            <w:u w:val="single"/>
            <w:sz w:val="18"/>
          </w:rPr>
          <w:t>R043</w:t>
        </w:r>
      </w:hyperlink>
      <w:r>
        <w:rPr>
          <w:sz w:val="18"/>
        </w:rPr>
        <w:t xml:space="preserve">; </w:t>
      </w:r>
      <w:hyperlink r:id="rId72">
        <w:r>
          <w:rPr>
            <w:color w:val="176B80"/>
            <w:u w:val="single"/>
            <w:sz w:val="18"/>
          </w:rPr>
          <w:t>R084</w:t>
        </w:r>
      </w:hyperlink>
      <w:r>
        <w:rPr>
          <w:sz w:val="18"/>
        </w:rPr>
        <w:t xml:space="preserve">; </w:t>
      </w:r>
      <w:hyperlink r:id="rId73">
        <w:r>
          <w:rPr>
            <w:color w:val="176B80"/>
            <w:u w:val="single"/>
            <w:sz w:val="18"/>
          </w:rPr>
          <w:t>R085</w:t>
        </w:r>
      </w:hyperlink>
      <w:r>
        <w:rPr>
          <w:sz w:val="18"/>
        </w:rPr>
        <w:t xml:space="preserve">; </w:t>
      </w:r>
      <w:hyperlink r:id="rId74">
        <w:r>
          <w:rPr>
            <w:color w:val="176B80"/>
            <w:u w:val="single"/>
            <w:sz w:val="18"/>
          </w:rPr>
          <w:t>R100</w:t>
        </w:r>
      </w:hyperlink>
      <w:r>
        <w:rPr>
          <w:sz w:val="18"/>
        </w:rPr>
        <w:t>]</w:t>
      </w:r>
    </w:p>
    <w:p>
      <w:r>
        <w:t>Gadyatraya. Acharya.org предоставляет отдельный санскритский PDF трёх gadya; в самом файле стоит © 2009, All rights reserved. Он годится для чтения, но не является доказанно свободной основой зеркала или новой транскрипции. Названия «English», «Tamil», «Telugu» в каталоге могут обозначать письмо, а не перевод. Русский сборник содержит Śaraṇāgati-, Śrīraṅga- и только фрагмент Vaikuṇṭhagadya. Атрибуционная оговорка исходного DR сохранена.</w:t>
      </w:r>
      <w:r>
        <w:rPr>
          <w:sz w:val="18"/>
        </w:rPr>
        <w:t xml:space="preserve">  [</w:t>
      </w:r>
      <w:hyperlink r:id="rId16">
        <w:r>
          <w:rPr>
            <w:color w:val="176B80"/>
            <w:u w:val="single"/>
            <w:sz w:val="18"/>
          </w:rPr>
          <w:t>R083</w:t>
        </w:r>
      </w:hyperlink>
      <w:r>
        <w:rPr>
          <w:sz w:val="18"/>
        </w:rPr>
        <w:t xml:space="preserve">; </w:t>
      </w:r>
      <w:hyperlink r:id="rId67">
        <w:r>
          <w:rPr>
            <w:color w:val="176B80"/>
            <w:u w:val="single"/>
            <w:sz w:val="18"/>
          </w:rPr>
          <w:t>R099</w:t>
        </w:r>
      </w:hyperlink>
      <w:r>
        <w:rPr>
          <w:sz w:val="18"/>
        </w:rPr>
        <w:t>]</w:t>
      </w:r>
    </w:p>
    <w:p>
      <w:pPr>
        <w:pStyle w:val="Heading2"/>
      </w:pPr>
      <w:r>
        <w:t>3.2. Ямуна: оригиналы и русские переводы</w:t>
      </w:r>
    </w:p>
    <w:p>
      <w:r>
        <w:t>Для оригинальных Siddhi, Gītārthasaṃgraha, Catuḥślokī и Stotraratna наиболее удобен GRETIL. Однако Ātmasiddhi содержит слой Siddhāñjana, а Saṃvitsiddhi опирается на современную редакцию Mesquita: их компоненты нельзя автоматически очистить одной шапкой CC. Īśvarasiddhi сохранена как фрагмент. Для Āgamaprāmāṇya найдено научное издание M. Narasimhachary, Baroda 1976, в WorldCat; это библиографический и библиотечный ориентир, не бесплатная электронная книга.</w:t>
      </w:r>
      <w:r>
        <w:rPr>
          <w:sz w:val="18"/>
        </w:rPr>
        <w:t xml:space="preserve">  [</w:t>
      </w:r>
      <w:hyperlink r:id="rId46">
        <w:r>
          <w:rPr>
            <w:color w:val="176B80"/>
            <w:u w:val="single"/>
            <w:sz w:val="18"/>
          </w:rPr>
          <w:t>R006</w:t>
        </w:r>
      </w:hyperlink>
      <w:r>
        <w:rPr>
          <w:sz w:val="18"/>
        </w:rPr>
        <w:t xml:space="preserve">; </w:t>
      </w:r>
      <w:hyperlink r:id="rId47">
        <w:r>
          <w:rPr>
            <w:color w:val="176B80"/>
            <w:u w:val="single"/>
            <w:sz w:val="18"/>
          </w:rPr>
          <w:t>R007</w:t>
        </w:r>
      </w:hyperlink>
      <w:r>
        <w:rPr>
          <w:sz w:val="18"/>
        </w:rPr>
        <w:t xml:space="preserve">; </w:t>
      </w:r>
      <w:hyperlink r:id="rId48">
        <w:r>
          <w:rPr>
            <w:color w:val="176B80"/>
            <w:u w:val="single"/>
            <w:sz w:val="18"/>
          </w:rPr>
          <w:t>R008</w:t>
        </w:r>
      </w:hyperlink>
      <w:r>
        <w:rPr>
          <w:sz w:val="18"/>
        </w:rPr>
        <w:t xml:space="preserve">; </w:t>
      </w:r>
      <w:hyperlink r:id="rId49">
        <w:r>
          <w:rPr>
            <w:color w:val="176B80"/>
            <w:u w:val="single"/>
            <w:sz w:val="18"/>
          </w:rPr>
          <w:t>R009</w:t>
        </w:r>
      </w:hyperlink>
      <w:r>
        <w:rPr>
          <w:sz w:val="18"/>
        </w:rPr>
        <w:t xml:space="preserve">; </w:t>
      </w:r>
      <w:hyperlink r:id="rId50">
        <w:r>
          <w:rPr>
            <w:color w:val="176B80"/>
            <w:u w:val="single"/>
            <w:sz w:val="18"/>
          </w:rPr>
          <w:t>R010</w:t>
        </w:r>
      </w:hyperlink>
      <w:r>
        <w:rPr>
          <w:sz w:val="18"/>
        </w:rPr>
        <w:t xml:space="preserve">; </w:t>
      </w:r>
      <w:hyperlink r:id="rId51">
        <w:r>
          <w:rPr>
            <w:color w:val="176B80"/>
            <w:u w:val="single"/>
            <w:sz w:val="18"/>
          </w:rPr>
          <w:t>R011</w:t>
        </w:r>
      </w:hyperlink>
      <w:r>
        <w:rPr>
          <w:sz w:val="18"/>
        </w:rPr>
        <w:t xml:space="preserve">; </w:t>
      </w:r>
      <w:hyperlink r:id="rId14">
        <w:r>
          <w:rPr>
            <w:color w:val="176B80"/>
            <w:u w:val="single"/>
            <w:sz w:val="18"/>
          </w:rPr>
          <w:t>R076</w:t>
        </w:r>
      </w:hyperlink>
      <w:r>
        <w:rPr>
          <w:sz w:val="18"/>
        </w:rPr>
        <w:t>]</w:t>
      </w:r>
    </w:p>
    <w:p>
      <w:r>
        <w:t>Самый ясный открытый русский вход — статья Псху 2012 года в РУДН, CC BY-NC 4.0. Девятистраничный PDF включает введение исследователя и перевод небольшого вступления к Ātmasiddhi, а не всего трактата. Для более широкого чтения по-русски полезнее сборник «Садры» 2021 года: его содержание подтверждено издателем, но перевод и комментарии защищены. Ни лицензию РУДН, ни доступность одной статьи нельзя переносить на книгу.</w:t>
      </w:r>
      <w:r>
        <w:rPr>
          <w:sz w:val="18"/>
        </w:rPr>
        <w:t xml:space="preserve">  [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 xml:space="preserve">; </w:t>
      </w:r>
      <w:hyperlink r:id="rId67">
        <w:r>
          <w:rPr>
            <w:color w:val="176B80"/>
            <w:u w:val="single"/>
            <w:sz w:val="18"/>
          </w:rPr>
          <w:t>R099</w:t>
        </w:r>
      </w:hyperlink>
      <w:r>
        <w:rPr>
          <w:sz w:val="18"/>
        </w:rPr>
        <w:t>]</w:t>
      </w:r>
    </w:p>
    <w:p>
      <w:pPr>
        <w:pStyle w:val="Heading2"/>
      </w:pPr>
      <w:r>
        <w:t>3.3. Мадхва и Джая­тиртха</w:t>
      </w:r>
    </w:p>
    <w:p>
      <w:r>
        <w:t>Anuvyākhyāna и Mahābhāratatātparyanirṇaya: GRETIL — основной проверенный машинный вход; официальный DvaitaVedanta полезен как дополнительная санскритская ветвь и средство сопоставления. Для Nyāyasudhā GRETIL особенно важен, но существенно неполон: отсутствует комментарий к Anuvyākhyāna 1.1.27–98, указанный самим проектом через страницы издания Pandurangi. Наличие четырёх adhyāya не отменяет лакуны. До её восполнения нельзя обещать полный поиск по произведению.</w:t>
      </w:r>
      <w:r>
        <w:rPr>
          <w:sz w:val="18"/>
        </w:rPr>
        <w:t xml:space="preserve">  [</w:t>
      </w:r>
      <w:hyperlink r:id="rId23">
        <w:r>
          <w:rPr>
            <w:color w:val="176B80"/>
            <w:u w:val="single"/>
            <w:sz w:val="18"/>
          </w:rPr>
          <w:t>R003</w:t>
        </w:r>
      </w:hyperlink>
      <w:r>
        <w:rPr>
          <w:sz w:val="18"/>
        </w:rPr>
        <w:t xml:space="preserve">; </w:t>
      </w:r>
      <w:hyperlink r:id="rId24">
        <w:r>
          <w:rPr>
            <w:color w:val="176B80"/>
            <w:u w:val="single"/>
            <w:sz w:val="18"/>
          </w:rPr>
          <w:t>R004</w:t>
        </w:r>
      </w:hyperlink>
      <w:r>
        <w:rPr>
          <w:sz w:val="18"/>
        </w:rPr>
        <w:t xml:space="preserve">; </w:t>
      </w:r>
      <w:hyperlink r:id="rId25">
        <w:r>
          <w:rPr>
            <w:color w:val="176B80"/>
            <w:u w:val="single"/>
            <w:sz w:val="18"/>
          </w:rPr>
          <w:t>R005</w:t>
        </w:r>
      </w:hyperlink>
      <w:r>
        <w:rPr>
          <w:sz w:val="18"/>
        </w:rPr>
        <w:t xml:space="preserve">; </w:t>
      </w:r>
      <w:hyperlink r:id="rId26">
        <w:r>
          <w:rPr>
            <w:color w:val="176B80"/>
            <w:u w:val="single"/>
            <w:sz w:val="18"/>
          </w:rPr>
          <w:t>R015</w:t>
        </w:r>
      </w:hyperlink>
      <w:r>
        <w:rPr>
          <w:sz w:val="18"/>
        </w:rPr>
        <w:t xml:space="preserve">; </w:t>
      </w:r>
      <w:hyperlink r:id="rId27">
        <w:r>
          <w:rPr>
            <w:color w:val="176B80"/>
            <w:u w:val="single"/>
            <w:sz w:val="18"/>
          </w:rPr>
          <w:t>R019</w:t>
        </w:r>
      </w:hyperlink>
      <w:r>
        <w:rPr>
          <w:sz w:val="18"/>
        </w:rPr>
        <w:t>]</w:t>
      </w:r>
    </w:p>
    <w:p>
      <w:r>
        <w:t>Для остальных санскритских членов Sarvamūla предпочтителен DvaitaVedanta: в реестре сохранены конкретные страницы, а не только портал. Это удобный законный free-read слой, но официальный сайт сохраняет авторские права. Проверенные небольшие трактаты выделены как полные объекты; крупные bhāṣya, открытые лишь в отдельных ветвях, имеют selected_sections. За полноту всего Prasthānatrayī эти строки не отвечают.</w:t>
      </w:r>
      <w:r>
        <w:rPr>
          <w:sz w:val="18"/>
        </w:rPr>
        <w:t xml:space="preserve">  [</w:t>
      </w:r>
      <w:hyperlink r:id="rId28">
        <w:r>
          <w:rPr>
            <w:color w:val="176B80"/>
            <w:u w:val="single"/>
            <w:sz w:val="18"/>
          </w:rPr>
          <w:t>R014</w:t>
        </w:r>
      </w:hyperlink>
      <w:r>
        <w:rPr>
          <w:sz w:val="18"/>
        </w:rPr>
        <w:t xml:space="preserve">; </w:t>
      </w:r>
      <w:hyperlink r:id="rId75">
        <w:r>
          <w:rPr>
            <w:color w:val="176B80"/>
            <w:u w:val="single"/>
            <w:sz w:val="18"/>
          </w:rPr>
          <w:t>R016</w:t>
        </w:r>
      </w:hyperlink>
      <w:r>
        <w:rPr>
          <w:sz w:val="18"/>
        </w:rPr>
        <w:t xml:space="preserve">; </w:t>
      </w:r>
      <w:hyperlink r:id="rId76">
        <w:r>
          <w:rPr>
            <w:color w:val="176B80"/>
            <w:u w:val="single"/>
            <w:sz w:val="18"/>
          </w:rPr>
          <w:t>R017</w:t>
        </w:r>
      </w:hyperlink>
      <w:r>
        <w:rPr>
          <w:sz w:val="18"/>
        </w:rPr>
        <w:t xml:space="preserve">; </w:t>
      </w:r>
      <w:hyperlink r:id="rId29">
        <w:r>
          <w:rPr>
            <w:color w:val="176B80"/>
            <w:u w:val="single"/>
            <w:sz w:val="18"/>
          </w:rPr>
          <w:t>R018</w:t>
        </w:r>
      </w:hyperlink>
      <w:r>
        <w:rPr>
          <w:sz w:val="18"/>
        </w:rPr>
        <w:t xml:space="preserve">; </w:t>
      </w:r>
      <w:hyperlink r:id="rId30">
        <w:r>
          <w:rPr>
            <w:color w:val="176B80"/>
            <w:u w:val="single"/>
            <w:sz w:val="18"/>
          </w:rPr>
          <w:t>R020</w:t>
        </w:r>
      </w:hyperlink>
      <w:r>
        <w:rPr>
          <w:sz w:val="18"/>
        </w:rPr>
        <w:t xml:space="preserve">; </w:t>
      </w:r>
      <w:hyperlink r:id="rId77">
        <w:r>
          <w:rPr>
            <w:color w:val="176B80"/>
            <w:u w:val="single"/>
            <w:sz w:val="18"/>
          </w:rPr>
          <w:t>R024</w:t>
        </w:r>
      </w:hyperlink>
      <w:r>
        <w:rPr>
          <w:sz w:val="18"/>
        </w:rPr>
        <w:t xml:space="preserve">; </w:t>
      </w:r>
      <w:hyperlink r:id="rId31">
        <w:r>
          <w:rPr>
            <w:color w:val="176B80"/>
            <w:u w:val="single"/>
            <w:sz w:val="18"/>
          </w:rPr>
          <w:t>R030</w:t>
        </w:r>
      </w:hyperlink>
      <w:r>
        <w:rPr>
          <w:sz w:val="18"/>
        </w:rPr>
        <w:t xml:space="preserve">; </w:t>
      </w:r>
      <w:hyperlink r:id="rId32">
        <w:r>
          <w:rPr>
            <w:color w:val="176B80"/>
            <w:u w:val="single"/>
            <w:sz w:val="18"/>
          </w:rPr>
          <w:t>R034</w:t>
        </w:r>
      </w:hyperlink>
      <w:r>
        <w:rPr>
          <w:sz w:val="18"/>
        </w:rPr>
        <w:t xml:space="preserve">; </w:t>
      </w:r>
      <w:hyperlink r:id="rId78">
        <w:r>
          <w:rPr>
            <w:color w:val="176B80"/>
            <w:u w:val="single"/>
            <w:sz w:val="18"/>
          </w:rPr>
          <w:t>R035</w:t>
        </w:r>
      </w:hyperlink>
      <w:r>
        <w:rPr>
          <w:sz w:val="18"/>
        </w:rPr>
        <w:t>]</w:t>
      </w:r>
    </w:p>
    <w:p>
      <w:r>
        <w:t>Pramāṇapaddhati и Vādāvalī Джая­тиртхи, поздние сочинения Вьясатиртхи и Yuktimallikā Вадираджи также имеют конкретные официальные входы. Это расширяет ядро в сторону эпистемологии, полемики и поздней комментарийной работы. Но право свободно распространять современную цифровую транскрипцию не следует из средневекового авторства: для ToS эти ветви остаются прежде всего внешними ссылками.</w:t>
      </w:r>
      <w:r>
        <w:rPr>
          <w:sz w:val="18"/>
        </w:rPr>
        <w:t xml:space="preserve">  [</w:t>
      </w:r>
      <w:hyperlink r:id="rId79">
        <w:r>
          <w:rPr>
            <w:color w:val="176B80"/>
            <w:u w:val="single"/>
            <w:sz w:val="18"/>
          </w:rPr>
          <w:t>R022</w:t>
        </w:r>
      </w:hyperlink>
      <w:r>
        <w:rPr>
          <w:sz w:val="18"/>
        </w:rPr>
        <w:t xml:space="preserve">; </w:t>
      </w:r>
      <w:hyperlink r:id="rId80">
        <w:r>
          <w:rPr>
            <w:color w:val="176B80"/>
            <w:u w:val="single"/>
            <w:sz w:val="18"/>
          </w:rPr>
          <w:t>R023</w:t>
        </w:r>
      </w:hyperlink>
      <w:r>
        <w:rPr>
          <w:sz w:val="18"/>
        </w:rPr>
        <w:t xml:space="preserve">; </w:t>
      </w:r>
      <w:hyperlink r:id="rId61">
        <w:r>
          <w:rPr>
            <w:color w:val="176B80"/>
            <w:u w:val="single"/>
            <w:sz w:val="18"/>
          </w:rPr>
          <w:t>R036</w:t>
        </w:r>
      </w:hyperlink>
      <w:r>
        <w:rPr>
          <w:sz w:val="18"/>
        </w:rPr>
        <w:t xml:space="preserve">; </w:t>
      </w:r>
      <w:hyperlink r:id="rId62">
        <w:r>
          <w:rPr>
            <w:color w:val="176B80"/>
            <w:u w:val="single"/>
            <w:sz w:val="18"/>
          </w:rPr>
          <w:t>R037</w:t>
        </w:r>
      </w:hyperlink>
      <w:r>
        <w:rPr>
          <w:sz w:val="18"/>
        </w:rPr>
        <w:t xml:space="preserve">; </w:t>
      </w:r>
      <w:hyperlink r:id="rId63">
        <w:r>
          <w:rPr>
            <w:color w:val="176B80"/>
            <w:u w:val="single"/>
            <w:sz w:val="18"/>
          </w:rPr>
          <w:t>R038</w:t>
        </w:r>
      </w:hyperlink>
      <w:r>
        <w:rPr>
          <w:sz w:val="18"/>
        </w:rPr>
        <w:t xml:space="preserve">; </w:t>
      </w:r>
      <w:hyperlink r:id="rId65">
        <w:r>
          <w:rPr>
            <w:color w:val="176B80"/>
            <w:u w:val="single"/>
            <w:sz w:val="18"/>
          </w:rPr>
          <w:t>R040</w:t>
        </w:r>
      </w:hyperlink>
      <w:r>
        <w:rPr>
          <w:sz w:val="18"/>
        </w:rPr>
        <w:t>]</w:t>
      </w:r>
    </w:p>
    <w:p>
      <w:r>
        <w:t>Madhva.in даёт полезные английские версии ряда трактатов, но автор прямо сообщает о помощи ChatGPT. Такие версии обозначены как AI-assisted и не названы критическими переводами. Они пригодны для предварительного сопоставления с санскритом, не для замены научного издания. Авторские страницы Nagesh Sonde сохраняют иной переводческий маршрут к Gītā- и Upaniṣad-bhāṣya, однако проверенный объём здесь — preview, а не автоматически вся книга.</w:t>
      </w:r>
      <w:r>
        <w:rPr>
          <w:sz w:val="18"/>
        </w:rPr>
        <w:t xml:space="preserve">  [</w:t>
      </w:r>
      <w:hyperlink r:id="rId81">
        <w:r>
          <w:rPr>
            <w:color w:val="176B80"/>
            <w:u w:val="single"/>
            <w:sz w:val="18"/>
          </w:rPr>
          <w:t>R046</w:t>
        </w:r>
      </w:hyperlink>
      <w:r>
        <w:rPr>
          <w:sz w:val="18"/>
        </w:rPr>
        <w:t xml:space="preserve">; </w:t>
      </w:r>
      <w:hyperlink r:id="rId82">
        <w:r>
          <w:rPr>
            <w:color w:val="176B80"/>
            <w:u w:val="single"/>
            <w:sz w:val="18"/>
          </w:rPr>
          <w:t>R047</w:t>
        </w:r>
      </w:hyperlink>
      <w:r>
        <w:rPr>
          <w:sz w:val="18"/>
        </w:rPr>
        <w:t xml:space="preserve">; </w:t>
      </w:r>
      <w:hyperlink r:id="rId83">
        <w:r>
          <w:rPr>
            <w:color w:val="176B80"/>
            <w:u w:val="single"/>
            <w:sz w:val="18"/>
          </w:rPr>
          <w:t>R049</w:t>
        </w:r>
      </w:hyperlink>
      <w:r>
        <w:rPr>
          <w:sz w:val="18"/>
        </w:rPr>
        <w:t xml:space="preserve">; </w:t>
      </w:r>
      <w:hyperlink r:id="rId84">
        <w:r>
          <w:rPr>
            <w:color w:val="176B80"/>
            <w:u w:val="single"/>
            <w:sz w:val="18"/>
          </w:rPr>
          <w:t>R054</w:t>
        </w:r>
      </w:hyperlink>
      <w:r>
        <w:rPr>
          <w:sz w:val="18"/>
        </w:rPr>
        <w:t xml:space="preserve">; </w:t>
      </w:r>
      <w:hyperlink r:id="rId85">
        <w:r>
          <w:rPr>
            <w:color w:val="176B80"/>
            <w:u w:val="single"/>
            <w:sz w:val="18"/>
          </w:rPr>
          <w:t>R090</w:t>
        </w:r>
      </w:hyperlink>
      <w:r>
        <w:rPr>
          <w:sz w:val="18"/>
        </w:rPr>
        <w:t xml:space="preserve">; </w:t>
      </w:r>
      <w:hyperlink r:id="rId86">
        <w:r>
          <w:rPr>
            <w:color w:val="176B80"/>
            <w:u w:val="single"/>
            <w:sz w:val="18"/>
          </w:rPr>
          <w:t>R091</w:t>
        </w:r>
      </w:hyperlink>
      <w:r>
        <w:rPr>
          <w:sz w:val="18"/>
        </w:rPr>
        <w:t>]</w:t>
      </w:r>
    </w:p>
    <w:p>
      <w:r>
        <w:t>У Kṛṣṇāmṛtamahārṇava найден и независимый санскритский legacy-e-text: 229 строф и колофон, с точной основой издания Govindācārya 1974 года. Его условия — reference purposes only, а не CC соседних TEI-страниц. Palimaru Sarvamūla полезен для истории рукописной передачи, но сайт с презентацией конкретной рукописи не выдан за свободную полную выгрузку всего корпуса.</w:t>
      </w:r>
      <w:r>
        <w:rPr>
          <w:sz w:val="18"/>
        </w:rPr>
        <w:t xml:space="preserve">  [</w:t>
      </w:r>
      <w:hyperlink r:id="rId41">
        <w:r>
          <w:rPr>
            <w:color w:val="176B80"/>
            <w:u w:val="single"/>
            <w:sz w:val="18"/>
          </w:rPr>
          <w:t>R056</w:t>
        </w:r>
      </w:hyperlink>
      <w:r>
        <w:rPr>
          <w:sz w:val="18"/>
        </w:rPr>
        <w:t xml:space="preserve">; </w:t>
      </w:r>
      <w:hyperlink r:id="rId34">
        <w:r>
          <w:rPr>
            <w:color w:val="176B80"/>
            <w:u w:val="single"/>
            <w:sz w:val="18"/>
          </w:rPr>
          <w:t>R102</w:t>
        </w:r>
      </w:hyperlink>
      <w:r>
        <w:rPr>
          <w:sz w:val="18"/>
        </w:rPr>
        <w:t>]</w:t>
      </w:r>
    </w:p>
    <w:p>
      <w:pPr>
        <w:pStyle w:val="Heading2"/>
      </w:pPr>
      <w:r>
        <w:t>3.4. Дешика и тамильско-маниправальская линия</w:t>
      </w:r>
    </w:p>
    <w:p>
      <w:r>
        <w:t>Nyāyapariśuddhi: TextGrid/GRETIL даёт текст и предлагаемые экспорты, но не раздел 2; Bhūmikā и неидентифицированная печатная основа требуют отделения. Рукопись EAP1294/1/6 в Grantha — дополнительный неполный свидетель, не идентичный Nyāyasiddhāñjana. Для последнего найдено издание Academy of Sanskrit Research, Melkote 2022, с санскритом и английской версией; карточка продавца и издательское предисловие полезны, хотя переводчик и полнота тома требуют дальнейшей сверки.</w:t>
      </w:r>
      <w:r>
        <w:rPr>
          <w:sz w:val="18"/>
        </w:rPr>
        <w:t xml:space="preserve">  [</w:t>
      </w:r>
      <w:hyperlink r:id="rId17">
        <w:r>
          <w:rPr>
            <w:color w:val="176B80"/>
            <w:u w:val="single"/>
            <w:sz w:val="18"/>
          </w:rPr>
          <w:t>R057</w:t>
        </w:r>
      </w:hyperlink>
      <w:r>
        <w:rPr>
          <w:sz w:val="18"/>
        </w:rPr>
        <w:t xml:space="preserve">; </w:t>
      </w:r>
      <w:hyperlink r:id="rId42">
        <w:r>
          <w:rPr>
            <w:color w:val="176B80"/>
            <w:u w:val="single"/>
            <w:sz w:val="18"/>
          </w:rPr>
          <w:t>R058</w:t>
        </w:r>
      </w:hyperlink>
      <w:r>
        <w:rPr>
          <w:sz w:val="18"/>
        </w:rPr>
        <w:t xml:space="preserve">; </w:t>
      </w:r>
      <w:hyperlink r:id="rId19">
        <w:r>
          <w:rPr>
            <w:color w:val="176B80"/>
            <w:u w:val="single"/>
            <w:sz w:val="18"/>
          </w:rPr>
          <w:t>R070</w:t>
        </w:r>
      </w:hyperlink>
      <w:r>
        <w:rPr>
          <w:sz w:val="18"/>
        </w:rPr>
        <w:t>]</w:t>
      </w:r>
    </w:p>
    <w:p>
      <w:r>
        <w:t>Tattvamuktākalāpa и Sarvārthasiddhi представлены старым институциональным сканом и многослойным печатным комплектом HathiTrust; Tattvaṭīkā — отдельным сканом TTD. Ни один путь не объявлен постранично выверенным критическим текстом. Для Pāñcarātrarakṣā сохранена официальная покупка санскритско-хиндийского издания Chaukhambha 2013 года. Rakṣā-granthas 1969 года полезен как каталог составного тома, включающего также Nityagrantha Рамануджи.</w:t>
      </w:r>
      <w:r>
        <w:rPr>
          <w:sz w:val="18"/>
        </w:rPr>
        <w:t xml:space="preserve">  [</w:t>
      </w:r>
      <w:hyperlink r:id="rId18">
        <w:r>
          <w:rPr>
            <w:color w:val="176B80"/>
            <w:u w:val="single"/>
            <w:sz w:val="18"/>
          </w:rPr>
          <w:t>R059</w:t>
        </w:r>
      </w:hyperlink>
      <w:r>
        <w:rPr>
          <w:sz w:val="18"/>
        </w:rPr>
        <w:t xml:space="preserve">; </w:t>
      </w:r>
      <w:hyperlink r:id="rId87">
        <w:r>
          <w:rPr>
            <w:color w:val="176B80"/>
            <w:u w:val="single"/>
            <w:sz w:val="18"/>
          </w:rPr>
          <w:t>R060</w:t>
        </w:r>
      </w:hyperlink>
      <w:r>
        <w:rPr>
          <w:sz w:val="18"/>
        </w:rPr>
        <w:t xml:space="preserve">; </w:t>
      </w:r>
      <w:hyperlink r:id="rId43">
        <w:r>
          <w:rPr>
            <w:color w:val="176B80"/>
            <w:u w:val="single"/>
            <w:sz w:val="18"/>
          </w:rPr>
          <w:t>R071</w:t>
        </w:r>
      </w:hyperlink>
      <w:r>
        <w:rPr>
          <w:sz w:val="18"/>
        </w:rPr>
        <w:t xml:space="preserve">; </w:t>
      </w:r>
      <w:hyperlink r:id="rId44">
        <w:r>
          <w:rPr>
            <w:color w:val="176B80"/>
            <w:u w:val="single"/>
            <w:sz w:val="18"/>
          </w:rPr>
          <w:t>R072</w:t>
        </w:r>
      </w:hyperlink>
      <w:r>
        <w:rPr>
          <w:sz w:val="18"/>
        </w:rPr>
        <w:t xml:space="preserve">; </w:t>
      </w:r>
      <w:hyperlink r:id="rId20">
        <w:r>
          <w:rPr>
            <w:color w:val="176B80"/>
            <w:u w:val="single"/>
            <w:sz w:val="18"/>
          </w:rPr>
          <w:t>R073</w:t>
        </w:r>
      </w:hyperlink>
      <w:r>
        <w:rPr>
          <w:sz w:val="18"/>
        </w:rPr>
        <w:t>]</w:t>
      </w:r>
    </w:p>
    <w:p>
      <w:r>
        <w:t>Śatadūṣaṇī лучше всего представлена в проверенном наборе через RAS Whish 83 — материальный свидетель с 66 разделами и повреждениями. Rahasyatrayasāra — через конкретный двухтомник Sri Nrisimha Priya Trust 2013 года; свободный полный машиночитаемый оригинал не подтверждён. Это не основание исключать тексты: рукописный, каталожный и платный входы сохранены.</w:t>
      </w:r>
      <w:r>
        <w:rPr>
          <w:sz w:val="18"/>
        </w:rPr>
        <w:t xml:space="preserve">  [</w:t>
      </w:r>
      <w:hyperlink r:id="rId21">
        <w:r>
          <w:rPr>
            <w:color w:val="176B80"/>
            <w:u w:val="single"/>
            <w:sz w:val="18"/>
          </w:rPr>
          <w:t>R074</w:t>
        </w:r>
      </w:hyperlink>
      <w:r>
        <w:rPr>
          <w:sz w:val="18"/>
        </w:rPr>
        <w:t xml:space="preserve">; </w:t>
      </w:r>
      <w:hyperlink r:id="rId22">
        <w:r>
          <w:rPr>
            <w:color w:val="176B80"/>
            <w:u w:val="single"/>
            <w:sz w:val="18"/>
          </w:rPr>
          <w:t>R086</w:t>
        </w:r>
      </w:hyperlink>
      <w:r>
        <w:rPr>
          <w:sz w:val="18"/>
        </w:rPr>
        <w:t>]</w:t>
      </w:r>
    </w:p>
    <w:p>
      <w:r>
        <w:t>Tiruvāymoḻi: Project Madurai даёт оригинальный тамильский текст в двух частях; это предпочтительный бесплатный текстовый вход. KOYIL предлагает английское изложение со словарным разбором и традиционными толкованиями, но не полные параллельные тексты всех исторических комментариев. The Tamil Veda Кармана и Нараянан — научный путь к выбранным частям Piḷḷān, не полная «Six Thousand».</w:t>
      </w:r>
      <w:r>
        <w:rPr>
          <w:sz w:val="18"/>
        </w:rPr>
        <w:t xml:space="preserve">  [</w:t>
      </w:r>
      <w:hyperlink r:id="rId53">
        <w:r>
          <w:rPr>
            <w:color w:val="176B80"/>
            <w:u w:val="single"/>
            <w:sz w:val="18"/>
          </w:rPr>
          <w:t>R061</w:t>
        </w:r>
      </w:hyperlink>
      <w:r>
        <w:rPr>
          <w:sz w:val="18"/>
        </w:rPr>
        <w:t xml:space="preserve">; </w:t>
      </w:r>
      <w:hyperlink r:id="rId15">
        <w:r>
          <w:rPr>
            <w:color w:val="176B80"/>
            <w:u w:val="single"/>
            <w:sz w:val="18"/>
          </w:rPr>
          <w:t>R081</w:t>
        </w:r>
      </w:hyperlink>
      <w:r>
        <w:rPr>
          <w:sz w:val="18"/>
        </w:rPr>
        <w:t xml:space="preserve">; </w:t>
      </w:r>
      <w:hyperlink r:id="rId88">
        <w:r>
          <w:rPr>
            <w:color w:val="176B80"/>
            <w:u w:val="single"/>
            <w:sz w:val="18"/>
          </w:rPr>
          <w:t>R082</w:t>
        </w:r>
      </w:hyperlink>
      <w:r>
        <w:rPr>
          <w:sz w:val="18"/>
        </w:rPr>
        <w:t>]</w:t>
      </w:r>
    </w:p>
    <w:p>
      <w:r>
        <w:t>Для более широкого Nālāyira сохранены Iyaṟpā и переводы George L. Hart: ранняя двуязычная часть, английские 1–947 и отдельный Iyaṟpā. Их объёмы пересекаются, поэтому они не посчитаны независимыми корпусами. В одном PDF номера обложки и внутреннего раздела расходятся: это отмечено, а не исправлено по догадке. Deśikaprabandham и Rāmānuja Nūṟṟantāti дают дополнительные тамильские оригиналы.</w:t>
      </w:r>
      <w:r>
        <w:rPr>
          <w:sz w:val="18"/>
        </w:rPr>
        <w:t xml:space="preserve">  [</w:t>
      </w:r>
      <w:hyperlink r:id="rId37">
        <w:r>
          <w:rPr>
            <w:color w:val="176B80"/>
            <w:u w:val="single"/>
            <w:sz w:val="18"/>
          </w:rPr>
          <w:t>R062</w:t>
        </w:r>
      </w:hyperlink>
      <w:r>
        <w:rPr>
          <w:sz w:val="18"/>
        </w:rPr>
        <w:t xml:space="preserve">; </w:t>
      </w:r>
      <w:hyperlink r:id="rId89">
        <w:r>
          <w:rPr>
            <w:color w:val="176B80"/>
            <w:u w:val="single"/>
            <w:sz w:val="18"/>
          </w:rPr>
          <w:t>R063</w:t>
        </w:r>
      </w:hyperlink>
      <w:r>
        <w:rPr>
          <w:sz w:val="18"/>
        </w:rPr>
        <w:t xml:space="preserve">; </w:t>
      </w:r>
      <w:hyperlink r:id="rId90">
        <w:r>
          <w:rPr>
            <w:color w:val="176B80"/>
            <w:u w:val="single"/>
            <w:sz w:val="18"/>
          </w:rPr>
          <w:t>R064</w:t>
        </w:r>
      </w:hyperlink>
      <w:r>
        <w:rPr>
          <w:sz w:val="18"/>
        </w:rPr>
        <w:t xml:space="preserve">; </w:t>
      </w:r>
      <w:hyperlink r:id="rId91">
        <w:r>
          <w:rPr>
            <w:color w:val="176B80"/>
            <w:u w:val="single"/>
            <w:sz w:val="18"/>
          </w:rPr>
          <w:t>R065</w:t>
        </w:r>
      </w:hyperlink>
      <w:r>
        <w:rPr>
          <w:sz w:val="18"/>
        </w:rPr>
        <w:t xml:space="preserve">; </w:t>
      </w:r>
      <w:hyperlink r:id="rId92">
        <w:r>
          <w:rPr>
            <w:color w:val="176B80"/>
            <w:u w:val="single"/>
            <w:sz w:val="18"/>
          </w:rPr>
          <w:t>R066</w:t>
        </w:r>
      </w:hyperlink>
      <w:r>
        <w:rPr>
          <w:sz w:val="18"/>
        </w:rPr>
        <w:t xml:space="preserve">; </w:t>
      </w:r>
      <w:hyperlink r:id="rId93">
        <w:r>
          <w:rPr>
            <w:color w:val="176B80"/>
            <w:u w:val="single"/>
            <w:sz w:val="18"/>
          </w:rPr>
          <w:t>R067</w:t>
        </w:r>
      </w:hyperlink>
      <w:r>
        <w:rPr>
          <w:sz w:val="18"/>
        </w:rPr>
        <w:t>]</w:t>
      </w:r>
    </w:p>
    <w:p>
      <w:r>
        <w:t>Śrīvacanabhūṣaṇa и Prapannapārijāta доступны как авторские английские PDF SriMatham. Tattvatraya, Ācāryahṛdaya и Mumukṣuppaṭi — как современные серии KOYIL с названными переводчиками и комментаторскими слоями. Их преимущество — реальный бесплатный доступ к содержанию; ограничение — авторские права и, у отдельных серий, незавершённость. Книжная Mumukṣuppaṭi — отдельная компоновка, а внешний eBook ещё не проверен.</w:t>
      </w:r>
      <w:r>
        <w:rPr>
          <w:sz w:val="18"/>
        </w:rPr>
        <w:t xml:space="preserve">  [</w:t>
      </w:r>
      <w:hyperlink r:id="rId35">
        <w:r>
          <w:rPr>
            <w:color w:val="176B80"/>
            <w:u w:val="single"/>
            <w:sz w:val="18"/>
          </w:rPr>
          <w:t>R044</w:t>
        </w:r>
      </w:hyperlink>
      <w:r>
        <w:rPr>
          <w:sz w:val="18"/>
        </w:rPr>
        <w:t xml:space="preserve">; </w:t>
      </w:r>
      <w:hyperlink r:id="rId36">
        <w:r>
          <w:rPr>
            <w:color w:val="176B80"/>
            <w:u w:val="single"/>
            <w:sz w:val="18"/>
          </w:rPr>
          <w:t>R045</w:t>
        </w:r>
      </w:hyperlink>
      <w:r>
        <w:rPr>
          <w:sz w:val="18"/>
        </w:rPr>
        <w:t xml:space="preserve">; </w:t>
      </w:r>
      <w:hyperlink r:id="rId38">
        <w:r>
          <w:rPr>
            <w:color w:val="176B80"/>
            <w:u w:val="single"/>
            <w:sz w:val="18"/>
          </w:rPr>
          <w:t>R068</w:t>
        </w:r>
      </w:hyperlink>
      <w:r>
        <w:rPr>
          <w:sz w:val="18"/>
        </w:rPr>
        <w:t xml:space="preserve">; </w:t>
      </w:r>
      <w:hyperlink r:id="rId39">
        <w:r>
          <w:rPr>
            <w:color w:val="176B80"/>
            <w:u w:val="single"/>
            <w:sz w:val="18"/>
          </w:rPr>
          <w:t>R069</w:t>
        </w:r>
      </w:hyperlink>
      <w:r>
        <w:rPr>
          <w:sz w:val="18"/>
        </w:rPr>
        <w:t xml:space="preserve">; </w:t>
      </w:r>
      <w:hyperlink r:id="rId40">
        <w:r>
          <w:rPr>
            <w:color w:val="176B80"/>
            <w:u w:val="single"/>
            <w:sz w:val="18"/>
          </w:rPr>
          <w:t>R087</w:t>
        </w:r>
      </w:hyperlink>
      <w:r>
        <w:rPr>
          <w:sz w:val="18"/>
        </w:rPr>
        <w:t xml:space="preserve">; </w:t>
      </w:r>
      <w:hyperlink r:id="rId66">
        <w:r>
          <w:rPr>
            <w:color w:val="176B80"/>
            <w:u w:val="single"/>
            <w:sz w:val="18"/>
          </w:rPr>
          <w:t>R088</w:t>
        </w:r>
      </w:hyperlink>
      <w:r>
        <w:rPr>
          <w:sz w:val="18"/>
        </w:rPr>
        <w:t>]</w:t>
      </w:r>
    </w:p>
    <w:p>
      <w:pPr>
        <w:pStyle w:val="Heading2"/>
      </w:pPr>
      <w:r>
        <w:t>3.5. Входящие корпуса и самые свободные варианты</w:t>
      </w:r>
    </w:p>
    <w:p>
      <w:r>
        <w:t>Brahmasūtra — открытая санскритская транскрипция GRETIL с оговорками о вычитке и источнике. Nārāyaṇīya и Bhāgavatapurāṇa удобны для поиска эпических и пуранических параллелей, но их редакторская история и ограничения данных сохранены. Viṣvaksenasaṃhitā даёт конкретный Pāñcarātra-текст; Lakṣmītantra — английский перевод Sanjukta Gupta в законном Google Books preview; Ahirbudhnyasaṃhitā — каталожный путь к двум томам 1916 года, пока без проверенного viewer.</w:t>
      </w:r>
      <w:r>
        <w:rPr>
          <w:sz w:val="18"/>
        </w:rPr>
        <w:t xml:space="preserve">  [</w:t>
      </w:r>
      <w:hyperlink r:id="rId54">
        <w:r>
          <w:rPr>
            <w:color w:val="176B80"/>
            <w:u w:val="single"/>
            <w:sz w:val="18"/>
          </w:rPr>
          <w:t>R077</w:t>
        </w:r>
      </w:hyperlink>
      <w:r>
        <w:rPr>
          <w:sz w:val="18"/>
        </w:rPr>
        <w:t xml:space="preserve">; </w:t>
      </w:r>
      <w:hyperlink r:id="rId55">
        <w:r>
          <w:rPr>
            <w:color w:val="176B80"/>
            <w:u w:val="single"/>
            <w:sz w:val="18"/>
          </w:rPr>
          <w:t>R078</w:t>
        </w:r>
      </w:hyperlink>
      <w:r>
        <w:rPr>
          <w:sz w:val="18"/>
        </w:rPr>
        <w:t xml:space="preserve">; </w:t>
      </w:r>
      <w:hyperlink r:id="rId56">
        <w:r>
          <w:rPr>
            <w:color w:val="176B80"/>
            <w:u w:val="single"/>
            <w:sz w:val="18"/>
          </w:rPr>
          <w:t>R079</w:t>
        </w:r>
      </w:hyperlink>
      <w:r>
        <w:rPr>
          <w:sz w:val="18"/>
        </w:rPr>
        <w:t xml:space="preserve">; </w:t>
      </w:r>
      <w:hyperlink r:id="rId58">
        <w:r>
          <w:rPr>
            <w:color w:val="176B80"/>
            <w:u w:val="single"/>
            <w:sz w:val="18"/>
          </w:rPr>
          <w:t>R089</w:t>
        </w:r>
      </w:hyperlink>
      <w:r>
        <w:rPr>
          <w:sz w:val="18"/>
        </w:rPr>
        <w:t xml:space="preserve">; </w:t>
      </w:r>
      <w:hyperlink r:id="rId59">
        <w:r>
          <w:rPr>
            <w:color w:val="176B80"/>
            <w:u w:val="single"/>
            <w:sz w:val="18"/>
          </w:rPr>
          <w:t>R095</w:t>
        </w:r>
      </w:hyperlink>
      <w:r>
        <w:rPr>
          <w:sz w:val="18"/>
        </w:rPr>
        <w:t xml:space="preserve">; </w:t>
      </w:r>
      <w:hyperlink r:id="rId60">
        <w:r>
          <w:rPr>
            <w:color w:val="176B80"/>
            <w:u w:val="single"/>
            <w:sz w:val="18"/>
          </w:rPr>
          <w:t>R096</w:t>
        </w:r>
      </w:hyperlink>
      <w:r>
        <w:rPr>
          <w:sz w:val="18"/>
        </w:rPr>
        <w:t>]</w:t>
      </w:r>
    </w:p>
    <w:p>
      <w:r>
        <w:t>Viṣṇupurāṇa в переводе McComas Taylor, ANU Press 2021, соединяет современное научное чтение с ясной CC BY-NC-ND 4.0. Это один из самых удобных открытых переводных входов пакета: читать можно HTML, издатель предлагает электронные форматы и печатную покупку. Для ToS пригодно неизменённое некоммерческое распространение лицензионно покрытого текста; обложка и материалы третьих лиц не включены автоматически.</w:t>
      </w:r>
      <w:r>
        <w:rPr>
          <w:sz w:val="18"/>
        </w:rPr>
        <w:t xml:space="preserve">  [</w:t>
      </w:r>
      <w:hyperlink r:id="rId57">
        <w:r>
          <w:rPr>
            <w:color w:val="176B80"/>
            <w:u w:val="single"/>
            <w:sz w:val="18"/>
          </w:rPr>
          <w:t>R080</w:t>
        </w:r>
      </w:hyperlink>
      <w:r>
        <w:rPr>
          <w:sz w:val="18"/>
        </w:rPr>
        <w:t>]</w:t>
      </w:r>
    </w:p>
    <w:p>
      <w:pPr>
        <w:pStyle w:val="Heading1"/>
        <w:pageBreakBefore w:val="0"/>
      </w:pPr>
      <w:r>
        <w:t>4. Карта прав и практического использования</w:t>
      </w:r>
    </w:p>
    <w:p>
      <w:pPr>
        <w:pStyle w:val="Heading2"/>
      </w:pPr>
      <w:r>
        <w:t>4.1. Зеркалирование: три разных режима</w:t>
      </w:r>
    </w:p>
    <w:p>
      <w:r>
        <w:t>Открытые GRETIL e-text. В девяти записях указана конкретная санскритская основа для собственного перевода: R001–R004, R007, R009–R011 и R089. Это не весь GRETIL и не весь корпус каждой школы. Применяются атрибуция, NC, сохранение лицензии и ShareAlike для производных материалов; у R007 разрешённый слой — только фрагмент. У файлов с современной реконструкцией, введением или смешанным комментарием сильные теги не поставлены.</w:t>
      </w:r>
      <w:r>
        <w:rPr>
          <w:sz w:val="18"/>
        </w:rPr>
        <w:t xml:space="preserve">  [</w:t>
      </w:r>
      <w:hyperlink r:id="rId11">
        <w:r>
          <w:rPr>
            <w:color w:val="176B80"/>
            <w:u w:val="single"/>
            <w:sz w:val="18"/>
          </w:rPr>
          <w:t>R001</w:t>
        </w:r>
      </w:hyperlink>
      <w:r>
        <w:rPr>
          <w:sz w:val="18"/>
        </w:rPr>
        <w:t xml:space="preserve">; </w:t>
      </w:r>
      <w:hyperlink r:id="rId23">
        <w:r>
          <w:rPr>
            <w:color w:val="176B80"/>
            <w:u w:val="single"/>
            <w:sz w:val="18"/>
          </w:rPr>
          <w:t>R003</w:t>
        </w:r>
      </w:hyperlink>
      <w:r>
        <w:rPr>
          <w:sz w:val="18"/>
        </w:rPr>
        <w:t xml:space="preserve">; </w:t>
      </w:r>
      <w:hyperlink r:id="rId47">
        <w:r>
          <w:rPr>
            <w:color w:val="176B80"/>
            <w:u w:val="single"/>
            <w:sz w:val="18"/>
          </w:rPr>
          <w:t>R007</w:t>
        </w:r>
      </w:hyperlink>
      <w:r>
        <w:rPr>
          <w:sz w:val="18"/>
        </w:rPr>
        <w:t xml:space="preserve">; </w:t>
      </w:r>
      <w:hyperlink r:id="rId58">
        <w:r>
          <w:rPr>
            <w:color w:val="176B80"/>
            <w:u w:val="single"/>
            <w:sz w:val="18"/>
          </w:rPr>
          <w:t>R089</w:t>
        </w:r>
      </w:hyperlink>
      <w:r>
        <w:rPr>
          <w:sz w:val="18"/>
        </w:rPr>
        <w:t>]</w:t>
      </w:r>
    </w:p>
    <w:p>
      <w:r>
        <w:t>Открытые русские и английские переводы. R098 допускает некоммерческое использование статьи и её русского перевода по CC BY-NC 4.0, включая атрибутированную переработку в пределах лицензии. R080 отличается наличием ND: распространять следует неизменённый покрытый текст, а не новый сокращённый перевод или публично переработанный файл. Эти лицензии не распространяются на санскритские критические издания, которыми пользовались переводчики.</w:t>
      </w:r>
      <w:r>
        <w:rPr>
          <w:sz w:val="18"/>
        </w:rPr>
        <w:t xml:space="preserve">  [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 xml:space="preserve">; </w:t>
      </w:r>
      <w:hyperlink r:id="rId57">
        <w:r>
          <w:rPr>
            <w:color w:val="176B80"/>
            <w:u w:val="single"/>
            <w:sz w:val="18"/>
          </w:rPr>
          <w:t>R080</w:t>
        </w:r>
      </w:hyperlink>
      <w:r>
        <w:rPr>
          <w:sz w:val="18"/>
        </w:rPr>
        <w:t xml:space="preserve">; </w:t>
      </w:r>
      <w:hyperlink r:id="rId94">
        <w:r>
          <w:rPr>
            <w:color w:val="176B80"/>
            <w:u w:val="single"/>
            <w:sz w:val="18"/>
          </w:rPr>
          <w:t>CC BY-NC 4.0</w:t>
        </w:r>
      </w:hyperlink>
      <w:r>
        <w:rPr>
          <w:sz w:val="18"/>
        </w:rPr>
        <w:t>]</w:t>
      </w:r>
    </w:p>
    <w:p>
      <w:r>
        <w:t>Старый перевод Thibaut. У R013 есть явное Public Domain in the USA. Поэтому MIRROR_OK и связанные положительные теги ограничены США и условиями Project Gutenberg, включая обращение с названием и уведомлениями проекта. RIGHTS_REVIEW_REQUIRED относится к иной юрисдикции размещения/распространения. Это не бесспорное всемирное разрешение, и не перевод с санскрита для ToS.</w:t>
      </w:r>
      <w:r>
        <w:rPr>
          <w:sz w:val="18"/>
        </w:rPr>
        <w:t xml:space="preserve">  [</w:t>
      </w:r>
      <w:hyperlink r:id="rId69">
        <w:r>
          <w:rPr>
            <w:color w:val="176B80"/>
            <w:u w:val="single"/>
            <w:sz w:val="18"/>
          </w:rPr>
          <w:t>R013</w:t>
        </w:r>
      </w:hyperlink>
      <w:r>
        <w:rPr>
          <w:sz w:val="18"/>
        </w:rPr>
        <w:t>]</w:t>
      </w:r>
    </w:p>
    <w:p>
      <w:pPr>
        <w:pStyle w:val="Heading2"/>
      </w:pPr>
      <w:r>
        <w:t>4.2. Бесплатный доступ без доказанного права переиздания</w:t>
      </w:r>
    </w:p>
    <w:p>
      <w:r>
        <w:t>DvaitaVedanta, KOYIL, SriMatham, Acharya.org и современные авторские переводческие сайты дают содержательное чтение. Но они не стали из-за этого открытыми корпусами для зеркалирования. Для KOYIL применяются собственные условия; для Gadya PDF имеется прямое All rights reserved; для авторских PDF право локального ознакомления не превращено в право повторного размещения. Сохранённая ссылка сама по себе остаётся полезным результатом.</w:t>
      </w:r>
      <w:r>
        <w:rPr>
          <w:sz w:val="18"/>
        </w:rPr>
        <w:t xml:space="preserve">  [</w:t>
      </w:r>
      <w:hyperlink r:id="rId95">
        <w:r>
          <w:rPr>
            <w:color w:val="176B80"/>
            <w:u w:val="single"/>
            <w:sz w:val="18"/>
          </w:rPr>
          <w:t>R042</w:t>
        </w:r>
      </w:hyperlink>
      <w:r>
        <w:rPr>
          <w:sz w:val="18"/>
        </w:rPr>
        <w:t xml:space="preserve">; </w:t>
      </w:r>
      <w:hyperlink r:id="rId35">
        <w:r>
          <w:rPr>
            <w:color w:val="176B80"/>
            <w:u w:val="single"/>
            <w:sz w:val="18"/>
          </w:rPr>
          <w:t>R044</w:t>
        </w:r>
      </w:hyperlink>
      <w:r>
        <w:rPr>
          <w:sz w:val="18"/>
        </w:rPr>
        <w:t xml:space="preserve">; </w:t>
      </w:r>
      <w:hyperlink r:id="rId38">
        <w:r>
          <w:rPr>
            <w:color w:val="176B80"/>
            <w:u w:val="single"/>
            <w:sz w:val="18"/>
          </w:rPr>
          <w:t>R068</w:t>
        </w:r>
      </w:hyperlink>
      <w:r>
        <w:rPr>
          <w:sz w:val="18"/>
        </w:rPr>
        <w:t xml:space="preserve">; </w:t>
      </w:r>
      <w:hyperlink r:id="rId16">
        <w:r>
          <w:rPr>
            <w:color w:val="176B80"/>
            <w:u w:val="single"/>
            <w:sz w:val="18"/>
          </w:rPr>
          <w:t>R083</w:t>
        </w:r>
      </w:hyperlink>
      <w:r>
        <w:rPr>
          <w:sz w:val="18"/>
        </w:rPr>
        <w:t xml:space="preserve">; </w:t>
      </w:r>
      <w:hyperlink r:id="rId96">
        <w:r>
          <w:rPr>
            <w:color w:val="176B80"/>
            <w:u w:val="single"/>
            <w:sz w:val="18"/>
          </w:rPr>
          <w:t>KOYIL Terms</w:t>
        </w:r>
      </w:hyperlink>
      <w:r>
        <w:rPr>
          <w:sz w:val="18"/>
        </w:rPr>
        <w:t>]</w:t>
      </w:r>
    </w:p>
    <w:p>
      <w:r>
        <w:t>Project Madurai — отдельный случай. Заголовки позволяют распространять файл с сохранением header, но общая политика веб-переиздания требует согласования. Реестр не выносит из этого безусловного MIRROR_OK: предлагаются чтение и исследовательское сохранение, а публичное зеркало и переработанные публикации ожидают уточнения. Это осторожное разграничение не означает, что тамильские оригиналы как исторические произведения защищены современным сроком.</w:t>
      </w:r>
      <w:r>
        <w:rPr>
          <w:sz w:val="18"/>
        </w:rPr>
        <w:t xml:space="preserve">  [</w:t>
      </w:r>
      <w:hyperlink r:id="rId53">
        <w:r>
          <w:rPr>
            <w:color w:val="176B80"/>
            <w:u w:val="single"/>
            <w:sz w:val="18"/>
          </w:rPr>
          <w:t>R061</w:t>
        </w:r>
      </w:hyperlink>
      <w:r>
        <w:rPr>
          <w:sz w:val="18"/>
        </w:rPr>
        <w:t xml:space="preserve">; </w:t>
      </w:r>
      <w:hyperlink r:id="rId90">
        <w:r>
          <w:rPr>
            <w:color w:val="176B80"/>
            <w:u w:val="single"/>
            <w:sz w:val="18"/>
          </w:rPr>
          <w:t>R064</w:t>
        </w:r>
      </w:hyperlink>
      <w:r>
        <w:rPr>
          <w:sz w:val="18"/>
        </w:rPr>
        <w:t xml:space="preserve">; </w:t>
      </w:r>
      <w:hyperlink r:id="rId92">
        <w:r>
          <w:rPr>
            <w:color w:val="176B80"/>
            <w:u w:val="single"/>
            <w:sz w:val="18"/>
          </w:rPr>
          <w:t>R066</w:t>
        </w:r>
      </w:hyperlink>
      <w:r>
        <w:rPr>
          <w:sz w:val="18"/>
        </w:rPr>
        <w:t>]</w:t>
      </w:r>
    </w:p>
    <w:p>
      <w:r>
        <w:t>Purchase, preview и каталог не теряются. Издательские и продавецкие карточки полезны для заказа научного издания; Google Books — для доступного образца; WorldCat, HathiTrust, RMRL, Deccan College и НЭБ — для точной идентификации и поиска библиотечного экземпляра. Ни один из этих режимов не разрешает ToS копировать полный защищённый текст только потому, что проект образовательный.</w:t>
      </w:r>
      <w:r>
        <w:rPr>
          <w:sz w:val="18"/>
        </w:rPr>
        <w:t xml:space="preserve">  [</w:t>
      </w:r>
      <w:hyperlink r:id="rId18">
        <w:r>
          <w:rPr>
            <w:color w:val="176B80"/>
            <w:u w:val="single"/>
            <w:sz w:val="18"/>
          </w:rPr>
          <w:t>R059</w:t>
        </w:r>
      </w:hyperlink>
      <w:r>
        <w:rPr>
          <w:sz w:val="18"/>
        </w:rPr>
        <w:t xml:space="preserve">; </w:t>
      </w:r>
      <w:hyperlink r:id="rId87">
        <w:r>
          <w:rPr>
            <w:color w:val="176B80"/>
            <w:u w:val="single"/>
            <w:sz w:val="18"/>
          </w:rPr>
          <w:t>R060</w:t>
        </w:r>
      </w:hyperlink>
      <w:r>
        <w:rPr>
          <w:sz w:val="18"/>
        </w:rPr>
        <w:t xml:space="preserve">; </w:t>
      </w:r>
      <w:hyperlink r:id="rId19">
        <w:r>
          <w:rPr>
            <w:color w:val="176B80"/>
            <w:u w:val="single"/>
            <w:sz w:val="18"/>
          </w:rPr>
          <w:t>R070</w:t>
        </w:r>
      </w:hyperlink>
      <w:r>
        <w:rPr>
          <w:sz w:val="18"/>
        </w:rPr>
        <w:t xml:space="preserve">; </w:t>
      </w:r>
      <w:hyperlink r:id="rId14">
        <w:r>
          <w:rPr>
            <w:color w:val="176B80"/>
            <w:u w:val="single"/>
            <w:sz w:val="18"/>
          </w:rPr>
          <w:t>R076</w:t>
        </w:r>
      </w:hyperlink>
      <w:r>
        <w:rPr>
          <w:sz w:val="18"/>
        </w:rPr>
        <w:t xml:space="preserve">; </w:t>
      </w:r>
      <w:hyperlink r:id="rId59">
        <w:r>
          <w:rPr>
            <w:color w:val="176B80"/>
            <w:u w:val="single"/>
            <w:sz w:val="18"/>
          </w:rPr>
          <w:t>R095</w:t>
        </w:r>
      </w:hyperlink>
      <w:r>
        <w:rPr>
          <w:sz w:val="18"/>
        </w:rPr>
        <w:t xml:space="preserve">; </w:t>
      </w:r>
      <w:hyperlink r:id="rId70">
        <w:r>
          <w:rPr>
            <w:color w:val="176B80"/>
            <w:u w:val="single"/>
            <w:sz w:val="18"/>
          </w:rPr>
          <w:t>R097</w:t>
        </w:r>
      </w:hyperlink>
      <w:r>
        <w:rPr>
          <w:sz w:val="18"/>
        </w:rPr>
        <w:t xml:space="preserve">; </w:t>
      </w:r>
      <w:hyperlink r:id="rId74">
        <w:r>
          <w:rPr>
            <w:color w:val="176B80"/>
            <w:u w:val="single"/>
            <w:sz w:val="18"/>
          </w:rPr>
          <w:t>R100</w:t>
        </w:r>
      </w:hyperlink>
      <w:r>
        <w:rPr>
          <w:sz w:val="18"/>
        </w:rPr>
        <w:t>]</w:t>
      </w:r>
    </w:p>
    <w:p>
      <w:pPr>
        <w:pStyle w:val="Heading2"/>
      </w:pPr>
      <w:r>
        <w:t>4.3. OCR, поиск, embeddings и собственный перевод</w:t>
      </w:r>
    </w:p>
    <w:p>
      <w:r>
        <w:t>OCR разрешён отдельным тегом только там, где правовая основа покрывает конкретный доступный объект. У электронной транскрипции OCR обычно технически не нужен. FULLTEXT_INDEX_OK и EMBEDDINGS_OK не объединены с правом распространения: в разрешённых GRETIL-записях и R098 они ограничены некоммерческим использованием покрытого текста. Это не автоматическое разрешение на обучение моделей, размещение исходных защищённых страниц или любой публичный сервис на базе векторов.</w:t>
      </w:r>
      <w:r>
        <w:rPr>
          <w:sz w:val="18"/>
        </w:rPr>
        <w:t xml:space="preserve">  [</w:t>
      </w:r>
      <w:hyperlink r:id="rId11">
        <w:r>
          <w:rPr>
            <w:color w:val="176B80"/>
            <w:u w:val="single"/>
            <w:sz w:val="18"/>
          </w:rPr>
          <w:t>R001</w:t>
        </w:r>
      </w:hyperlink>
      <w:r>
        <w:rPr>
          <w:sz w:val="18"/>
        </w:rPr>
        <w:t xml:space="preserve">; 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>]</w:t>
      </w:r>
    </w:p>
    <w:p>
      <w:r>
        <w:t>Для собственного перевода необходимо сохранить именно названный в own_translation_basis исходный слой. Открытая транскрипция может быть пригодна; защищённый современный английский перевод, реконструкция Neevel/Mesquita или неизвестная цифровая редакция — нет без дополнительной проверки. Фрагмент Īśvarasiddhi не даёт права утверждать, что открыт весь первоначальный трактат. Самостоятельный русский перевод ToS не должен маскировать перевод-посредник под санскритскую основу.</w:t>
      </w:r>
      <w:r>
        <w:rPr>
          <w:sz w:val="18"/>
        </w:rPr>
        <w:t xml:space="preserve">  [</w:t>
      </w:r>
      <w:hyperlink r:id="rId46">
        <w:r>
          <w:rPr>
            <w:color w:val="176B80"/>
            <w:u w:val="single"/>
            <w:sz w:val="18"/>
          </w:rPr>
          <w:t>R006</w:t>
        </w:r>
      </w:hyperlink>
      <w:r>
        <w:rPr>
          <w:sz w:val="18"/>
        </w:rPr>
        <w:t xml:space="preserve">; </w:t>
      </w:r>
      <w:hyperlink r:id="rId47">
        <w:r>
          <w:rPr>
            <w:color w:val="176B80"/>
            <w:u w:val="single"/>
            <w:sz w:val="18"/>
          </w:rPr>
          <w:t>R007</w:t>
        </w:r>
      </w:hyperlink>
      <w:r>
        <w:rPr>
          <w:sz w:val="18"/>
        </w:rPr>
        <w:t xml:space="preserve">; </w:t>
      </w:r>
      <w:hyperlink r:id="rId48">
        <w:r>
          <w:rPr>
            <w:color w:val="176B80"/>
            <w:u w:val="single"/>
            <w:sz w:val="18"/>
          </w:rPr>
          <w:t>R008</w:t>
        </w:r>
      </w:hyperlink>
      <w:r>
        <w:rPr>
          <w:sz w:val="18"/>
        </w:rPr>
        <w:t xml:space="preserve">; 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 xml:space="preserve">; </w:t>
      </w:r>
      <w:hyperlink r:id="rId34">
        <w:r>
          <w:rPr>
            <w:color w:val="176B80"/>
            <w:u w:val="single"/>
            <w:sz w:val="18"/>
          </w:rPr>
          <w:t>R102</w:t>
        </w:r>
      </w:hyperlink>
      <w:r>
        <w:rPr>
          <w:sz w:val="18"/>
        </w:rPr>
        <w:t>]</w:t>
      </w:r>
    </w:p>
    <w:p>
      <w:r>
        <w:t>Смешанные права особенно заметны у British Library: положительный тег атрибутированного повторного использования R058 относится только к каталожным метаданным; для фотографий действует иной NC/research-режим. В RAS встроенный Internet Archive viewer не меняет требований к публикации изображений. У ANU отдельно оговорены обложка и сторонние компоненты. RIGHTS_REVIEW_REQUIRED блокирует расширение положительных тегов за пределы этих явно названных слоёв.</w:t>
      </w:r>
      <w:r>
        <w:rPr>
          <w:sz w:val="18"/>
        </w:rPr>
        <w:t xml:space="preserve">  [</w:t>
      </w:r>
      <w:hyperlink r:id="rId42">
        <w:r>
          <w:rPr>
            <w:color w:val="176B80"/>
            <w:u w:val="single"/>
            <w:sz w:val="18"/>
          </w:rPr>
          <w:t>R058</w:t>
        </w:r>
      </w:hyperlink>
      <w:r>
        <w:rPr>
          <w:sz w:val="18"/>
        </w:rPr>
        <w:t xml:space="preserve">; </w:t>
      </w:r>
      <w:hyperlink r:id="rId21">
        <w:r>
          <w:rPr>
            <w:color w:val="176B80"/>
            <w:u w:val="single"/>
            <w:sz w:val="18"/>
          </w:rPr>
          <w:t>R074</w:t>
        </w:r>
      </w:hyperlink>
      <w:r>
        <w:rPr>
          <w:sz w:val="18"/>
        </w:rPr>
        <w:t xml:space="preserve">; </w:t>
      </w:r>
      <w:hyperlink r:id="rId45">
        <w:r>
          <w:rPr>
            <w:color w:val="176B80"/>
            <w:u w:val="single"/>
            <w:sz w:val="18"/>
          </w:rPr>
          <w:t>R075</w:t>
        </w:r>
      </w:hyperlink>
      <w:r>
        <w:rPr>
          <w:sz w:val="18"/>
        </w:rPr>
        <w:t xml:space="preserve">; </w:t>
      </w:r>
      <w:hyperlink r:id="rId57">
        <w:r>
          <w:rPr>
            <w:color w:val="176B80"/>
            <w:u w:val="single"/>
            <w:sz w:val="18"/>
          </w:rPr>
          <w:t>R080</w:t>
        </w:r>
      </w:hyperlink>
      <w:r>
        <w:rPr>
          <w:sz w:val="18"/>
        </w:rPr>
        <w:t>]</w:t>
      </w:r>
    </w:p>
    <w:p>
      <w:r>
        <w:t>Практический порядок ToS: внешние ссылки и собственные библиографические карточки можно использовать как первый слой; локальную исследовательскую копию — только по разрешённому маршруту; индексы и перевод — после выбора конкретной правовой основы; публичное зеркало — только по доказанному scope. Эта последовательность не заменяет проверку применимой юрисдикции перед массовой публикацией.</w:t>
      </w:r>
    </w:p>
    <w:p>
      <w:pPr>
        <w:pStyle w:val="Heading1"/>
        <w:pageBreakBefore w:val="0"/>
      </w:pPr>
      <w:r>
        <w:t>5. Характерные правовые и текстовые тонкости</w:t>
      </w:r>
    </w:p>
    <w:p>
      <w:r>
        <w:t>Неполнота бывает трёх видов. У Siddhitraya фрагментарна историческая сохранность; у Nyāyasudhā пропуск имеется в электронной транскрипции; у большого официального корпуса исследователь мог проверить только отдельную ветвь. Эти ситуации нельзя обозначать одним словом «полный». В coverage отделены surviving fragment, доступный раздел и полный представленный цифровой объект.</w:t>
      </w:r>
      <w:r>
        <w:rPr>
          <w:sz w:val="18"/>
        </w:rPr>
        <w:t xml:space="preserve">  [</w:t>
      </w:r>
      <w:hyperlink r:id="rId25">
        <w:r>
          <w:rPr>
            <w:color w:val="176B80"/>
            <w:u w:val="single"/>
            <w:sz w:val="18"/>
          </w:rPr>
          <w:t>R005</w:t>
        </w:r>
      </w:hyperlink>
      <w:r>
        <w:rPr>
          <w:sz w:val="18"/>
        </w:rPr>
        <w:t xml:space="preserve">; </w:t>
      </w:r>
      <w:hyperlink r:id="rId46">
        <w:r>
          <w:rPr>
            <w:color w:val="176B80"/>
            <w:u w:val="single"/>
            <w:sz w:val="18"/>
          </w:rPr>
          <w:t>R006</w:t>
        </w:r>
      </w:hyperlink>
      <w:r>
        <w:rPr>
          <w:sz w:val="18"/>
        </w:rPr>
        <w:t xml:space="preserve">; </w:t>
      </w:r>
      <w:hyperlink r:id="rId47">
        <w:r>
          <w:rPr>
            <w:color w:val="176B80"/>
            <w:u w:val="single"/>
            <w:sz w:val="18"/>
          </w:rPr>
          <w:t>R007</w:t>
        </w:r>
      </w:hyperlink>
      <w:r>
        <w:rPr>
          <w:sz w:val="18"/>
        </w:rPr>
        <w:t xml:space="preserve">; </w:t>
      </w:r>
      <w:hyperlink r:id="rId48">
        <w:r>
          <w:rPr>
            <w:color w:val="176B80"/>
            <w:u w:val="single"/>
            <w:sz w:val="18"/>
          </w:rPr>
          <w:t>R008</w:t>
        </w:r>
      </w:hyperlink>
      <w:r>
        <w:rPr>
          <w:sz w:val="18"/>
        </w:rPr>
        <w:t xml:space="preserve">; </w:t>
      </w:r>
      <w:hyperlink r:id="rId28">
        <w:r>
          <w:rPr>
            <w:color w:val="176B80"/>
            <w:u w:val="single"/>
            <w:sz w:val="18"/>
          </w:rPr>
          <w:t>R014</w:t>
        </w:r>
      </w:hyperlink>
      <w:r>
        <w:rPr>
          <w:sz w:val="18"/>
        </w:rPr>
        <w:t>]</w:t>
      </w:r>
    </w:p>
    <w:p>
      <w:r>
        <w:t>Один домен — не одна лицензия. Новые GRETIL/TEI страницы содержат CC BY-NC-SA 4.0, старый Śrībhāṣya 1.1.3 и Kṛṣṇāmṛtamahārṇava — другие уведомления. Даже новая шапка не очищает автоматически современный критический аппарат. Поэтому одинаково выглядящие HTML-файлы получили разные рекомендации ToS.</w:t>
      </w:r>
      <w:r>
        <w:rPr>
          <w:sz w:val="18"/>
        </w:rPr>
        <w:t xml:space="preserve">  [</w:t>
      </w:r>
      <w:hyperlink r:id="rId12">
        <w:r>
          <w:rPr>
            <w:color w:val="176B80"/>
            <w:u w:val="single"/>
            <w:sz w:val="18"/>
          </w:rPr>
          <w:t>R002</w:t>
        </w:r>
      </w:hyperlink>
      <w:r>
        <w:rPr>
          <w:sz w:val="18"/>
        </w:rPr>
        <w:t xml:space="preserve">; </w:t>
      </w:r>
      <w:hyperlink r:id="rId48">
        <w:r>
          <w:rPr>
            <w:color w:val="176B80"/>
            <w:u w:val="single"/>
            <w:sz w:val="18"/>
          </w:rPr>
          <w:t>R008</w:t>
        </w:r>
      </w:hyperlink>
      <w:r>
        <w:rPr>
          <w:sz w:val="18"/>
        </w:rPr>
        <w:t xml:space="preserve">; </w:t>
      </w:r>
      <w:hyperlink r:id="rId13">
        <w:r>
          <w:rPr>
            <w:color w:val="176B80"/>
            <w:u w:val="single"/>
            <w:sz w:val="18"/>
          </w:rPr>
          <w:t>R012</w:t>
        </w:r>
      </w:hyperlink>
      <w:r>
        <w:rPr>
          <w:sz w:val="18"/>
        </w:rPr>
        <w:t xml:space="preserve">; </w:t>
      </w:r>
      <w:hyperlink r:id="rId34">
        <w:r>
          <w:rPr>
            <w:color w:val="176B80"/>
            <w:u w:val="single"/>
            <w:sz w:val="18"/>
          </w:rPr>
          <w:t>R102</w:t>
        </w:r>
      </w:hyperlink>
      <w:r>
        <w:rPr>
          <w:sz w:val="18"/>
        </w:rPr>
        <w:t>]</w:t>
      </w:r>
    </w:p>
    <w:p>
      <w:r>
        <w:t>Права загрузчика не равны правам переводчика. Пользовательская отметка CC0 на Internet Archive не доказывает разрешения на современные переводы Адидевананды или Гупты. Для таких изданий сохранены официальный издательский маршрут и легальный preview. Старые институциональные сканы приняты как пути доступа с provenance, но не получили автоматического всемирного Public Domain.</w:t>
      </w:r>
      <w:r>
        <w:rPr>
          <w:sz w:val="18"/>
        </w:rPr>
        <w:t xml:space="preserve">  [</w:t>
      </w:r>
      <w:hyperlink r:id="rId43">
        <w:r>
          <w:rPr>
            <w:color w:val="176B80"/>
            <w:u w:val="single"/>
            <w:sz w:val="18"/>
          </w:rPr>
          <w:t>R071</w:t>
        </w:r>
      </w:hyperlink>
      <w:r>
        <w:rPr>
          <w:sz w:val="18"/>
        </w:rPr>
        <w:t xml:space="preserve">; </w:t>
      </w:r>
      <w:hyperlink r:id="rId44">
        <w:r>
          <w:rPr>
            <w:color w:val="176B80"/>
            <w:u w:val="single"/>
            <w:sz w:val="18"/>
          </w:rPr>
          <w:t>R072</w:t>
        </w:r>
      </w:hyperlink>
      <w:r>
        <w:rPr>
          <w:sz w:val="18"/>
        </w:rPr>
        <w:t xml:space="preserve">; </w:t>
      </w:r>
      <w:hyperlink r:id="rId72">
        <w:r>
          <w:rPr>
            <w:color w:val="176B80"/>
            <w:u w:val="single"/>
            <w:sz w:val="18"/>
          </w:rPr>
          <w:t>R084</w:t>
        </w:r>
      </w:hyperlink>
      <w:r>
        <w:rPr>
          <w:sz w:val="18"/>
        </w:rPr>
        <w:t xml:space="preserve">; </w:t>
      </w:r>
      <w:hyperlink r:id="rId59">
        <w:r>
          <w:rPr>
            <w:color w:val="176B80"/>
            <w:u w:val="single"/>
            <w:sz w:val="18"/>
          </w:rPr>
          <w:t>R095</w:t>
        </w:r>
      </w:hyperlink>
      <w:r>
        <w:rPr>
          <w:sz w:val="18"/>
        </w:rPr>
        <w:t>]</w:t>
      </w:r>
    </w:p>
    <w:p>
      <w:r>
        <w:t>Письмо не равно языку. Grantha — способ записи санскрита; метка «English» у PDF Gadya может обозначать латиницу. Каталожное «Sanskrit and Tamil» также не разрешает без текста спор о Maṇipravāḷa. Эти различия существенны для выбора переводчика, OCR и собственных переводов ToS.</w:t>
      </w:r>
      <w:r>
        <w:rPr>
          <w:sz w:val="18"/>
        </w:rPr>
        <w:t xml:space="preserve">  [</w:t>
      </w:r>
      <w:hyperlink r:id="rId42">
        <w:r>
          <w:rPr>
            <w:color w:val="176B80"/>
            <w:u w:val="single"/>
            <w:sz w:val="18"/>
          </w:rPr>
          <w:t>R058</w:t>
        </w:r>
      </w:hyperlink>
      <w:r>
        <w:rPr>
          <w:sz w:val="18"/>
        </w:rPr>
        <w:t xml:space="preserve">; </w:t>
      </w:r>
      <w:hyperlink r:id="rId16">
        <w:r>
          <w:rPr>
            <w:color w:val="176B80"/>
            <w:u w:val="single"/>
            <w:sz w:val="18"/>
          </w:rPr>
          <w:t>R083</w:t>
        </w:r>
      </w:hyperlink>
      <w:r>
        <w:rPr>
          <w:sz w:val="18"/>
        </w:rPr>
        <w:t xml:space="preserve">; </w:t>
      </w:r>
      <w:hyperlink r:id="rId22">
        <w:r>
          <w:rPr>
            <w:color w:val="176B80"/>
            <w:u w:val="single"/>
            <w:sz w:val="18"/>
          </w:rPr>
          <w:t>R086</w:t>
        </w:r>
      </w:hyperlink>
      <w:r>
        <w:rPr>
          <w:sz w:val="18"/>
        </w:rPr>
        <w:t>]</w:t>
      </w:r>
    </w:p>
    <w:p>
      <w:r>
        <w:t>Текстовая точность отделена от законности. Автор может законно публиковать AI-assisted перевод, который ещё не пригоден как научный стандарт. И наоборот, защищённая академическая редакция может быть лучшим исследовательским инструментом, хотя её нельзя зеркалировать. В реестре сохранены обе категории без искусственной подмены платной науки слабым открытым пересказом.</w:t>
      </w:r>
      <w:r>
        <w:rPr>
          <w:sz w:val="18"/>
        </w:rPr>
        <w:t xml:space="preserve">  [</w:t>
      </w:r>
      <w:hyperlink r:id="rId81">
        <w:r>
          <w:rPr>
            <w:color w:val="176B80"/>
            <w:u w:val="single"/>
            <w:sz w:val="18"/>
          </w:rPr>
          <w:t>R046</w:t>
        </w:r>
      </w:hyperlink>
      <w:r>
        <w:rPr>
          <w:sz w:val="18"/>
        </w:rPr>
        <w:t xml:space="preserve">; </w:t>
      </w:r>
      <w:hyperlink r:id="rId85">
        <w:r>
          <w:rPr>
            <w:color w:val="176B80"/>
            <w:u w:val="single"/>
            <w:sz w:val="18"/>
          </w:rPr>
          <w:t>R090</w:t>
        </w:r>
      </w:hyperlink>
      <w:r>
        <w:rPr>
          <w:sz w:val="18"/>
        </w:rPr>
        <w:t xml:space="preserve">; </w:t>
      </w:r>
      <w:hyperlink r:id="rId70">
        <w:r>
          <w:rPr>
            <w:color w:val="176B80"/>
            <w:u w:val="single"/>
            <w:sz w:val="18"/>
          </w:rPr>
          <w:t>R097</w:t>
        </w:r>
      </w:hyperlink>
      <w:r>
        <w:rPr>
          <w:sz w:val="18"/>
        </w:rPr>
        <w:t>]</w:t>
      </w:r>
    </w:p>
    <w:p>
      <w:r>
        <w:t>Номер стиха не универсален. Сопоставление Stotraratna и позднего цитирования выявило адреса 43 и 46, а также разночтения. Их нельзя свести к одному ID без сверки редакций. Сходным образом числа листов Palimaru и нумерация Hart/Iyaṟpā сохранены с пояснениями, не выровнены для красивой таблицы.</w:t>
      </w:r>
      <w:r>
        <w:rPr>
          <w:sz w:val="18"/>
        </w:rPr>
        <w:t xml:space="preserve">  [</w:t>
      </w:r>
      <w:hyperlink r:id="rId51">
        <w:r>
          <w:rPr>
            <w:color w:val="176B80"/>
            <w:u w:val="single"/>
            <w:sz w:val="18"/>
          </w:rPr>
          <w:t>R011</w:t>
        </w:r>
      </w:hyperlink>
      <w:r>
        <w:rPr>
          <w:sz w:val="18"/>
        </w:rPr>
        <w:t xml:space="preserve">; </w:t>
      </w:r>
      <w:hyperlink r:id="rId41">
        <w:r>
          <w:rPr>
            <w:color w:val="176B80"/>
            <w:u w:val="single"/>
            <w:sz w:val="18"/>
          </w:rPr>
          <w:t>R056</w:t>
        </w:r>
      </w:hyperlink>
      <w:r>
        <w:rPr>
          <w:sz w:val="18"/>
        </w:rPr>
        <w:t xml:space="preserve">; </w:t>
      </w:r>
      <w:hyperlink r:id="rId93">
        <w:r>
          <w:rPr>
            <w:color w:val="176B80"/>
            <w:u w:val="single"/>
            <w:sz w:val="18"/>
          </w:rPr>
          <w:t>R067</w:t>
        </w:r>
      </w:hyperlink>
      <w:r>
        <w:rPr>
          <w:sz w:val="18"/>
        </w:rPr>
        <w:t xml:space="preserve">; </w:t>
      </w:r>
      <w:hyperlink r:id="rId68">
        <w:r>
          <w:rPr>
            <w:color w:val="176B80"/>
            <w:u w:val="single"/>
            <w:sz w:val="18"/>
          </w:rPr>
          <w:t>R101</w:t>
        </w:r>
      </w:hyperlink>
      <w:r>
        <w:rPr>
          <w:sz w:val="18"/>
        </w:rPr>
        <w:t>]</w:t>
      </w:r>
    </w:p>
    <w:p>
      <w:r>
        <w:t>Некоммерческий проект не означает автоматически некоммерческое использование во всех будущих сценариях. Перед передачей NC-материала в новый сервис, платный продукт, публичный API или внешний процесс обучения потребуется отдельная оценка. Положительные теги здесь — ограниченная карта исследовательского использования, а не единая юридическая лицензия на весь ToS.</w:t>
      </w:r>
    </w:p>
    <w:p>
      <w:pPr>
        <w:pStyle w:val="Heading1"/>
        <w:pageBreakBefore w:val="0"/>
      </w:pPr>
      <w:r>
        <w:t>6. Пробелы и дальнейший поиск</w:t>
      </w:r>
    </w:p>
    <w:p>
      <w:pPr>
        <w:pStyle w:val="Heading2"/>
      </w:pPr>
      <w:r>
        <w:t>6.1. Где остаётся наибольшая неполнота</w:t>
      </w:r>
    </w:p>
    <w:p>
      <w:r>
        <w:t>Поиск дал широкое ядро, но не достиг полного насыщения области. Основные открытые задачи сохранены в 41 строке gaps, с причиной, конкретным адресом или проверяемым кандидатом и следующим действием. Ограничение этого пакета — не отсутствие произведений, а непроверенная полнота отдельных изданий, недоступность части сайтов и незавершённая компонентная проверка прав.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Приоритетный блок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именно осталось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2374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Адрес в gaps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Полнота санскритского ядра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Nyāyasudhā 1.1.27–98; полный Śrībhāṣya; Nyāyapariśuddhi, раздел 2.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G001–G003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Дешика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Полный комплект Tattvamuktākalāpa/Sarvārthasiddhi, современная Śatadūṣaṇī, Paramatabhaṅga; остальные авторские трактаты.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G007–G009, G016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Комментарийная линия Рамануджи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Полные Piḷḷān, Īḍu и другие Tiruvāymoḻi-комментарии; Śrutaprakāśikā; Vedāntadīpa/Vedāntasāra.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G010–G014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Прямой и поздний Dvaita-корпус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Недостающие Sarvamūla, ṭīkā Джая­тиртхи, Tarkatāṇḍava, Tantradīpikā и Gītāvivṛti.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G017–G021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Утраченные предшественники и āgama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Точные цитаты Nyāyatattva; доказанные связи и item-level версии дополнительных saṃhitā.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G022–G025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Рукописи и изображения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Три IFP item; viewer Ahirbudhnya; постраничная сверка старых сканов; rights BL/RAS.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G004–G006, G026–G030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Русские и другие переводы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Журнальная Śaraṇāgatigadya; авторизация Academia; ранние публикации Псху/Семенцова; Gugler по-немецки.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G032–G037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Дальняя рецепция</w:t>
            </w:r>
          </w:p>
        </w:tc>
        <w:tc>
          <w:tcPr>
            <w:tcW w:type="dxa" w:w="5329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Дополнительные цитаты у Рупы Госвамина, пограничные Vedānta-корпусы, первичная институциональная документация.</w:t>
            </w:r>
          </w:p>
        </w:tc>
        <w:tc>
          <w:tcPr>
            <w:tcW w:type="dxa" w:w="192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rFonts w:ascii="DejaVu Sans" w:hAnsi="DejaVu Sans"/>
                <w:sz w:val="18"/>
              </w:rPr>
              <w:t>G038–G040</w:t>
            </w:r>
          </w:p>
        </w:tc>
      </w:tr>
    </w:tbl>
    <w:p>
      <w:r>
        <w:t>Особенно важно не спутать две ситуации: к Āgamaprāmāṇya, Van Buitenen 1956, Pāñcarātrarakṣā, Nyāyasiddhāñjana и Rahasyatrayasāra уже есть пригодные каталожные или издательские входы; их нельзя считать «не найденными». Не найден или не подтверждён именно полный свободный цифровой вариант. Для IFP и НЭБ, напротив, сама item-level страница не открылась в данном клиенте.</w:t>
      </w:r>
      <w:r>
        <w:rPr>
          <w:sz w:val="18"/>
        </w:rPr>
        <w:t xml:space="preserve">  [</w:t>
      </w:r>
      <w:hyperlink r:id="rId18">
        <w:r>
          <w:rPr>
            <w:color w:val="176B80"/>
            <w:u w:val="single"/>
            <w:sz w:val="18"/>
          </w:rPr>
          <w:t>R059</w:t>
        </w:r>
      </w:hyperlink>
      <w:r>
        <w:rPr>
          <w:sz w:val="18"/>
        </w:rPr>
        <w:t xml:space="preserve">; </w:t>
      </w:r>
      <w:hyperlink r:id="rId19">
        <w:r>
          <w:rPr>
            <w:color w:val="176B80"/>
            <w:u w:val="single"/>
            <w:sz w:val="18"/>
          </w:rPr>
          <w:t>R070</w:t>
        </w:r>
      </w:hyperlink>
      <w:r>
        <w:rPr>
          <w:sz w:val="18"/>
        </w:rPr>
        <w:t xml:space="preserve">; </w:t>
      </w:r>
      <w:hyperlink r:id="rId14">
        <w:r>
          <w:rPr>
            <w:color w:val="176B80"/>
            <w:u w:val="single"/>
            <w:sz w:val="18"/>
          </w:rPr>
          <w:t>R076</w:t>
        </w:r>
      </w:hyperlink>
      <w:r>
        <w:rPr>
          <w:sz w:val="18"/>
        </w:rPr>
        <w:t xml:space="preserve">; </w:t>
      </w:r>
      <w:hyperlink r:id="rId22">
        <w:r>
          <w:rPr>
            <w:color w:val="176B80"/>
            <w:u w:val="single"/>
            <w:sz w:val="18"/>
          </w:rPr>
          <w:t>R086</w:t>
        </w:r>
      </w:hyperlink>
      <w:r>
        <w:rPr>
          <w:sz w:val="18"/>
        </w:rPr>
        <w:t xml:space="preserve">; </w:t>
      </w:r>
      <w:hyperlink r:id="rId70">
        <w:r>
          <w:rPr>
            <w:color w:val="176B80"/>
            <w:u w:val="single"/>
            <w:sz w:val="18"/>
          </w:rPr>
          <w:t>R097</w:t>
        </w:r>
      </w:hyperlink>
      <w:r>
        <w:rPr>
          <w:sz w:val="18"/>
        </w:rPr>
        <w:t xml:space="preserve">; </w:t>
      </w:r>
      <w:hyperlink r:id="rId74">
        <w:r>
          <w:rPr>
            <w:color w:val="176B80"/>
            <w:u w:val="single"/>
            <w:sz w:val="18"/>
          </w:rPr>
          <w:t>R100</w:t>
        </w:r>
      </w:hyperlink>
      <w:r>
        <w:rPr>
          <w:sz w:val="18"/>
        </w:rPr>
        <w:t>]</w:t>
      </w:r>
    </w:p>
    <w:p>
      <w:pPr>
        <w:pStyle w:val="Heading2"/>
      </w:pPr>
      <w:r>
        <w:t>6.2. Слабые навигационные следы и неподтверждённые кандидаты</w:t>
      </w:r>
    </w:p>
    <w:p>
      <w:r>
        <w:t>Wikipedia и общие поисковые подсказки использовались только как возможные источники вариантов названий; они не являются URL доступа, идентификации или прав в итоговых файлах. Не подтверждённые более сильным источником кандидаты имеют unverified_candidate: ранняя русская публикация Gītābhāṣya 2008 года; дополнительные Stotraratna-цитаты; отдельные поздние Dvaita и пограничные Vedānta-связи. Для них не сделаны сильные выводы об авторстве, полноте или лицензии.</w:t>
      </w:r>
    </w:p>
    <w:p>
      <w:r>
        <w:t>Положительный пример перепроверки — поздняя цитата Stotraratna: первоначальный слабый указатель заменён открытой страницей BBT и сравнением с GRETIL. Отрицательный пример — Academia-копия русского Vedārthasaṃgraha: наличие текста не установило полномочия загрузчика, поэтому запись оставлена в gaps. Для дополнительных Pāñcarātra-saṃhitā требуется сначала доказать точную связь с комментаторами ядра, а не просто принадлежность большой традиции.</w:t>
      </w:r>
      <w:r>
        <w:rPr>
          <w:sz w:val="18"/>
        </w:rPr>
        <w:t xml:space="preserve">  [</w:t>
      </w:r>
      <w:hyperlink r:id="rId51">
        <w:r>
          <w:rPr>
            <w:color w:val="176B80"/>
            <w:u w:val="single"/>
            <w:sz w:val="18"/>
          </w:rPr>
          <w:t>R011</w:t>
        </w:r>
      </w:hyperlink>
      <w:r>
        <w:rPr>
          <w:sz w:val="18"/>
        </w:rPr>
        <w:t xml:space="preserve">; </w:t>
      </w:r>
      <w:hyperlink r:id="rId68">
        <w:r>
          <w:rPr>
            <w:color w:val="176B80"/>
            <w:u w:val="single"/>
            <w:sz w:val="18"/>
          </w:rPr>
          <w:t>R101</w:t>
        </w:r>
      </w:hyperlink>
      <w:r>
        <w:rPr>
          <w:sz w:val="18"/>
        </w:rPr>
        <w:t>]</w:t>
      </w:r>
    </w:p>
    <w:p>
      <w:r>
        <w:t>Ни Wikipedia, ни агрегатор, ни поисковый сниппет не служат доказательством MIRROR, OCR, FULLTEXT_INDEX или EMBEDDINGS. Никакие пиратские библиотеки, подозрительные зеркала или архивы Telegram не включены в реестр. Сам факт попадания сомнительного сайта в поисковую выдачу не превратился в рекомендованный путь.</w:t>
      </w:r>
    </w:p>
    <w:p>
      <w:pPr>
        <w:pStyle w:val="Heading2"/>
      </w:pPr>
      <w:r>
        <w:t>6.3. Восемь целевых направлений следующего прохода</w:t>
      </w:r>
    </w:p>
    <w:p>
      <w:r>
        <w:t>1. Закрыть лакуны ядра: найти легальный текст отсутствующего участка Nyāyasudhā, раздела 2 Nyāyapariśuddhi и полного санскритского Śrībhāṣya. Начинать с конкретной редакции, страниц и комментарийной ветви, а не нового списка порталов.</w:t>
      </w:r>
    </w:p>
    <w:p>
      <w:r>
        <w:t>2. Развернуть Deśika по изданиям: Tattvamuktākalāpa/Sarvārthasiddhi, Śatadūṣaṇī, Paramatabhaṅga и Gītā-Tātparyacandrikā. Отдельно идентифицировать современные введения, реконструкции и права английских/хиндийских переводов.</w:t>
      </w:r>
    </w:p>
    <w:p>
      <w:r>
        <w:t>3. Пройти полную тамильскую комментарийную цепочку: Āṟāyirappaṭi → 9000/24000 → Īḍu 36000 → Māmuni. Установить точные тома и не переносить статус английского пересказа на полный Maṇipravāḷa-оригинал.</w:t>
      </w:r>
    </w:p>
    <w:p>
      <w:r>
        <w:t>4. Завершить прямой Sarvamūla и Джая­тиртху: Pramāṇalakṣaṇa, недостающие Upaniṣad-bhāṣya, Gītātātparyanirṇaya, Prameyadīpikā и Tattvaprakāśikā. Сравнивать авторские переводы с независимым санскритом, а не друг с другом.</w:t>
      </w:r>
    </w:p>
    <w:p>
      <w:r>
        <w:t>5. Продолжить поздний Dvaita без хронологического отсечения: Tarkatāṇḍava, Рагхавендра и их конкретные субкомментарии. Одновременно привязать расхождение Stotraratna 43/46 к печатным редакциям и проверить следующие цитаты рецепции.</w:t>
      </w:r>
    </w:p>
    <w:p>
      <w:r>
        <w:t>6. Восстановить материальные входы: IFP, BL/EAP, RAS и Palimaru. Проверить комплектность, листовые номера, реальные файлы/IIIF, а затем права изображений — отдельно от открытых каталожных данных.</w:t>
      </w:r>
    </w:p>
    <w:p>
      <w:r>
        <w:t>7. Довести русские и немецкие переводы: НЭБ/РНБ для Семенцова 2021, официальный журнал для Псху 2011, библиографические следы 2006–2008 и Gugler 2009. Для Academia подтвердить автора загрузки и издательскую версию.</w:t>
      </w:r>
    </w:p>
    <w:p>
      <w:r>
        <w:t>8. Очистить разрешённый корпус для практической работы: выбрать конкретные GRETIL/TEI и открытые статьи, отделить исторический текст от аппарата, проверить экспорты и условия NC/SA/ND. Массовую публикацию, запросы разрешений и выгрузки не выполнять автоматически по одному тегу.</w:t>
      </w:r>
    </w:p>
    <w:p>
      <w:pPr>
        <w:pStyle w:val="Heading1"/>
        <w:pageBreakBefore w:val="0"/>
      </w:pPr>
      <w:r>
        <w:t>7. Итоговая оценка</w:t>
      </w:r>
    </w:p>
    <w:p>
      <w:r>
        <w:t>Покрытие широкое, но не исчерпывающее. Два центральных полюса T2-33 получили содержательные пути к основным текстам, оригиналам, переводам и части свидетелей. Авторское и комментарийное расширение проведено в обе стороны времени. Главные слабые зоны — полнота отдельных крупных санскритских e-text, целостные Maṇipravāḷa-комментарии, часть позднего Dvaita и недоступные рукописные порталы.</w:t>
      </w:r>
    </w:p>
    <w:p>
      <w:r>
        <w:t>Оригиналы доступны лучше всего через GRETIL/TextGrid, официальный DvaitaVedanta и Project Madurai; однако их правовой режим неодинаков. Переводы распределены между старым Public Domain в США, современными открытыми лицензиями, авторским бесплатным чтением и защищёнными изданиями. Русский слой не ограничен случайными перепечатками: есть проверенные журнал и издательский сборник, а важный научный перевод Семенцова сохранён как библиографически подтверждённый, пока недоступный item.</w:t>
      </w:r>
      <w:r>
        <w:rPr>
          <w:sz w:val="18"/>
        </w:rPr>
        <w:t xml:space="preserve">  [</w:t>
      </w:r>
      <w:hyperlink r:id="rId69">
        <w:r>
          <w:rPr>
            <w:color w:val="176B80"/>
            <w:u w:val="single"/>
            <w:sz w:val="18"/>
          </w:rPr>
          <w:t>R013</w:t>
        </w:r>
      </w:hyperlink>
      <w:r>
        <w:rPr>
          <w:sz w:val="18"/>
        </w:rPr>
        <w:t xml:space="preserve">; </w:t>
      </w:r>
      <w:hyperlink r:id="rId17">
        <w:r>
          <w:rPr>
            <w:color w:val="176B80"/>
            <w:u w:val="single"/>
            <w:sz w:val="18"/>
          </w:rPr>
          <w:t>R057</w:t>
        </w:r>
      </w:hyperlink>
      <w:r>
        <w:rPr>
          <w:sz w:val="18"/>
        </w:rPr>
        <w:t xml:space="preserve">; </w:t>
      </w:r>
      <w:hyperlink r:id="rId53">
        <w:r>
          <w:rPr>
            <w:color w:val="176B80"/>
            <w:u w:val="single"/>
            <w:sz w:val="18"/>
          </w:rPr>
          <w:t>R061</w:t>
        </w:r>
      </w:hyperlink>
      <w:r>
        <w:rPr>
          <w:sz w:val="18"/>
        </w:rPr>
        <w:t xml:space="preserve">; </w:t>
      </w:r>
      <w:hyperlink r:id="rId72">
        <w:r>
          <w:rPr>
            <w:color w:val="176B80"/>
            <w:u w:val="single"/>
            <w:sz w:val="18"/>
          </w:rPr>
          <w:t>R084</w:t>
        </w:r>
      </w:hyperlink>
      <w:r>
        <w:rPr>
          <w:sz w:val="18"/>
        </w:rPr>
        <w:t xml:space="preserve">; 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 xml:space="preserve">; </w:t>
      </w:r>
      <w:hyperlink r:id="rId67">
        <w:r>
          <w:rPr>
            <w:color w:val="176B80"/>
            <w:u w:val="single"/>
            <w:sz w:val="18"/>
          </w:rPr>
          <w:t>R099</w:t>
        </w:r>
      </w:hyperlink>
      <w:r>
        <w:rPr>
          <w:sz w:val="18"/>
        </w:rPr>
        <w:t xml:space="preserve">; </w:t>
      </w:r>
      <w:hyperlink r:id="rId74">
        <w:r>
          <w:rPr>
            <w:color w:val="176B80"/>
            <w:u w:val="single"/>
            <w:sz w:val="18"/>
          </w:rPr>
          <w:t>R100</w:t>
        </w:r>
      </w:hyperlink>
      <w:r>
        <w:rPr>
          <w:sz w:val="18"/>
        </w:rPr>
        <w:t>]</w:t>
      </w:r>
    </w:p>
    <w:p>
      <w:r>
        <w:t>Наиболее свободный проверенный слой — конкретные лицензированные санскритские транскрипции, статья-перевод Псху CC BY-NC и неизменяемый NC-перевод Taylor; это не весь изученный корпус. Главные ограничения лежат в современных переводах и реконструкциях, музейных/библиотечных изображениях, собственных условиях проектов и неполной проверке файлов.</w:t>
      </w:r>
      <w:r>
        <w:rPr>
          <w:sz w:val="18"/>
        </w:rPr>
        <w:t xml:space="preserve">  [</w:t>
      </w:r>
      <w:hyperlink r:id="rId11">
        <w:r>
          <w:rPr>
            <w:color w:val="176B80"/>
            <w:u w:val="single"/>
            <w:sz w:val="18"/>
          </w:rPr>
          <w:t>R001</w:t>
        </w:r>
      </w:hyperlink>
      <w:r>
        <w:rPr>
          <w:sz w:val="18"/>
        </w:rPr>
        <w:t xml:space="preserve">; </w:t>
      </w:r>
      <w:hyperlink r:id="rId48">
        <w:r>
          <w:rPr>
            <w:color w:val="176B80"/>
            <w:u w:val="single"/>
            <w:sz w:val="18"/>
          </w:rPr>
          <w:t>R008</w:t>
        </w:r>
      </w:hyperlink>
      <w:r>
        <w:rPr>
          <w:sz w:val="18"/>
        </w:rPr>
        <w:t xml:space="preserve">; </w:t>
      </w:r>
      <w:hyperlink r:id="rId42">
        <w:r>
          <w:rPr>
            <w:color w:val="176B80"/>
            <w:u w:val="single"/>
            <w:sz w:val="18"/>
          </w:rPr>
          <w:t>R058</w:t>
        </w:r>
      </w:hyperlink>
      <w:r>
        <w:rPr>
          <w:sz w:val="18"/>
        </w:rPr>
        <w:t xml:space="preserve">; </w:t>
      </w:r>
      <w:hyperlink r:id="rId57">
        <w:r>
          <w:rPr>
            <w:color w:val="176B80"/>
            <w:u w:val="single"/>
            <w:sz w:val="18"/>
          </w:rPr>
          <w:t>R080</w:t>
        </w:r>
      </w:hyperlink>
      <w:r>
        <w:rPr>
          <w:sz w:val="18"/>
        </w:rPr>
        <w:t xml:space="preserve">; </w:t>
      </w:r>
      <w:hyperlink r:id="rId52">
        <w:r>
          <w:rPr>
            <w:color w:val="176B80"/>
            <w:u w:val="single"/>
            <w:sz w:val="18"/>
          </w:rPr>
          <w:t>R098</w:t>
        </w:r>
      </w:hyperlink>
      <w:r>
        <w:rPr>
          <w:sz w:val="18"/>
        </w:rPr>
        <w:t>]</w:t>
      </w:r>
    </w:p>
    <w:p>
      <w:r>
        <w:t>Пакет пригоден для передачи Codex как исследовательский реестр: 102 записи доступа и 41 конкретный пробел, с разделением слоя, объёма, проверки и прав. Он не является автоматическим списком разрешённых зеркал или полностью выверенной текстовой базой. Следующий этап может нормализовать названия и версии, но должен сохранить provenance, coverage, ограничения лицензий и случаи расхождения источников.</w:t>
      </w:r>
    </w:p>
    <w:p>
      <w:r>
        <w:t>Исходный статус A и исторические границы T2-33 оставлены без изменения. Отчёт и XLSX — отдельные результаты; исходный DR не редактировался.</w:t>
      </w:r>
    </w:p>
    <w:p>
      <w:pPr>
        <w:pStyle w:val="Heading2"/>
      </w:pPr>
      <w:r>
        <w:t>Как читать пакет</w:t>
      </w:r>
    </w:p>
    <w:p>
      <w:r>
        <w:t>Начать с раздела 3 для выбора текста и режима доступа; затем открыть соответствующую R-запись. Перед повторным использованием проверить rights_scope, coverage, own_translation_basis и rights_evidence_url вместе, а не один tos_use. Для незакрытых вопросов использовать G-запись с точным следующим действием. Регистр confidence оценивает обоснованность правового вывода записи, не истинность философского учения.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  <w:t xml:space="preserve">Проверено 04.09.2026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51666F"/>
        <w:sz w:val="16"/>
      </w:rPr>
      <w:t>ДРЕВО СОФИИ  /  CORPUS &amp; RIGHTS  /  T2-33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DejaVu Serif" w:hAnsi="DejaVu Serif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2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23747"/>
      <w:sz w:val="34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23747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23747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23747"/>
      <w:spacing w:val="5"/>
      <w:kern w:val="28"/>
      <w:sz w:val="5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45606A"/>
      <w:spacing w:val="15"/>
      <w:sz w:val="26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69" w:lineRule="auto"/>
    </w:pPr>
    <w:rPr>
      <w:rFonts w:ascii="DejaVu Serif" w:hAnsi="DejaVu Serif"/>
      <w:sz w:val="21"/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/>
      <w:b/>
      <w:bCs/>
      <w:color w:val="51666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retil.sub.uni-goettingen.de/gretil/corpustei/transformations/html/sa_rAmAnuja-bhagavadgItAbhASya.htm" TargetMode="External"/><Relationship Id="rId12" Type="http://schemas.openxmlformats.org/officeDocument/2006/relationships/hyperlink" Target="https://gretil.sub.uni-goettingen.de/gretil/corpustei/transformations/html/sa_rAmAnuja-vedArthasaMgraha.htm" TargetMode="External"/><Relationship Id="rId13" Type="http://schemas.openxmlformats.org/officeDocument/2006/relationships/hyperlink" Target="https://gretil.sub.uni-goettingen.de/gretil/1_sanskr/6_sastra/3_phil/vedanta/rams11pu.htm" TargetMode="External"/><Relationship Id="rId14" Type="http://schemas.openxmlformats.org/officeDocument/2006/relationships/hyperlink" Target="https://search.worldcat.org/title/Agamapramaya-of-Yamunacarya/oclc/3409401" TargetMode="External"/><Relationship Id="rId15" Type="http://schemas.openxmlformats.org/officeDocument/2006/relationships/hyperlink" Target="https://press.uchicago.edu/ucp/books/book/chicago/T/bo3630033.html" TargetMode="External"/><Relationship Id="rId16" Type="http://schemas.openxmlformats.org/officeDocument/2006/relationships/hyperlink" Target="https://acharya.org/bk/eb/stotra/index.html" TargetMode="External"/><Relationship Id="rId17" Type="http://schemas.openxmlformats.org/officeDocument/2006/relationships/hyperlink" Target="https://betaportal.textgrid.d.sub.uni-goettingen.de/browse/49nk8.0" TargetMode="External"/><Relationship Id="rId18" Type="http://schemas.openxmlformats.org/officeDocument/2006/relationships/hyperlink" Target="https://chaukhambabooks.co.in/product/Shri-Pancharatra-Raksha--TEqo4" TargetMode="External"/><Relationship Id="rId19" Type="http://schemas.openxmlformats.org/officeDocument/2006/relationships/hyperlink" Target="https://www.exoticindiaart.com/book/details/nyayasiddhanjanam-of-sri-vedanthacharya-with-english-translation-hbl626/" TargetMode="External"/><Relationship Id="rId20" Type="http://schemas.openxmlformats.org/officeDocument/2006/relationships/hyperlink" Target="https://catalog.hathitrust.org/Record/101743110" TargetMode="External"/><Relationship Id="rId21" Type="http://schemas.openxmlformats.org/officeDocument/2006/relationships/hyperlink" Target="https://royalasiaticcollections.org/south-indian-sanskrit-ms-083-whish-ms-83satadu%E1%B9%A3a%E1%B9%87i/" TargetMode="External"/><Relationship Id="rId22" Type="http://schemas.openxmlformats.org/officeDocument/2006/relationships/hyperlink" Target="https://www.exoticindiaart.com/book/details/shrimad-rahasya-traya-sara-old-and-rare-book-set-of-2-volumes-hcc505/" TargetMode="External"/><Relationship Id="rId23" Type="http://schemas.openxmlformats.org/officeDocument/2006/relationships/hyperlink" Target="https://gretil.sub.uni-goettingen.de/gretil/corpustei/transformations/html/sa_mAdhva-anuvyAkhyAna.htm" TargetMode="External"/><Relationship Id="rId24" Type="http://schemas.openxmlformats.org/officeDocument/2006/relationships/hyperlink" Target="https://gretil.sub.uni-goettingen.de/gretil/corpustei/transformations/html/sa_mAdhva-mahAbhAratatAtparyanirNaya.htm" TargetMode="External"/><Relationship Id="rId25" Type="http://schemas.openxmlformats.org/officeDocument/2006/relationships/hyperlink" Target="https://gretil.sub.uni-goettingen.de/gretil/corpustei/transformations/html/sa_jayatIrtha-nyAyasudhA.htm" TargetMode="External"/><Relationship Id="rId26" Type="http://schemas.openxmlformats.org/officeDocument/2006/relationships/hyperlink" Target="https://dvaitavedanta.in/category-details/14473/563/satara/2-anav/parath/parath" TargetMode="External"/><Relationship Id="rId27" Type="http://schemas.openxmlformats.org/officeDocument/2006/relationships/hyperlink" Target="https://dvaitavedanta.in/category-details/14078/14076/itahas/2-shar/malma/parath" TargetMode="External"/><Relationship Id="rId28" Type="http://schemas.openxmlformats.org/officeDocument/2006/relationships/hyperlink" Target="https://dvaitavedanta.in/category-details/1142/562/satara/1-brah/parath/parath/jajani" TargetMode="External"/><Relationship Id="rId29" Type="http://schemas.openxmlformats.org/officeDocument/2006/relationships/hyperlink" Target="https://dvaitavedanta.in/category-details/14406/921/sharat/1-riga/parath/managa" TargetMode="External"/><Relationship Id="rId30" Type="http://schemas.openxmlformats.org/officeDocument/2006/relationships/hyperlink" Target="https://dvaitavedanta.in/category-details/10778/10775/parana/sharam/parath/parath" TargetMode="External"/><Relationship Id="rId31" Type="http://schemas.openxmlformats.org/officeDocument/2006/relationships/hyperlink" Target="https://dvaitavedanta.in/category-details/14026/938/thasha/2-kath/malma" TargetMode="External"/><Relationship Id="rId32" Type="http://schemas.openxmlformats.org/officeDocument/2006/relationships/hyperlink" Target="https://dvaitavedanta.in/category-details/4826/944/thasha/8-vash/mal/parath" TargetMode="External"/><Relationship Id="rId33" Type="http://schemas.openxmlformats.org/officeDocument/2006/relationships/hyperlink" Target="https://dvaitavedanta.in/category-details/14142/923/itahas/1-yama/malma" TargetMode="External"/><Relationship Id="rId34" Type="http://schemas.openxmlformats.org/officeDocument/2006/relationships/hyperlink" Target="https://gretil.sub.uni-goettingen.de/gretil/1_sanskr/4_rellit/vaisn/mdhvkmou.htm" TargetMode="External"/><Relationship Id="rId35" Type="http://schemas.openxmlformats.org/officeDocument/2006/relationships/hyperlink" Target="https://www.srimatham.com/uploads/5/5/4/9/5549439/srivacanabhusana.pdf" TargetMode="External"/><Relationship Id="rId36" Type="http://schemas.openxmlformats.org/officeDocument/2006/relationships/hyperlink" Target="https://www.srimatham.com/uploads/5/5/4/9/5549439/prapanna_parijata.pdf" TargetMode="External"/><Relationship Id="rId37" Type="http://schemas.openxmlformats.org/officeDocument/2006/relationships/hyperlink" Target="https://www.projectmadurai.org/pm_etexts/utf8/pmuni0008_02.html" TargetMode="External"/><Relationship Id="rId38" Type="http://schemas.openxmlformats.org/officeDocument/2006/relationships/hyperlink" Target="https://granthams.koyil.org/thathva-thrayam-commentary-english/" TargetMode="External"/><Relationship Id="rId39" Type="http://schemas.openxmlformats.org/officeDocument/2006/relationships/hyperlink" Target="https://granthams.koyil.org/acharya-hrudhayam-english/" TargetMode="External"/><Relationship Id="rId40" Type="http://schemas.openxmlformats.org/officeDocument/2006/relationships/hyperlink" Target="https://granthams.koyil.org/mumukshuppadi-english/" TargetMode="External"/><Relationship Id="rId41" Type="http://schemas.openxmlformats.org/officeDocument/2006/relationships/hyperlink" Target="https://taraprakashana.org/sarvamoola-grantha/" TargetMode="External"/><Relationship Id="rId42" Type="http://schemas.openxmlformats.org/officeDocument/2006/relationships/hyperlink" Target="https://searcharchives.bl.uk/catalog/040-004311431" TargetMode="External"/><Relationship Id="rId43" Type="http://schemas.openxmlformats.org/officeDocument/2006/relationships/hyperlink" Target="https://archive.org/details/in.ernet.dli.2015.313613" TargetMode="External"/><Relationship Id="rId44" Type="http://schemas.openxmlformats.org/officeDocument/2006/relationships/hyperlink" Target="https://archive.org/details/tattvatika015532mbp" TargetMode="External"/><Relationship Id="rId45" Type="http://schemas.openxmlformats.org/officeDocument/2006/relationships/hyperlink" Target="https://royalasiaticcollections.org/whish-south-indian-sanskrit-ms-229sribha%E1%B9%A3ya/" TargetMode="External"/><Relationship Id="rId46" Type="http://schemas.openxmlformats.org/officeDocument/2006/relationships/hyperlink" Target="https://gretil.sub.uni-goettingen.de/gretil/corpustei/transformations/html/sa_yAmuna-Atmasiddhi.htm" TargetMode="External"/><Relationship Id="rId47" Type="http://schemas.openxmlformats.org/officeDocument/2006/relationships/hyperlink" Target="https://gretil.sub.uni-goettingen.de/gretil/corpustei/transformations/html/sa_yAmuna-Izvarasiddhi.htm" TargetMode="External"/><Relationship Id="rId48" Type="http://schemas.openxmlformats.org/officeDocument/2006/relationships/hyperlink" Target="https://gretil.sub.uni-goettingen.de/gretil/corpustei/transformations/html/sa_yAmuna-saMvitsiddhi.htm" TargetMode="External"/><Relationship Id="rId49" Type="http://schemas.openxmlformats.org/officeDocument/2006/relationships/hyperlink" Target="https://gretil.sub.uni-goettingen.de/gretil/corpustei/transformations/html/sa_yAmuna-gItArthasaMgraha.htm" TargetMode="External"/><Relationship Id="rId50" Type="http://schemas.openxmlformats.org/officeDocument/2006/relationships/hyperlink" Target="https://gretil.sub.uni-goettingen.de/gretil/corpustei/transformations/html/sa_yAmuna-catuHzlokI.htm" TargetMode="External"/><Relationship Id="rId51" Type="http://schemas.openxmlformats.org/officeDocument/2006/relationships/hyperlink" Target="https://gretil.sub.uni-goettingen.de/gretil/corpustei/transformations/html/sa_yAmuna-stotraratna.htm" TargetMode="External"/><Relationship Id="rId52" Type="http://schemas.openxmlformats.org/officeDocument/2006/relationships/hyperlink" Target="https://journals.rudn.ru/philosophy/article/view/11633" TargetMode="External"/><Relationship Id="rId53" Type="http://schemas.openxmlformats.org/officeDocument/2006/relationships/hyperlink" Target="https://www.projectmadurai.org/pm_etexts/utf8/pmuni0008_01.html" TargetMode="External"/><Relationship Id="rId54" Type="http://schemas.openxmlformats.org/officeDocument/2006/relationships/hyperlink" Target="https://gretil.sub.uni-goettingen.de/gretil/corpustei/transformations/html/sa_nArAyaNIya.htm" TargetMode="External"/><Relationship Id="rId55" Type="http://schemas.openxmlformats.org/officeDocument/2006/relationships/hyperlink" Target="https://gretil.sub.uni-goettingen.de/gretil/corpustei/transformations/html/sa_bhAgavatapurANa.htm" TargetMode="External"/><Relationship Id="rId56" Type="http://schemas.openxmlformats.org/officeDocument/2006/relationships/hyperlink" Target="https://gretil.sub.uni-goettingen.de/gretil/corpustei/transformations/html/sa_viSvaksenasaMhitA.htm" TargetMode="External"/><Relationship Id="rId57" Type="http://schemas.openxmlformats.org/officeDocument/2006/relationships/hyperlink" Target="https://press.anu.edu.au/publications/textbooks/visnu-purana" TargetMode="External"/><Relationship Id="rId58" Type="http://schemas.openxmlformats.org/officeDocument/2006/relationships/hyperlink" Target="https://gretil.sub.uni-goettingen.de/gretil/corpustei/transformations/html/sa_bAdarAyaNa-brahmasUtra.htm" TargetMode="External"/><Relationship Id="rId59" Type="http://schemas.openxmlformats.org/officeDocument/2006/relationships/hyperlink" Target="https://books.google.com/books/about/Laksmi_Tantra.html?id=pENlKmZ4r94C" TargetMode="External"/><Relationship Id="rId60" Type="http://schemas.openxmlformats.org/officeDocument/2006/relationships/hyperlink" Target="https://catalog.hathitrust.org/Record/012155539" TargetMode="External"/><Relationship Id="rId61" Type="http://schemas.openxmlformats.org/officeDocument/2006/relationships/hyperlink" Target="https://dvaitavedanta.in/category-details/13901/4778/sharav/nayaya/parath/managa" TargetMode="External"/><Relationship Id="rId62" Type="http://schemas.openxmlformats.org/officeDocument/2006/relationships/hyperlink" Target="https://dvaitavedanta.in/category-details/11066/4779/sharav/tatapa/managa" TargetMode="External"/><Relationship Id="rId63" Type="http://schemas.openxmlformats.org/officeDocument/2006/relationships/hyperlink" Target="https://dvaitavedanta.in/category-details/12781/12778/sharav/bhatha/bhatha/bhatha" TargetMode="External"/><Relationship Id="rId64" Type="http://schemas.openxmlformats.org/officeDocument/2006/relationships/hyperlink" Target="https://dvaitavedanta.in/category-details/10498/10497/samath/samath/parath" TargetMode="External"/><Relationship Id="rId65" Type="http://schemas.openxmlformats.org/officeDocument/2006/relationships/hyperlink" Target="https://dvaitavedanta.in/category-details/17443/17436/sharam/yakata/ganaes/managa" TargetMode="External"/><Relationship Id="rId66" Type="http://schemas.openxmlformats.org/officeDocument/2006/relationships/hyperlink" Target="https://books.koyil.org/2021/12/10/mumukshupadi-text-and-commentary-english/" TargetMode="External"/><Relationship Id="rId67" Type="http://schemas.openxmlformats.org/officeDocument/2006/relationships/hyperlink" Target="https://sadrabooks.ru/product/%D0%B2%D0%B8%D1%88%D0%B8%D1%88%D1%82%D0%B0/" TargetMode="External"/><Relationship Id="rId68" Type="http://schemas.openxmlformats.org/officeDocument/2006/relationships/hyperlink" Target="https://vedabase.io/en/library/cc/madhya/8/73/" TargetMode="External"/><Relationship Id="rId69" Type="http://schemas.openxmlformats.org/officeDocument/2006/relationships/hyperlink" Target="https://www.gutenberg.org/ebooks/7297" TargetMode="External"/><Relationship Id="rId70" Type="http://schemas.openxmlformats.org/officeDocument/2006/relationships/hyperlink" Target="https://virasat.dcpune.ac.in/jspui/handle/123456789/52693?etal=0&amp;frontend=frontend&amp;frontend=frontend&amp;order=desc&amp;query=%5Bquery%3D&amp;rpp=20&amp;searchWord=&amp;sort_by=dc.date.accessioned_dt&amp;start=0%5D" TargetMode="External"/><Relationship Id="rId71" Type="http://schemas.openxmlformats.org/officeDocument/2006/relationships/hyperlink" Target="https://www.srimatham.com/uploads/5/5/4/9/5549439/gita_bhashya_abr.pdf" TargetMode="External"/><Relationship Id="rId72" Type="http://schemas.openxmlformats.org/officeDocument/2006/relationships/hyperlink" Target="https://shop.advaitaashrama.org/products/sri-ramanuja-gita-bhashya/1237499000010771539" TargetMode="External"/><Relationship Id="rId73" Type="http://schemas.openxmlformats.org/officeDocument/2006/relationships/hyperlink" Target="https://play.google.com/store/books/details/Sri_Ramanuja_Gita_Bhasya?hl=es&amp;id=KF5mEAAAQBAJ" TargetMode="External"/><Relationship Id="rId74" Type="http://schemas.openxmlformats.org/officeDocument/2006/relationships/hyperlink" Target="https://rusneb.ru/catalog/000200_000018_RU_NLR_BIBL_A_012625842/" TargetMode="External"/><Relationship Id="rId75" Type="http://schemas.openxmlformats.org/officeDocument/2006/relationships/hyperlink" Target="https://dvaitavedanta.in/category-details/15031/564/satara/3-naya/taka-t/parath/parath" TargetMode="External"/><Relationship Id="rId76" Type="http://schemas.openxmlformats.org/officeDocument/2006/relationships/hyperlink" Target="https://dvaitavedanta.in/category-details/14989/565/satara/4-brah/malma/parath" TargetMode="External"/><Relationship Id="rId77" Type="http://schemas.openxmlformats.org/officeDocument/2006/relationships/hyperlink" Target="https://dvaitavedanta.in/category-details/14165/926/upanas/2-kath/malma/parath/parath" TargetMode="External"/><Relationship Id="rId78" Type="http://schemas.openxmlformats.org/officeDocument/2006/relationships/hyperlink" Target="https://dvaitavedanta.in/category-details/14061/945/thasha/9-kara/malma" TargetMode="External"/><Relationship Id="rId79" Type="http://schemas.openxmlformats.org/officeDocument/2006/relationships/hyperlink" Target="https://dvaitavedanta.in/category-details/4438/4433/sharaj/parama/parata/managa" TargetMode="External"/><Relationship Id="rId80" Type="http://schemas.openxmlformats.org/officeDocument/2006/relationships/hyperlink" Target="https://dvaitavedanta.in/category-details/9011/4434/sharaj/vathav/vathav/managa" TargetMode="External"/><Relationship Id="rId81" Type="http://schemas.openxmlformats.org/officeDocument/2006/relationships/hyperlink" Target="https://madhva.in/gita_bhashya/gita_bhashya_ltocd.html" TargetMode="External"/><Relationship Id="rId82" Type="http://schemas.openxmlformats.org/officeDocument/2006/relationships/hyperlink" Target="https://madhva.in/tatvasankhyanam/tatvasankhyanam_01d.html" TargetMode="External"/><Relationship Id="rId83" Type="http://schemas.openxmlformats.org/officeDocument/2006/relationships/hyperlink" Target="https://madhva.in/tatvadyotam/tatvadyotam_01d.html" TargetMode="External"/><Relationship Id="rId84" Type="http://schemas.openxmlformats.org/officeDocument/2006/relationships/hyperlink" Target="https://madhva.in/krishnamruta/krishnamruta_01d.html" TargetMode="External"/><Relationship Id="rId85" Type="http://schemas.openxmlformats.org/officeDocument/2006/relationships/hyperlink" Target="https://nageshsonde.com/bhagavad_gita_book.html" TargetMode="External"/><Relationship Id="rId86" Type="http://schemas.openxmlformats.org/officeDocument/2006/relationships/hyperlink" Target="https://nageshsonde.com/Sri_Madhva_Mandukya_Upanishad.html" TargetMode="External"/><Relationship Id="rId87" Type="http://schemas.openxmlformats.org/officeDocument/2006/relationships/hyperlink" Target="https://rmrl.in/en/onlinecat/114017/raksha-granthas-(incl.)-nikshepa-raksha,-sachcharita-raksha,-sri-pancharatra-raksha-(with-sri-bhagavad-ramanuha's-nityagrantha)-and-gitarthasangraha-sangraha-raksha" TargetMode="External"/><Relationship Id="rId88" Type="http://schemas.openxmlformats.org/officeDocument/2006/relationships/hyperlink" Target="https://divyaprabandham.koyil.org/index.php/thiruvaimozhi/" TargetMode="External"/><Relationship Id="rId89" Type="http://schemas.openxmlformats.org/officeDocument/2006/relationships/hyperlink" Target="https://www.projectmadurai.org/pm_etexts/utf8/pmuni0007.html" TargetMode="External"/><Relationship Id="rId90" Type="http://schemas.openxmlformats.org/officeDocument/2006/relationships/hyperlink" Target="https://www.projectmadurai.org/pm_etexts/utf8/pmuni0013.html" TargetMode="External"/><Relationship Id="rId91" Type="http://schemas.openxmlformats.org/officeDocument/2006/relationships/hyperlink" Target="https://www.projectmadurai.org/pm_etexts/utf8/pmuni0512_01.html" TargetMode="External"/><Relationship Id="rId92" Type="http://schemas.openxmlformats.org/officeDocument/2006/relationships/hyperlink" Target="https://www.projectmadurai.org/pm_etexts/pdf/pm0621_eng.pdf" TargetMode="External"/><Relationship Id="rId93" Type="http://schemas.openxmlformats.org/officeDocument/2006/relationships/hyperlink" Target="https://www.projectmadurai.org/pm_etexts/pdf/pm0623_eng.pdf" TargetMode="External"/><Relationship Id="rId94" Type="http://schemas.openxmlformats.org/officeDocument/2006/relationships/hyperlink" Target="https://creativecommons.org/licenses/by-nc/4.0/" TargetMode="External"/><Relationship Id="rId95" Type="http://schemas.openxmlformats.org/officeDocument/2006/relationships/hyperlink" Target="https://dvaitavedanta.in/" TargetMode="External"/><Relationship Id="rId96" Type="http://schemas.openxmlformats.org/officeDocument/2006/relationships/hyperlink" Target="https://koyil.org/index.php/te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T2-33</dc:title>
  <dc:subject>Вишиштадвайта, Двайта и теистические веданты: корпус, доступ, права</dc:subject>
  <dc:creator>ToS / Древо Софии</dc:creator>
  <cp:keywords>T2-33; Rāmānuja; Madhva; corpus; rights; access</cp:keywords>
  <dc:description>Research-first protocol v4.3.1. Отдельный отчёт; исходный DR не изменён.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