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ToS Corpus &amp; Rights Registry</w:t>
      </w:r>
    </w:p>
    <w:p>
      <w:pPr>
        <w:pStyle w:val="Subtitle"/>
      </w:pPr>
      <w:r>
        <w:t>T2-30  /  Позднесредневековый гуманистико-аристотелевский переход</w:t>
      </w:r>
    </w:p>
    <w:p>
      <w:pPr>
        <w:pStyle w:val="Caption"/>
      </w:pPr>
      <w:r>
        <w:t>71 путь доступа  •  около 50 произведений и укрупнённых корпусных единиц  •  34 записи о пробелах</w:t>
      </w:r>
    </w:p>
    <w:p>
      <w:r>
        <w:t>Главный результат — сочетание свободных исторических факсимиле и небольшого, но проверенного машиночитаемого слоя. Современные критические издания сохранены как самостоятельные научные входы, даже когда они доступны только через издателя или учреждение. Непроверенные файловые оболочки не выданы за прочитанные полные тексты.</w:t>
      </w:r>
    </w:p>
    <w:p>
      <w:pPr>
        <w:pStyle w:val="Heading1"/>
      </w:pPr>
      <w:r>
        <w:t>1. Паспорт</w:t>
      </w:r>
    </w:p>
    <w:tbl>
      <w:tblPr>
        <w:tblW w:type="auto" w:w="0"/>
        <w:jc w:val="center"/>
        <w:tblLayout w:type="fixed"/>
        <w:tblLook w:firstColumn="1" w:firstRow="1" w:lastColumn="0" w:lastRow="0" w:noHBand="0" w:noVBand="1" w:val="04A0"/>
      </w:tblPr>
      <w:tblGrid>
        <w:gridCol w:w="2268"/>
        <w:gridCol w:w="7370"/>
      </w:tblGrid>
      <w:tr>
        <w:trPr>
          <w:tblHeader/>
          <w:cantSplit/>
        </w:trPr>
        <w:tc>
          <w:tcPr>
            <w:tcW w:type="dxa" w:w="2268"/>
            <w:vAlign w:val="top"/>
            <w:shd w:fill="173E54"/>
            <w:tcMar>
              <w:top w:w="90" w:type="dxa"/>
              <w:left w:w="90" w:type="dxa"/>
              <w:bottom w:w="90" w:type="dxa"/>
              <w:right w:w="90" w:type="dxa"/>
            </w:tcMar>
          </w:tcPr>
          <w:p>
            <w:pPr>
              <w:spacing w:after="40" w:line="252" w:lineRule="auto"/>
            </w:pPr>
            <w:r>
              <w:rPr>
                <w:b/>
                <w:color w:val="FFFFFF"/>
                <w:sz w:val="19"/>
              </w:rPr>
              <w:t>Параметр</w:t>
            </w:r>
          </w:p>
        </w:tc>
        <w:tc>
          <w:tcPr>
            <w:tcW w:type="dxa" w:w="7370"/>
            <w:vAlign w:val="top"/>
            <w:shd w:fill="173E54"/>
            <w:tcMar>
              <w:top w:w="90" w:type="dxa"/>
              <w:left w:w="90" w:type="dxa"/>
              <w:bottom w:w="90" w:type="dxa"/>
              <w:right w:w="90" w:type="dxa"/>
            </w:tcMar>
          </w:tcPr>
          <w:p>
            <w:pPr>
              <w:spacing w:after="40" w:line="252" w:lineRule="auto"/>
            </w:pPr>
            <w:r>
              <w:rPr>
                <w:b/>
                <w:color w:val="FFFFFF"/>
                <w:sz w:val="19"/>
              </w:rPr>
              <w:t>Значение</w:t>
            </w:r>
          </w:p>
        </w:tc>
      </w:tr>
      <w:tr>
        <w:trPr>
          <w:cantSplit/>
        </w:trPr>
        <w:tc>
          <w:tcPr>
            <w:tcW w:type="dxa" w:w="2268"/>
            <w:vAlign w:val="top"/>
            <w:shd w:fill="EEF4F7"/>
            <w:tcMar>
              <w:top w:w="90" w:type="dxa"/>
              <w:left w:w="90" w:type="dxa"/>
              <w:bottom w:w="90" w:type="dxa"/>
              <w:right w:w="90" w:type="dxa"/>
            </w:tcMar>
          </w:tcPr>
          <w:p>
            <w:pPr>
              <w:spacing w:after="40" w:line="252" w:lineRule="auto"/>
            </w:pPr>
            <w:r>
              <w:rPr>
                <w:sz w:val="19"/>
              </w:rPr>
              <w:t>Каноническая строка</w:t>
            </w:r>
          </w:p>
        </w:tc>
        <w:tc>
          <w:tcPr>
            <w:tcW w:type="dxa" w:w="7370"/>
            <w:vAlign w:val="top"/>
            <w:shd w:fill="EEF4F7"/>
            <w:tcMar>
              <w:top w:w="90" w:type="dxa"/>
              <w:left w:w="90" w:type="dxa"/>
              <w:bottom w:w="90" w:type="dxa"/>
              <w:right w:w="90" w:type="dxa"/>
            </w:tcMar>
          </w:tcPr>
          <w:p>
            <w:pPr>
              <w:spacing w:after="40" w:line="252" w:lineRule="auto"/>
            </w:pPr>
            <w:r>
              <w:rPr>
                <w:sz w:val="19"/>
              </w:rPr>
              <w:t>T2-30. Исходный статус A; уверенность 4/5. Статус и ID не изменены.</w:t>
            </w:r>
          </w:p>
        </w:tc>
      </w:tr>
      <w:tr>
        <w:trPr>
          <w:cantSplit/>
        </w:trPr>
        <w:tc>
          <w:tcPr>
            <w:tcW w:type="dxa" w:w="2268"/>
            <w:vAlign w:val="top"/>
            <w:shd w:fill="FFFFFF"/>
            <w:tcMar>
              <w:top w:w="90" w:type="dxa"/>
              <w:left w:w="90" w:type="dxa"/>
              <w:bottom w:w="90" w:type="dxa"/>
              <w:right w:w="90" w:type="dxa"/>
            </w:tcMar>
          </w:tcPr>
          <w:p>
            <w:pPr>
              <w:spacing w:after="40" w:line="252" w:lineRule="auto"/>
            </w:pPr>
            <w:r>
              <w:rPr>
                <w:sz w:val="19"/>
              </w:rPr>
              <w:t>Исторический фокус</w:t>
            </w:r>
          </w:p>
        </w:tc>
        <w:tc>
          <w:tcPr>
            <w:tcW w:type="dxa" w:w="7370"/>
            <w:vAlign w:val="top"/>
            <w:shd w:fill="FFFFFF"/>
            <w:tcMar>
              <w:top w:w="90" w:type="dxa"/>
              <w:left w:w="90" w:type="dxa"/>
              <w:bottom w:w="90" w:type="dxa"/>
              <w:right w:w="90" w:type="dxa"/>
            </w:tcMar>
          </w:tcPr>
          <w:p>
            <w:pPr>
              <w:spacing w:after="40" w:line="252" w:lineRule="auto"/>
            </w:pPr>
            <w:r>
              <w:rPr>
                <w:sz w:val="19"/>
              </w:rPr>
              <w:t>Формирование и письменная передача: XIV–XV вв.; канонизация и комментарий: XV–XVI вв. Падуя — ядро; Венеция и греко-латинские переводческие связи — основные каналы.</w:t>
            </w:r>
          </w:p>
        </w:tc>
      </w:tr>
      <w:tr>
        <w:trPr>
          <w:cantSplit/>
        </w:trPr>
        <w:tc>
          <w:tcPr>
            <w:tcW w:type="dxa" w:w="2268"/>
            <w:vAlign w:val="top"/>
            <w:shd w:fill="EEF4F7"/>
            <w:tcMar>
              <w:top w:w="90" w:type="dxa"/>
              <w:left w:w="90" w:type="dxa"/>
              <w:bottom w:w="90" w:type="dxa"/>
              <w:right w:w="90" w:type="dxa"/>
            </w:tcMar>
          </w:tcPr>
          <w:p>
            <w:pPr>
              <w:spacing w:after="40" w:line="252" w:lineRule="auto"/>
            </w:pPr>
            <w:r>
              <w:rPr>
                <w:sz w:val="19"/>
              </w:rPr>
              <w:t>Исходный документ</w:t>
            </w:r>
          </w:p>
        </w:tc>
        <w:tc>
          <w:tcPr>
            <w:tcW w:type="dxa" w:w="7370"/>
            <w:vAlign w:val="top"/>
            <w:shd w:fill="EEF4F7"/>
            <w:tcMar>
              <w:top w:w="90" w:type="dxa"/>
              <w:left w:w="90" w:type="dxa"/>
              <w:bottom w:w="90" w:type="dxa"/>
              <w:right w:w="90" w:type="dxa"/>
            </w:tcMar>
          </w:tcPr>
          <w:p>
            <w:pPr>
              <w:spacing w:after="40" w:line="252" w:lineRule="auto"/>
            </w:pPr>
            <w:r>
              <w:rPr>
                <w:sz w:val="19"/>
              </w:rPr>
              <w:t>ToS Deep Research_ T2-30 — Позднесредневековый гуманистико-аристотелевский переход(1).docx</w:t>
            </w:r>
          </w:p>
        </w:tc>
      </w:tr>
      <w:tr>
        <w:trPr>
          <w:cantSplit/>
        </w:trPr>
        <w:tc>
          <w:tcPr>
            <w:tcW w:type="dxa" w:w="2268"/>
            <w:vAlign w:val="top"/>
            <w:shd w:fill="FFFFFF"/>
            <w:tcMar>
              <w:top w:w="90" w:type="dxa"/>
              <w:left w:w="90" w:type="dxa"/>
              <w:bottom w:w="90" w:type="dxa"/>
              <w:right w:w="90" w:type="dxa"/>
            </w:tcMar>
          </w:tcPr>
          <w:p>
            <w:pPr>
              <w:spacing w:after="40" w:line="252" w:lineRule="auto"/>
            </w:pPr>
            <w:r>
              <w:rPr>
                <w:sz w:val="19"/>
              </w:rPr>
              <w:t>Дата проверки</w:t>
            </w:r>
          </w:p>
        </w:tc>
        <w:tc>
          <w:tcPr>
            <w:tcW w:type="dxa" w:w="7370"/>
            <w:vAlign w:val="top"/>
            <w:shd w:fill="FFFFFF"/>
            <w:tcMar>
              <w:top w:w="90" w:type="dxa"/>
              <w:left w:w="90" w:type="dxa"/>
              <w:bottom w:w="90" w:type="dxa"/>
              <w:right w:w="90" w:type="dxa"/>
            </w:tcMar>
          </w:tcPr>
          <w:p>
            <w:pPr>
              <w:spacing w:after="40" w:line="252" w:lineRule="auto"/>
            </w:pPr>
            <w:r>
              <w:rPr>
                <w:sz w:val="19"/>
              </w:rPr>
              <w:t>4 сентября 2026 года. Проверка означает зафиксированный уровень доступности страницы или файла, а не постоянную гарантию работы сервиса.</w:t>
            </w:r>
          </w:p>
        </w:tc>
      </w:tr>
      <w:tr>
        <w:trPr>
          <w:cantSplit/>
        </w:trPr>
        <w:tc>
          <w:tcPr>
            <w:tcW w:type="dxa" w:w="2268"/>
            <w:vAlign w:val="top"/>
            <w:shd w:fill="EEF4F7"/>
            <w:tcMar>
              <w:top w:w="90" w:type="dxa"/>
              <w:left w:w="90" w:type="dxa"/>
              <w:bottom w:w="90" w:type="dxa"/>
              <w:right w:w="90" w:type="dxa"/>
            </w:tcMar>
          </w:tcPr>
          <w:p>
            <w:pPr>
              <w:spacing w:after="40" w:line="252" w:lineRule="auto"/>
            </w:pPr>
            <w:r>
              <w:rPr>
                <w:sz w:val="19"/>
              </w:rPr>
              <w:t>Состав пакета</w:t>
            </w:r>
          </w:p>
        </w:tc>
        <w:tc>
          <w:tcPr>
            <w:tcW w:type="dxa" w:w="7370"/>
            <w:vAlign w:val="top"/>
            <w:shd w:fill="EEF4F7"/>
            <w:tcMar>
              <w:top w:w="90" w:type="dxa"/>
              <w:left w:w="90" w:type="dxa"/>
              <w:bottom w:w="90" w:type="dxa"/>
              <w:right w:w="90" w:type="dxa"/>
            </w:tcMar>
          </w:tcPr>
          <w:p>
            <w:pPr>
              <w:spacing w:after="40" w:line="252" w:lineRule="auto"/>
            </w:pPr>
            <w:r>
              <w:rPr>
                <w:sz w:val="19"/>
              </w:rPr>
              <w:t>XLSX: registry — 32 заданных поля, 71 запись; gaps — 34 адресных пробела. DOCX: аналитический путеводитель по тем же результатам.</w:t>
            </w:r>
          </w:p>
        </w:tc>
      </w:tr>
    </w:tbl>
    <w:p>
      <w:r>
        <w:t>Основа инвентаризации — разделы исходного DR «Корпуса, тексты и артефакты-якоря» и «Первичные источники и корпуса» (в предоставленном представлении: с. 10–15 и 41–44). Историческая рамка, исходные авторы и названия взяты оттуда; новые цифровые входы, состав конкретных изданий и правовые выводы получены отдельным веб-поиском. Графы, YAML и будущие задания внутри DR не выполнялись.</w:t>
      </w:r>
    </w:p>
    <w:p>
      <w:r>
        <w:t>Поиск велся на русском и английском, на языках учреждений — итальянском, испанском, немецком и, точечно, французском; использовались латинские заглавия, греческие имена и варианты транслитерации. Искались произведения, сборники, рукописи, инкунабулы, позднейшие издания и переводы, цифровые тексты, факсимиле, наборы XML, каталоги и действующие сервисы доступа.</w:t>
      </w:r>
    </w:p>
    <w:p>
      <w:r>
        <w:t>Для доступа приоритет отдавался item-level карточкам библиотек, e-rara, университетским коллекциям, издателям и официальным цифровым проектам. Для идентификации использовались шифры, DOI, ISBN, CTS, библиотечные и научные каталоги; для прав — уведомления конкретного объекта, заголовки XML и применимые условия учреждения. Академический список SIEPM использован как вход к старопечатным файлам, но не как универсальная лицензия на их распространение.</w:t>
      </w:r>
      <w:r>
        <w:t xml:space="preserve"> </w:t>
      </w:r>
      <w:hyperlink r:id="rId11">
        <w:r>
          <w:rPr>
            <w:color w:val="17647E"/>
            <w:u w:val="single"/>
          </w:rPr>
          <w:t>[R021]</w:t>
        </w:r>
      </w:hyperlink>
      <w:r>
        <w:t xml:space="preserve"> · </w:t>
      </w:r>
      <w:hyperlink r:id="rId12">
        <w:r>
          <w:rPr>
            <w:color w:val="17647E"/>
            <w:u w:val="single"/>
          </w:rPr>
          <w:t>[R022]</w:t>
        </w:r>
      </w:hyperlink>
      <w:r>
        <w:t xml:space="preserve"> · </w:t>
      </w:r>
      <w:hyperlink r:id="rId13">
        <w:r>
          <w:rPr>
            <w:color w:val="17647E"/>
            <w:u w:val="single"/>
          </w:rPr>
          <w:t>[R023]</w:t>
        </w:r>
      </w:hyperlink>
      <w:r>
        <w:t xml:space="preserve"> · </w:t>
      </w:r>
      <w:hyperlink r:id="rId14">
        <w:r>
          <w:rPr>
            <w:color w:val="17647E"/>
            <w:u w:val="single"/>
          </w:rPr>
          <w:t>[R046]</w:t>
        </w:r>
      </w:hyperlink>
      <w:r>
        <w:t xml:space="preserve"> · </w:t>
      </w:r>
      <w:hyperlink r:id="rId15">
        <w:r>
          <w:rPr>
            <w:color w:val="17647E"/>
            <w:u w:val="single"/>
          </w:rPr>
          <w:t>[R047]</w:t>
        </w:r>
      </w:hyperlink>
      <w:r>
        <w:t xml:space="preserve"> · </w:t>
      </w:r>
      <w:hyperlink r:id="rId16">
        <w:r>
          <w:rPr>
            <w:color w:val="17647E"/>
            <w:u w:val="single"/>
          </w:rPr>
          <w:t>[R062]</w:t>
        </w:r>
      </w:hyperlink>
      <w:r>
        <w:t xml:space="preserve"> · </w:t>
      </w:r>
      <w:hyperlink r:id="rId17">
        <w:r>
          <w:rPr>
            <w:color w:val="17647E"/>
            <w:u w:val="single"/>
          </w:rPr>
          <w:t>[R063]</w:t>
        </w:r>
      </w:hyperlink>
    </w:p>
    <w:p>
      <w:r>
        <w:t>Слабые указатели не заменяли подтверждение. Два показательных unverified_candidate сохранены в gaps: предполагаемый греческий свидетель Paris. gr. 2042 и конкретизация грамматического корпуса Халкокондила в падуанской линии. Их item-level идентификация или прямая связь ещё недостаточны. Ссылок на Wikipedia в реестре и отчёте нет.</w:t>
      </w:r>
    </w:p>
    <w:p>
      <w:pPr>
        <w:pStyle w:val="Caption"/>
      </w:pPr>
      <w:r>
        <w:t>Ссылки вида [R022] кликабельны и обозначают запись T2-30-R022 в XLSX; там находятся полные URL, версии, объём, доказательства прав и оговорки. Лучший путь ниже означает лучший среди проверенных в этом запуске, а не окончательный рейтинг всех существующих изданий.</w:t>
      </w:r>
    </w:p>
    <w:p>
      <w:pPr>
        <w:pStyle w:val="Heading1"/>
      </w:pPr>
      <w:r>
        <w:t>2. Охват корпуса</w:t>
      </w:r>
    </w:p>
    <w:p>
      <w:pPr>
        <w:pStyle w:val="Heading2"/>
      </w:pPr>
      <w:r>
        <w:t>2.1. Ядро из DR и добавления веб-поиска</w:t>
      </w:r>
    </w:p>
    <w:p>
      <w:r>
        <w:t>Ядро составляют не биографии гуманистов, а несколько текстовых слоёв: средневековый Aristoteles Latinus; греческий Аристотель; логика и комментарии Павла Венецианского; переводы Бруни и Аргиропула; quaestiones Верниа; греческое собрание Виссариона и альдинская печать; работы Томео и ранняя падуанская линия Помпонацци. Для учебного формата сохранена отдельная рукопись Auctoritates. Ни один из этих крупных блоков не исчез из пакета: труднодоступные части получили адресные записи в gaps.</w:t>
      </w:r>
    </w:p>
    <w:p>
      <w:r>
        <w:t>Веб-поиск добавил конкретные экземпляры переводов Аргиропула, раннюю печать Бруни, рукопись Logica parva LJS 56, редакцию физического комментария Бёрли с участием Верниа, произведения Павла из Перголы и комментарий Джироламо Менго к Павлу. Гуманистическая линия расширена за счёт Lamia Полициано, Вальи, Петрарки и полемики Альфонсо де Картахены с Бруни. Это прямые текстовые или жанровые связи, а не расширение до всей истории Возрождения.</w:t>
      </w:r>
      <w:r>
        <w:t xml:space="preserve"> </w:t>
      </w:r>
      <w:hyperlink r:id="rId18">
        <w:r>
          <w:rPr>
            <w:color w:val="17647E"/>
            <w:u w:val="single"/>
          </w:rPr>
          <w:t>[R001]</w:t>
        </w:r>
      </w:hyperlink>
      <w:r>
        <w:t xml:space="preserve"> · </w:t>
      </w:r>
      <w:hyperlink r:id="rId19">
        <w:r>
          <w:rPr>
            <w:color w:val="17647E"/>
            <w:u w:val="single"/>
          </w:rPr>
          <w:t>[R003]</w:t>
        </w:r>
      </w:hyperlink>
      <w:r>
        <w:t xml:space="preserve"> · </w:t>
      </w:r>
      <w:hyperlink r:id="rId20">
        <w:r>
          <w:rPr>
            <w:color w:val="17647E"/>
            <w:u w:val="single"/>
          </w:rPr>
          <w:t>[R004]</w:t>
        </w:r>
      </w:hyperlink>
      <w:r>
        <w:t xml:space="preserve"> · </w:t>
      </w:r>
      <w:hyperlink r:id="rId21">
        <w:r>
          <w:rPr>
            <w:color w:val="17647E"/>
            <w:u w:val="single"/>
          </w:rPr>
          <w:t>[R005]</w:t>
        </w:r>
      </w:hyperlink>
      <w:r>
        <w:t xml:space="preserve"> · </w:t>
      </w:r>
      <w:hyperlink r:id="rId22">
        <w:r>
          <w:rPr>
            <w:color w:val="17647E"/>
            <w:u w:val="single"/>
          </w:rPr>
          <w:t>[R007]</w:t>
        </w:r>
      </w:hyperlink>
      <w:r>
        <w:t xml:space="preserve"> · </w:t>
      </w:r>
      <w:hyperlink r:id="rId23">
        <w:r>
          <w:rPr>
            <w:color w:val="17647E"/>
            <w:u w:val="single"/>
          </w:rPr>
          <w:t>[R024]</w:t>
        </w:r>
      </w:hyperlink>
      <w:r>
        <w:t xml:space="preserve"> · </w:t>
      </w:r>
      <w:hyperlink r:id="rId24">
        <w:r>
          <w:rPr>
            <w:color w:val="17647E"/>
            <w:u w:val="single"/>
          </w:rPr>
          <w:t>[R025]</w:t>
        </w:r>
      </w:hyperlink>
      <w:r>
        <w:t xml:space="preserve"> · </w:t>
      </w:r>
      <w:hyperlink r:id="rId25">
        <w:r>
          <w:rPr>
            <w:color w:val="17647E"/>
            <w:u w:val="single"/>
          </w:rPr>
          <w:t>[R026]</w:t>
        </w:r>
      </w:hyperlink>
      <w:r>
        <w:t xml:space="preserve"> · </w:t>
      </w:r>
      <w:hyperlink r:id="rId26">
        <w:r>
          <w:rPr>
            <w:color w:val="17647E"/>
            <w:u w:val="single"/>
          </w:rPr>
          <w:t>[R027]</w:t>
        </w:r>
      </w:hyperlink>
      <w:r>
        <w:t xml:space="preserve"> · </w:t>
      </w:r>
      <w:hyperlink r:id="rId14">
        <w:r>
          <w:rPr>
            <w:color w:val="17647E"/>
            <w:u w:val="single"/>
          </w:rPr>
          <w:t>[R046]</w:t>
        </w:r>
      </w:hyperlink>
      <w:r>
        <w:t xml:space="preserve"> · </w:t>
      </w:r>
      <w:hyperlink r:id="rId27">
        <w:r>
          <w:rPr>
            <w:color w:val="17647E"/>
            <w:u w:val="single"/>
          </w:rPr>
          <w:t>[R056]</w:t>
        </w:r>
      </w:hyperlink>
      <w:r>
        <w:t xml:space="preserve"> · </w:t>
      </w:r>
      <w:hyperlink r:id="rId28">
        <w:r>
          <w:rPr>
            <w:color w:val="17647E"/>
            <w:u w:val="single"/>
          </w:rPr>
          <w:t>[R057]</w:t>
        </w:r>
      </w:hyperlink>
      <w:r>
        <w:t xml:space="preserve"> · </w:t>
      </w:r>
      <w:hyperlink r:id="rId29">
        <w:r>
          <w:rPr>
            <w:color w:val="17647E"/>
            <w:u w:val="single"/>
          </w:rPr>
          <w:t>[R067]</w:t>
        </w:r>
      </w:hyperlink>
      <w:r>
        <w:t xml:space="preserve"> · </w:t>
      </w:r>
      <w:hyperlink r:id="rId30">
        <w:r>
          <w:rPr>
            <w:color w:val="17647E"/>
            <w:u w:val="single"/>
          </w:rPr>
          <w:t>[R068]</w:t>
        </w:r>
      </w:hyperlink>
    </w:p>
    <w:p>
      <w:r>
        <w:t>Для греко-латинского перехода особенно существенны два дополнения: сборник переводов Теодора Газы 1513 года и парафразы Фемистия/псевдо-Фемистия в переводе Эрмолао Барбаро, включая свободное факсимиле 1533 года. Они добавляют конкретные переводческие ветви, а не просто другие книги об Аристотеле. Поздняя дата печати не понижает их значимость для передачи материала XV века.</w:t>
      </w:r>
      <w:r>
        <w:t xml:space="preserve"> </w:t>
      </w:r>
      <w:hyperlink r:id="rId31">
        <w:r>
          <w:rPr>
            <w:color w:val="17647E"/>
            <w:u w:val="single"/>
          </w:rPr>
          <w:t>[R065]</w:t>
        </w:r>
      </w:hyperlink>
      <w:r>
        <w:t xml:space="preserve"> · </w:t>
      </w:r>
      <w:hyperlink r:id="rId32">
        <w:r>
          <w:rPr>
            <w:color w:val="17647E"/>
            <w:u w:val="single"/>
          </w:rPr>
          <w:t>[R066]</w:t>
        </w:r>
      </w:hyperlink>
      <w:r>
        <w:t xml:space="preserve"> · </w:t>
      </w:r>
      <w:hyperlink r:id="rId33">
        <w:r>
          <w:rPr>
            <w:color w:val="17647E"/>
            <w:u w:val="single"/>
          </w:rPr>
          <w:t>[R071]</w:t>
        </w:r>
      </w:hyperlink>
    </w:p>
    <w:p>
      <w:pPr>
        <w:pStyle w:val="Heading2"/>
      </w:pPr>
      <w:r>
        <w:t>2.2. Поиск назад: входящие тексты и комментаторы</w:t>
      </w:r>
    </w:p>
    <w:p>
      <w:r>
        <w:t>Античный Аристотель включён как предмет реального перевода и университетского комментирования. Более ранний латинский слой представлен Боэцием, переводами Вильгельма из Мёрбеке и Роберта Гроссетеста. ALD и серия Corpus Latinum Commentariorum in Aristotelem Graecorum позволяют различить эти версии; они не заменены неопределённым «латинским Аристотелем». Древний греческий комментарий и средневековый перевод рассматриваются как разные слои одного маршрута передачи.</w:t>
      </w:r>
      <w:r>
        <w:t xml:space="preserve"> </w:t>
      </w:r>
      <w:hyperlink r:id="rId34">
        <w:r>
          <w:rPr>
            <w:color w:val="17647E"/>
            <w:u w:val="single"/>
          </w:rPr>
          <w:t>[R006]</w:t>
        </w:r>
      </w:hyperlink>
      <w:r>
        <w:t xml:space="preserve"> · </w:t>
      </w:r>
      <w:hyperlink r:id="rId11">
        <w:r>
          <w:rPr>
            <w:color w:val="17647E"/>
            <w:u w:val="single"/>
          </w:rPr>
          <w:t>[R021]</w:t>
        </w:r>
      </w:hyperlink>
      <w:r>
        <w:t xml:space="preserve"> · </w:t>
      </w:r>
      <w:hyperlink r:id="rId35">
        <w:r>
          <w:rPr>
            <w:color w:val="17647E"/>
            <w:u w:val="single"/>
          </w:rPr>
          <w:t>[R033]</w:t>
        </w:r>
      </w:hyperlink>
      <w:r>
        <w:t xml:space="preserve"> · </w:t>
      </w:r>
      <w:hyperlink r:id="rId36">
        <w:r>
          <w:rPr>
            <w:color w:val="17647E"/>
            <w:u w:val="single"/>
          </w:rPr>
          <w:t>[R034]</w:t>
        </w:r>
      </w:hyperlink>
      <w:r>
        <w:t xml:space="preserve"> · </w:t>
      </w:r>
      <w:hyperlink r:id="rId37">
        <w:r>
          <w:rPr>
            <w:color w:val="17647E"/>
            <w:u w:val="single"/>
          </w:rPr>
          <w:t>[R035]</w:t>
        </w:r>
      </w:hyperlink>
      <w:r>
        <w:t xml:space="preserve"> · </w:t>
      </w:r>
      <w:hyperlink r:id="rId17">
        <w:r>
          <w:rPr>
            <w:color w:val="17647E"/>
            <w:u w:val="single"/>
          </w:rPr>
          <w:t>[R063]</w:t>
        </w:r>
      </w:hyperlink>
    </w:p>
    <w:p>
      <w:r>
        <w:t>Фемистий, Симпликий и Александр Афродисийский включены потому, что их толкования логики, души и природы входят в комментаторский набор, с которым работает переходная традиция. Проверенные греческие XML дают «Категории», парафраз «О душе» Фемистия, комментарий Симпликия к «Категориям», De anima и De mixtione Александра. Это пять файлов в одной записи набора, а не заявление о полном цифровом издании всех комментаторов.</w:t>
      </w:r>
      <w:r>
        <w:t xml:space="preserve"> </w:t>
      </w:r>
      <w:hyperlink r:id="rId15">
        <w:r>
          <w:rPr>
            <w:color w:val="17647E"/>
            <w:u w:val="single"/>
          </w:rPr>
          <w:t>[R047]</w:t>
        </w:r>
      </w:hyperlink>
    </w:p>
    <w:p>
      <w:r>
        <w:t>Для спора об интеллекте сохранены Большой комментарий Аверроэса к De anima и De unitate intellectus Фомы. Для логической проблематики — Summulae Буридана и Insolubilia Сегрейва. Сегрейв обозначает конкретную оксфордскую семантическую и парадоксальную проблематику; его включение не означает, что в этом запуске доказана прямая зависимость каждого трактата Павла от него. Оккам остаётся адресным пробелом: чистая цифровая основа Summa logicae не установлена.</w:t>
      </w:r>
      <w:r>
        <w:t xml:space="preserve"> </w:t>
      </w:r>
      <w:hyperlink r:id="rId38">
        <w:r>
          <w:rPr>
            <w:color w:val="17647E"/>
            <w:u w:val="single"/>
          </w:rPr>
          <w:t>[R017]</w:t>
        </w:r>
      </w:hyperlink>
      <w:r>
        <w:t xml:space="preserve"> · </w:t>
      </w:r>
      <w:hyperlink r:id="rId39">
        <w:r>
          <w:rPr>
            <w:color w:val="17647E"/>
            <w:u w:val="single"/>
          </w:rPr>
          <w:t>[R051]</w:t>
        </w:r>
      </w:hyperlink>
      <w:r>
        <w:t xml:space="preserve"> · </w:t>
      </w:r>
      <w:hyperlink r:id="rId40">
        <w:r>
          <w:rPr>
            <w:color w:val="17647E"/>
            <w:u w:val="single"/>
          </w:rPr>
          <w:t>[R052]</w:t>
        </w:r>
      </w:hyperlink>
      <w:r>
        <w:t xml:space="preserve"> · </w:t>
      </w:r>
      <w:hyperlink r:id="rId41">
        <w:r>
          <w:rPr>
            <w:color w:val="17647E"/>
            <w:u w:val="single"/>
          </w:rPr>
          <w:t>[R053]</w:t>
        </w:r>
      </w:hyperlink>
    </w:p>
    <w:p>
      <w:r>
        <w:t>Петрарка присутствует через De sui ipsius et multorum ignorantia в составе Invectives — как предшествующая критика аристотелевской учёности, а не как весь авторский литературный корпус. Так соблюдена граница между входящей гуманистической полемикой и общей библиографией гуманизма.</w:t>
      </w:r>
      <w:r>
        <w:t xml:space="preserve"> </w:t>
      </w:r>
      <w:hyperlink r:id="rId28">
        <w:r>
          <w:rPr>
            <w:color w:val="17647E"/>
            <w:u w:val="single"/>
          </w:rPr>
          <w:t>[R057]</w:t>
        </w:r>
      </w:hyperlink>
    </w:p>
    <w:p>
      <w:pPr>
        <w:pStyle w:val="Heading2"/>
      </w:pPr>
      <w:r>
        <w:t>2.3. Поиск вперёд: продолжения и сохранение</w:t>
      </w:r>
    </w:p>
    <w:p>
      <w:r>
        <w:t>Издания XVI века сохранены там, где они передают более ранний материал или непосредственно развивают проблематику строки. Это печатная жизнь переводов Бруни и Аргиропула, текстов Гаэтано, сборники Виссариона, Барбаро и Томео. Современные издания Bruni De interpretatione recta и Controversia Alphonsiana представляют линию сохранения и научной идентификации, а не новые произведения XV века.</w:t>
      </w:r>
      <w:r>
        <w:t xml:space="preserve"> </w:t>
      </w:r>
      <w:hyperlink r:id="rId19">
        <w:r>
          <w:rPr>
            <w:color w:val="17647E"/>
            <w:u w:val="single"/>
          </w:rPr>
          <w:t>[R003]</w:t>
        </w:r>
      </w:hyperlink>
      <w:r>
        <w:t xml:space="preserve"> · </w:t>
      </w:r>
      <w:hyperlink r:id="rId20">
        <w:r>
          <w:rPr>
            <w:color w:val="17647E"/>
            <w:u w:val="single"/>
          </w:rPr>
          <w:t>[R004]</w:t>
        </w:r>
      </w:hyperlink>
      <w:r>
        <w:t xml:space="preserve"> · </w:t>
      </w:r>
      <w:hyperlink r:id="rId21">
        <w:r>
          <w:rPr>
            <w:color w:val="17647E"/>
            <w:u w:val="single"/>
          </w:rPr>
          <w:t>[R005]</w:t>
        </w:r>
      </w:hyperlink>
      <w:r>
        <w:t xml:space="preserve"> · </w:t>
      </w:r>
      <w:hyperlink r:id="rId42">
        <w:r>
          <w:rPr>
            <w:color w:val="17647E"/>
            <w:u w:val="single"/>
          </w:rPr>
          <w:t>[R008]</w:t>
        </w:r>
      </w:hyperlink>
      <w:r>
        <w:t xml:space="preserve"> · </w:t>
      </w:r>
      <w:hyperlink r:id="rId43">
        <w:r>
          <w:rPr>
            <w:color w:val="17647E"/>
            <w:u w:val="single"/>
          </w:rPr>
          <w:t>[R019]</w:t>
        </w:r>
      </w:hyperlink>
      <w:r>
        <w:t xml:space="preserve"> · </w:t>
      </w:r>
      <w:hyperlink r:id="rId13">
        <w:r>
          <w:rPr>
            <w:color w:val="17647E"/>
            <w:u w:val="single"/>
          </w:rPr>
          <w:t>[R023]</w:t>
        </w:r>
      </w:hyperlink>
      <w:r>
        <w:t xml:space="preserve"> · </w:t>
      </w:r>
      <w:hyperlink r:id="rId44">
        <w:r>
          <w:rPr>
            <w:color w:val="17647E"/>
            <w:u w:val="single"/>
          </w:rPr>
          <w:t>[R040]</w:t>
        </w:r>
      </w:hyperlink>
      <w:r>
        <w:t xml:space="preserve"> · </w:t>
      </w:r>
      <w:hyperlink r:id="rId45">
        <w:r>
          <w:rPr>
            <w:color w:val="17647E"/>
            <w:u w:val="single"/>
          </w:rPr>
          <w:t>[R041]</w:t>
        </w:r>
      </w:hyperlink>
      <w:r>
        <w:t xml:space="preserve"> · </w:t>
      </w:r>
      <w:hyperlink r:id="rId46">
        <w:r>
          <w:rPr>
            <w:color w:val="17647E"/>
            <w:u w:val="single"/>
          </w:rPr>
          <w:t>[R042]</w:t>
        </w:r>
      </w:hyperlink>
      <w:r>
        <w:t xml:space="preserve"> · </w:t>
      </w:r>
      <w:hyperlink r:id="rId47">
        <w:r>
          <w:rPr>
            <w:color w:val="17647E"/>
            <w:u w:val="single"/>
          </w:rPr>
          <w:t>[R043]</w:t>
        </w:r>
      </w:hyperlink>
      <w:r>
        <w:t xml:space="preserve"> · </w:t>
      </w:r>
      <w:hyperlink r:id="rId48">
        <w:r>
          <w:rPr>
            <w:color w:val="17647E"/>
            <w:u w:val="single"/>
          </w:rPr>
          <w:t>[R044]</w:t>
        </w:r>
      </w:hyperlink>
      <w:r>
        <w:t xml:space="preserve"> · </w:t>
      </w:r>
      <w:hyperlink r:id="rId49">
        <w:r>
          <w:rPr>
            <w:color w:val="17647E"/>
            <w:u w:val="single"/>
          </w:rPr>
          <w:t>[R045]</w:t>
        </w:r>
      </w:hyperlink>
      <w:r>
        <w:t xml:space="preserve"> · </w:t>
      </w:r>
      <w:hyperlink r:id="rId31">
        <w:r>
          <w:rPr>
            <w:color w:val="17647E"/>
            <w:u w:val="single"/>
          </w:rPr>
          <w:t>[R065]</w:t>
        </w:r>
      </w:hyperlink>
      <w:r>
        <w:t xml:space="preserve"> · </w:t>
      </w:r>
      <w:hyperlink r:id="rId32">
        <w:r>
          <w:rPr>
            <w:color w:val="17647E"/>
            <w:u w:val="single"/>
          </w:rPr>
          <w:t>[R066]</w:t>
        </w:r>
      </w:hyperlink>
      <w:r>
        <w:t xml:space="preserve"> · </w:t>
      </w:r>
      <w:hyperlink r:id="rId30">
        <w:r>
          <w:rPr>
            <w:color w:val="17647E"/>
            <w:u w:val="single"/>
          </w:rPr>
          <w:t>[R068]</w:t>
        </w:r>
      </w:hyperlink>
      <w:r>
        <w:t xml:space="preserve"> · </w:t>
      </w:r>
      <w:hyperlink r:id="rId50">
        <w:r>
          <w:rPr>
            <w:color w:val="17647E"/>
            <w:u w:val="single"/>
          </w:rPr>
          <w:t>[R070]</w:t>
        </w:r>
      </w:hyperlink>
    </w:p>
    <w:p>
      <w:r>
        <w:t>Помпонацци включён не только как преподаватель до 1500 года. De immortalitate animae, Apologia, Defensorium, De fato, De incantationibus, Dubitationes к Meteorologica и поздние лекционные тексты входят как продолжение той же падуанской проблематики. Нифо представлен трактатом об интеллекте, толкованием Averroes De animae beatitudine и комментарием De anima. Прямой ответ Нифо на трактат Помпонацци о бессмертии отдельно оставлен в gaps, а не исключён за дату 1518 года.</w:t>
      </w:r>
      <w:r>
        <w:t xml:space="preserve"> </w:t>
      </w:r>
      <w:hyperlink r:id="rId51">
        <w:r>
          <w:rPr>
            <w:color w:val="17647E"/>
            <w:u w:val="single"/>
          </w:rPr>
          <w:t>[R028]</w:t>
        </w:r>
      </w:hyperlink>
      <w:r>
        <w:t xml:space="preserve"> · </w:t>
      </w:r>
      <w:hyperlink r:id="rId52">
        <w:r>
          <w:rPr>
            <w:color w:val="17647E"/>
            <w:u w:val="single"/>
          </w:rPr>
          <w:t>[R029]</w:t>
        </w:r>
      </w:hyperlink>
      <w:r>
        <w:t xml:space="preserve"> · </w:t>
      </w:r>
      <w:hyperlink r:id="rId53">
        <w:r>
          <w:rPr>
            <w:color w:val="17647E"/>
            <w:u w:val="single"/>
          </w:rPr>
          <w:t>[R030]</w:t>
        </w:r>
      </w:hyperlink>
      <w:r>
        <w:t xml:space="preserve"> · </w:t>
      </w:r>
      <w:hyperlink r:id="rId54">
        <w:r>
          <w:rPr>
            <w:color w:val="17647E"/>
            <w:u w:val="single"/>
          </w:rPr>
          <w:t>[R031]</w:t>
        </w:r>
      </w:hyperlink>
      <w:r>
        <w:t xml:space="preserve"> · </w:t>
      </w:r>
      <w:hyperlink r:id="rId55">
        <w:r>
          <w:rPr>
            <w:color w:val="17647E"/>
            <w:u w:val="single"/>
          </w:rPr>
          <w:t>[R032]</w:t>
        </w:r>
      </w:hyperlink>
      <w:r>
        <w:t xml:space="preserve"> · </w:t>
      </w:r>
      <w:hyperlink r:id="rId56">
        <w:r>
          <w:rPr>
            <w:color w:val="17647E"/>
            <w:u w:val="single"/>
          </w:rPr>
          <w:t>[R038]</w:t>
        </w:r>
      </w:hyperlink>
      <w:r>
        <w:t xml:space="preserve"> · </w:t>
      </w:r>
      <w:hyperlink r:id="rId57">
        <w:r>
          <w:rPr>
            <w:color w:val="17647E"/>
            <w:u w:val="single"/>
          </w:rPr>
          <w:t>[R039]</w:t>
        </w:r>
      </w:hyperlink>
    </w:p>
    <w:p>
      <w:r>
        <w:t>Виссарион включён через конкретные полемические и переводческие сборники: In calumniatorem Platonis, Correctio, De natura et arte, переводы «Метафизики». Причина — греко-латинская работа над авторитетом Аристотеля и передачей текста; самостоятельная история всего ренессансного платонизма здесь не строилась. Для рукописного собрания Виссариона item-level покрытие остаётся слабее, чем для печатных книг.</w:t>
      </w:r>
      <w:r>
        <w:t xml:space="preserve"> </w:t>
      </w:r>
      <w:hyperlink r:id="rId44">
        <w:r>
          <w:rPr>
            <w:color w:val="17647E"/>
            <w:u w:val="single"/>
          </w:rPr>
          <w:t>[R040]</w:t>
        </w:r>
      </w:hyperlink>
      <w:r>
        <w:t xml:space="preserve"> · </w:t>
      </w:r>
      <w:hyperlink r:id="rId45">
        <w:r>
          <w:rPr>
            <w:color w:val="17647E"/>
            <w:u w:val="single"/>
          </w:rPr>
          <w:t>[R041]</w:t>
        </w:r>
      </w:hyperlink>
      <w:r>
        <w:t xml:space="preserve"> · </w:t>
      </w:r>
      <w:hyperlink r:id="rId50">
        <w:r>
          <w:rPr>
            <w:color w:val="17647E"/>
            <w:u w:val="single"/>
          </w:rPr>
          <w:t>[R070]</w:t>
        </w:r>
      </w:hyperlink>
    </w:p>
    <w:p>
      <w:pPr>
        <w:pStyle w:val="Heading2"/>
      </w:pPr>
      <w:r>
        <w:t>2.4. Что означают количественные итоги</w:t>
      </w:r>
    </w:p>
    <w:p>
      <w:r>
        <w:t>71 запись — это 71 практически различимый маршрут к версии, свидетелю, сборнику или сервису. Это не 71 бесплатно прочитанное произведение. При укрупнённом ручном счёте получено около 50 первичных произведений и корпусных единиц в 14 семействах. Аристотель считается одним корпусом, повторные переводы не умножают число его произведений; антология Auctoritates и корпус полемики Картахены также считаются по одной единице. Внутренние тексты сборников учитываются содержательно, но не превращены в отдельные фиктивные загрузки.</w:t>
      </w:r>
    </w:p>
    <w:tbl>
      <w:tblPr>
        <w:tblW w:type="auto" w:w="0"/>
        <w:jc w:val="center"/>
        <w:tblLayout w:type="fixed"/>
        <w:tblLook w:firstColumn="1" w:firstRow="1" w:lastColumn="0" w:lastRow="0" w:noHBand="0" w:noVBand="1" w:val="04A0"/>
      </w:tblPr>
      <w:tblGrid>
        <w:gridCol w:w="7370"/>
        <w:gridCol w:w="2268"/>
      </w:tblGrid>
      <w:tr>
        <w:trPr>
          <w:tblHeader/>
          <w:cantSplit/>
        </w:trPr>
        <w:tc>
          <w:tcPr>
            <w:tcW w:type="dxa" w:w="7370"/>
            <w:vAlign w:val="top"/>
            <w:shd w:fill="173E54"/>
            <w:tcMar>
              <w:top w:w="90" w:type="dxa"/>
              <w:left w:w="90" w:type="dxa"/>
              <w:bottom w:w="90" w:type="dxa"/>
              <w:right w:w="90" w:type="dxa"/>
            </w:tcMar>
          </w:tcPr>
          <w:p>
            <w:pPr>
              <w:spacing w:after="40" w:line="252" w:lineRule="auto"/>
            </w:pPr>
            <w:r>
              <w:rPr>
                <w:b/>
                <w:color w:val="FFFFFF"/>
                <w:sz w:val="19"/>
              </w:rPr>
              <w:t>Семейство</w:t>
            </w:r>
          </w:p>
        </w:tc>
        <w:tc>
          <w:tcPr>
            <w:tcW w:type="dxa" w:w="2268"/>
            <w:vAlign w:val="top"/>
            <w:shd w:fill="173E54"/>
            <w:tcMar>
              <w:top w:w="90" w:type="dxa"/>
              <w:left w:w="90" w:type="dxa"/>
              <w:bottom w:w="90" w:type="dxa"/>
              <w:right w:w="90" w:type="dxa"/>
            </w:tcMar>
          </w:tcPr>
          <w:p>
            <w:pPr>
              <w:spacing w:after="40" w:line="252" w:lineRule="auto"/>
            </w:pPr>
            <w:r>
              <w:rPr>
                <w:b/>
                <w:color w:val="FFFFFF"/>
                <w:sz w:val="19"/>
              </w:rPr>
              <w:t>Укрупнённый счёт</w:t>
            </w:r>
          </w:p>
        </w:tc>
      </w:tr>
      <w:tr>
        <w:trPr>
          <w:cantSplit/>
        </w:trPr>
        <w:tc>
          <w:tcPr>
            <w:tcW w:type="dxa" w:w="7370"/>
            <w:vAlign w:val="top"/>
            <w:shd w:fill="EEF4F7"/>
            <w:tcMar>
              <w:top w:w="90" w:type="dxa"/>
              <w:left w:w="90" w:type="dxa"/>
              <w:bottom w:w="90" w:type="dxa"/>
              <w:right w:w="90" w:type="dxa"/>
            </w:tcMar>
          </w:tcPr>
          <w:p>
            <w:pPr>
              <w:spacing w:after="40" w:line="252" w:lineRule="auto"/>
            </w:pPr>
            <w:r>
              <w:rPr>
                <w:sz w:val="19"/>
              </w:rPr>
              <w:t>Аристотель; Павел Венецианский; собственные трактаты Бруни</w:t>
            </w:r>
          </w:p>
        </w:tc>
        <w:tc>
          <w:tcPr>
            <w:tcW w:type="dxa" w:w="2268"/>
            <w:vAlign w:val="top"/>
            <w:shd w:fill="EEF4F7"/>
            <w:tcMar>
              <w:top w:w="90" w:type="dxa"/>
              <w:left w:w="90" w:type="dxa"/>
              <w:bottom w:w="90" w:type="dxa"/>
              <w:right w:w="90" w:type="dxa"/>
            </w:tcMar>
          </w:tcPr>
          <w:p>
            <w:pPr>
              <w:spacing w:after="40" w:line="252" w:lineRule="auto"/>
            </w:pPr>
            <w:r>
              <w:rPr>
                <w:sz w:val="19"/>
              </w:rPr>
              <w:t>1 + 9 + 2</w:t>
            </w:r>
          </w:p>
        </w:tc>
      </w:tr>
      <w:tr>
        <w:trPr>
          <w:cantSplit/>
        </w:trPr>
        <w:tc>
          <w:tcPr>
            <w:tcW w:type="dxa" w:w="7370"/>
            <w:vAlign w:val="top"/>
            <w:shd w:fill="FFFFFF"/>
            <w:tcMar>
              <w:top w:w="90" w:type="dxa"/>
              <w:left w:w="90" w:type="dxa"/>
              <w:bottom w:w="90" w:type="dxa"/>
              <w:right w:w="90" w:type="dxa"/>
            </w:tcMar>
          </w:tcPr>
          <w:p>
            <w:pPr>
              <w:spacing w:after="40" w:line="252" w:lineRule="auto"/>
            </w:pPr>
            <w:r>
              <w:rPr>
                <w:sz w:val="19"/>
              </w:rPr>
              <w:t>Логика и гуманистическая полемика; Бёрли, Верниа и Гаэтано</w:t>
            </w:r>
          </w:p>
        </w:tc>
        <w:tc>
          <w:tcPr>
            <w:tcW w:type="dxa" w:w="2268"/>
            <w:vAlign w:val="top"/>
            <w:shd w:fill="FFFFFF"/>
            <w:tcMar>
              <w:top w:w="90" w:type="dxa"/>
              <w:left w:w="90" w:type="dxa"/>
              <w:bottom w:w="90" w:type="dxa"/>
              <w:right w:w="90" w:type="dxa"/>
            </w:tcMar>
          </w:tcPr>
          <w:p>
            <w:pPr>
              <w:spacing w:after="40" w:line="252" w:lineRule="auto"/>
            </w:pPr>
            <w:r>
              <w:rPr>
                <w:sz w:val="19"/>
              </w:rPr>
              <w:t>8 + 6</w:t>
            </w:r>
          </w:p>
        </w:tc>
      </w:tr>
      <w:tr>
        <w:trPr>
          <w:cantSplit/>
        </w:trPr>
        <w:tc>
          <w:tcPr>
            <w:tcW w:type="dxa" w:w="7370"/>
            <w:vAlign w:val="top"/>
            <w:shd w:fill="EEF4F7"/>
            <w:tcMar>
              <w:top w:w="90" w:type="dxa"/>
              <w:left w:w="90" w:type="dxa"/>
              <w:bottom w:w="90" w:type="dxa"/>
              <w:right w:w="90" w:type="dxa"/>
            </w:tcMar>
          </w:tcPr>
          <w:p>
            <w:pPr>
              <w:spacing w:after="40" w:line="252" w:lineRule="auto"/>
            </w:pPr>
            <w:r>
              <w:rPr>
                <w:sz w:val="19"/>
              </w:rPr>
              <w:t>Нифо; Помпонацци</w:t>
            </w:r>
          </w:p>
        </w:tc>
        <w:tc>
          <w:tcPr>
            <w:tcW w:type="dxa" w:w="2268"/>
            <w:vAlign w:val="top"/>
            <w:shd w:fill="EEF4F7"/>
            <w:tcMar>
              <w:top w:w="90" w:type="dxa"/>
              <w:left w:w="90" w:type="dxa"/>
              <w:bottom w:w="90" w:type="dxa"/>
              <w:right w:w="90" w:type="dxa"/>
            </w:tcMar>
          </w:tcPr>
          <w:p>
            <w:pPr>
              <w:spacing w:after="40" w:line="252" w:lineRule="auto"/>
            </w:pPr>
            <w:r>
              <w:rPr>
                <w:sz w:val="19"/>
              </w:rPr>
              <w:t>3 + 7</w:t>
            </w:r>
          </w:p>
        </w:tc>
      </w:tr>
      <w:tr>
        <w:trPr>
          <w:cantSplit/>
        </w:trPr>
        <w:tc>
          <w:tcPr>
            <w:tcW w:type="dxa" w:w="7370"/>
            <w:vAlign w:val="top"/>
            <w:shd w:fill="FFFFFF"/>
            <w:tcMar>
              <w:top w:w="90" w:type="dxa"/>
              <w:left w:w="90" w:type="dxa"/>
              <w:bottom w:w="90" w:type="dxa"/>
              <w:right w:w="90" w:type="dxa"/>
            </w:tcMar>
          </w:tcPr>
          <w:p>
            <w:pPr>
              <w:spacing w:after="40" w:line="252" w:lineRule="auto"/>
            </w:pPr>
            <w:r>
              <w:rPr>
                <w:sz w:val="19"/>
              </w:rPr>
              <w:t>Греческие комментаторы; Аверроэс и Фома</w:t>
            </w:r>
          </w:p>
        </w:tc>
        <w:tc>
          <w:tcPr>
            <w:tcW w:type="dxa" w:w="2268"/>
            <w:vAlign w:val="top"/>
            <w:shd w:fill="FFFFFF"/>
            <w:tcMar>
              <w:top w:w="90" w:type="dxa"/>
              <w:left w:w="90" w:type="dxa"/>
              <w:bottom w:w="90" w:type="dxa"/>
              <w:right w:w="90" w:type="dxa"/>
            </w:tcMar>
          </w:tcPr>
          <w:p>
            <w:pPr>
              <w:spacing w:after="40" w:line="252" w:lineRule="auto"/>
            </w:pPr>
            <w:r>
              <w:rPr>
                <w:sz w:val="19"/>
              </w:rPr>
              <w:t>5 + 2</w:t>
            </w:r>
          </w:p>
        </w:tc>
      </w:tr>
      <w:tr>
        <w:trPr>
          <w:cantSplit/>
        </w:trPr>
        <w:tc>
          <w:tcPr>
            <w:tcW w:type="dxa" w:w="7370"/>
            <w:vAlign w:val="top"/>
            <w:shd w:fill="EEF4F7"/>
            <w:tcMar>
              <w:top w:w="90" w:type="dxa"/>
              <w:left w:w="90" w:type="dxa"/>
              <w:bottom w:w="90" w:type="dxa"/>
              <w:right w:w="90" w:type="dxa"/>
            </w:tcMar>
          </w:tcPr>
          <w:p>
            <w:pPr>
              <w:spacing w:after="40" w:line="252" w:lineRule="auto"/>
            </w:pPr>
            <w:r>
              <w:rPr>
                <w:sz w:val="19"/>
              </w:rPr>
              <w:t>Auctoritates; Виссарион; Томео; Теофраст; Controversia Alphonsiana</w:t>
            </w:r>
          </w:p>
        </w:tc>
        <w:tc>
          <w:tcPr>
            <w:tcW w:type="dxa" w:w="2268"/>
            <w:vAlign w:val="top"/>
            <w:shd w:fill="EEF4F7"/>
            <w:tcMar>
              <w:top w:w="90" w:type="dxa"/>
              <w:left w:w="90" w:type="dxa"/>
              <w:bottom w:w="90" w:type="dxa"/>
              <w:right w:w="90" w:type="dxa"/>
            </w:tcMar>
          </w:tcPr>
          <w:p>
            <w:pPr>
              <w:spacing w:after="40" w:line="252" w:lineRule="auto"/>
            </w:pPr>
            <w:r>
              <w:rPr>
                <w:sz w:val="19"/>
              </w:rPr>
              <w:t>1 + 3 + 1 + 1 + 1</w:t>
            </w:r>
          </w:p>
        </w:tc>
      </w:tr>
    </w:tbl>
    <w:p>
      <w:r>
        <w:t>Такой счёт полезен для оценки охвата, но не заменяет будущую дедупликацию произведений и версий. Проверенная цифровая полнота ниже библиографического охвата: 18 ссылок SIEPM открылись лишь как именованные файловые оболочки. В XLSX они консервативно помечены metadata_only, coverage=unknown; предполагаемый бесплатный PDF-путь сохранён в ссылке и примечании.</w:t>
      </w:r>
      <w:r>
        <w:t xml:space="preserve"> </w:t>
      </w:r>
      <w:hyperlink r:id="rId16">
        <w:r>
          <w:rPr>
            <w:color w:val="17647E"/>
            <w:u w:val="single"/>
          </w:rPr>
          <w:t>[R062]</w:t>
        </w:r>
      </w:hyperlink>
    </w:p>
    <w:p>
      <w:r>
        <w:t>По полю relevance: core — 29 маршрутов, same_corpus_or_tradition — 5, antecedent — 9, continuation — 8, commentary_or_reception — 5, transmission_or_preservation — 11, infrastructure — 3, secondary_navigation — 1. Отдельные supporting и boundary записи искусственно не создавались: полезные пограничные связи описаны в примечаниях и gaps. Дата XVI века сама по себе не превращала прямое продолжение в малозначимый соседний объект.</w:t>
      </w:r>
    </w:p>
    <w:p>
      <w:pPr>
        <w:pStyle w:val="Heading1"/>
      </w:pPr>
      <w:r>
        <w:t>3. Лучшие пути доступа</w:t>
      </w:r>
    </w:p>
    <w:p>
      <w:pPr>
        <w:pStyle w:val="Heading2"/>
      </w:pPr>
      <w:r>
        <w:t>3.1. Аристотель: греческий текст и конкурирующие латинские версии</w:t>
      </w:r>
    </w:p>
    <w:p>
      <w:r>
        <w:t>Основной свободный греческий вход — альдинское собрание 1495–1498 годов в e-rara: пять частей в шести переплётах, единая карточка комплекта, Public Domain Mark 1.0. Доступны просмотр и кнопка общего PDF; суммарный файл составляет примерно 921 MB. В registry сохранён официальный IIIF manifest. Состав именно этой альдины не приравнен ко всему современному аристотелевскому канону; постраничная колляция комплекта не выполнялась.</w:t>
      </w:r>
      <w:r>
        <w:t xml:space="preserve"> </w:t>
      </w:r>
      <w:hyperlink r:id="rId12">
        <w:r>
          <w:rPr>
            <w:color w:val="17647E"/>
            <w:u w:val="single"/>
          </w:rPr>
          <w:t>[R022]</w:t>
        </w:r>
      </w:hyperlink>
    </w:p>
    <w:p>
      <w:r>
        <w:t>Для латинского сравнения удобны ранний Бруни — «Никомахова этика» вместе с «Экономикой», печать до 1469 года, — и отдельные книги Аргиропула: De anima, De caelo, Physica. Эти конкретные факсимиле имеют PDM. Издание «Этики» 1522 года дополнительно сохраняет комментарий Лефевра и De moribus Бруни; сборник Dialectica 1553 года — переводческий слой Боэция и argumenta Полициано. Каждая запись описывает определённую печать, а не абстрактно «любой латинский текст».</w:t>
      </w:r>
      <w:r>
        <w:t xml:space="preserve"> </w:t>
      </w:r>
      <w:hyperlink r:id="rId18">
        <w:r>
          <w:rPr>
            <w:color w:val="17647E"/>
            <w:u w:val="single"/>
          </w:rPr>
          <w:t>[R001]</w:t>
        </w:r>
      </w:hyperlink>
      <w:r>
        <w:t xml:space="preserve"> · </w:t>
      </w:r>
      <w:hyperlink r:id="rId19">
        <w:r>
          <w:rPr>
            <w:color w:val="17647E"/>
            <w:u w:val="single"/>
          </w:rPr>
          <w:t>[R003]</w:t>
        </w:r>
      </w:hyperlink>
      <w:r>
        <w:t xml:space="preserve"> · </w:t>
      </w:r>
      <w:hyperlink r:id="rId20">
        <w:r>
          <w:rPr>
            <w:color w:val="17647E"/>
            <w:u w:val="single"/>
          </w:rPr>
          <w:t>[R004]</w:t>
        </w:r>
      </w:hyperlink>
      <w:r>
        <w:t xml:space="preserve"> · </w:t>
      </w:r>
      <w:hyperlink r:id="rId21">
        <w:r>
          <w:rPr>
            <w:color w:val="17647E"/>
            <w:u w:val="single"/>
          </w:rPr>
          <w:t>[R005]</w:t>
        </w:r>
      </w:hyperlink>
      <w:r>
        <w:t xml:space="preserve"> · </w:t>
      </w:r>
      <w:hyperlink r:id="rId34">
        <w:r>
          <w:rPr>
            <w:color w:val="17647E"/>
            <w:u w:val="single"/>
          </w:rPr>
          <w:t>[R006]</w:t>
        </w:r>
      </w:hyperlink>
      <w:r>
        <w:t xml:space="preserve"> · </w:t>
      </w:r>
      <w:hyperlink r:id="rId42">
        <w:r>
          <w:rPr>
            <w:color w:val="17647E"/>
            <w:u w:val="single"/>
          </w:rPr>
          <w:t>[R008]</w:t>
        </w:r>
      </w:hyperlink>
    </w:p>
    <w:p>
      <w:r>
        <w:t>Научный вход в средневековые версии — подписная ALD и каталог критических изданий Aristoteles Latinus. Существенное ограничение: база не воспроизводит весь критический аппарат, предисловия и греко-латинские индексы печатных томов. Поэтому её нельзя назвать бесплатной заменой серии или готовым выгружаемым корпусом для ToS. Каталог различает опубликованные тома и работы в подготовке.</w:t>
      </w:r>
      <w:r>
        <w:t xml:space="preserve"> </w:t>
      </w:r>
      <w:hyperlink r:id="rId11">
        <w:r>
          <w:rPr>
            <w:color w:val="17647E"/>
            <w:u w:val="single"/>
          </w:rPr>
          <w:t>[R021]</w:t>
        </w:r>
      </w:hyperlink>
      <w:r>
        <w:t xml:space="preserve"> · </w:t>
      </w:r>
      <w:hyperlink r:id="rId17">
        <w:r>
          <w:rPr>
            <w:color w:val="17647E"/>
            <w:u w:val="single"/>
          </w:rPr>
          <w:t>[R063]</w:t>
        </w:r>
      </w:hyperlink>
    </w:p>
    <w:p>
      <w:r>
        <w:t>Мадридский аннотированный комплект альдины важен для реального чтения и маргиналий, но не является правовым эквивалентом e-rara. В нём отмечена неполнота отдельных листов; изображения принадлежат иному цифровому объекту с собственными условиями Real Biblioteca. Для внешней демонстрации читательской культуры полезна ссылка на этот экземпляр; для собственного текстового слоя предпочтительнее явно свободное факсимиле.</w:t>
      </w:r>
      <w:r>
        <w:t xml:space="preserve"> </w:t>
      </w:r>
      <w:hyperlink r:id="rId58">
        <w:r>
          <w:rPr>
            <w:color w:val="17647E"/>
            <w:u w:val="single"/>
          </w:rPr>
          <w:t>[R002]</w:t>
        </w:r>
      </w:hyperlink>
      <w:r>
        <w:t xml:space="preserve"> · </w:t>
      </w:r>
      <w:hyperlink r:id="rId12">
        <w:r>
          <w:rPr>
            <w:color w:val="17647E"/>
            <w:u w:val="single"/>
          </w:rPr>
          <w:t>[R022]</w:t>
        </w:r>
      </w:hyperlink>
    </w:p>
    <w:p>
      <w:pPr>
        <w:pStyle w:val="Heading2"/>
      </w:pPr>
      <w:r>
        <w:t>3.2. Переводы на современные языки</w:t>
      </w:r>
    </w:p>
    <w:p>
      <w:r>
        <w:t xml:space="preserve">Для бесплатного английского чтения проверены полные HTML-книги Project Gutenberg: Nicomachean Ethics, а также Politics в переводе William Ellis. Для «Этики» переводчик именно цифровой версии надёжно не установлен: упоминание D. P. Chase в библиографии не заменяет титульную атрибуцию. Оба eBook имеют заявление об общественном достоянии в США; это не безусловное разрешение на международное зеркало и не гуманистический латинский оригинал. </w:t>
      </w:r>
      <w:hyperlink r:id="rId59">
        <w:r>
          <w:rPr>
            <w:color w:val="17647E"/>
            <w:u w:val="single"/>
          </w:rPr>
          <w:t>[R049]</w:t>
        </w:r>
      </w:hyperlink>
      <w:r>
        <w:t xml:space="preserve"> · </w:t>
      </w:r>
      <w:hyperlink r:id="rId60">
        <w:r>
          <w:rPr>
            <w:color w:val="17647E"/>
            <w:u w:val="single"/>
          </w:rPr>
          <w:t>[R050]</w:t>
        </w:r>
      </w:hyperlink>
    </w:p>
    <w:p>
      <w:r>
        <w:t>Для машиночитаемого английского текста выделена «Метафизика» в XML Perseus, версия Hugh Tredennick: открытый заголовок самого файла содержит CC BY-SA 4.0. Разрешение ограничено этим XML; оно не перенесено на печатные тома Loeb или произвольные сканы перевода. Этот путь удобен для чтения и индекса, но не обозначен как греческая основа собственного перевода ToS.</w:t>
      </w:r>
      <w:r>
        <w:t xml:space="preserve"> </w:t>
      </w:r>
      <w:hyperlink r:id="rId61">
        <w:r>
          <w:rPr>
            <w:color w:val="17647E"/>
            <w:u w:val="single"/>
          </w:rPr>
          <w:t>[R048]</w:t>
        </w:r>
      </w:hyperlink>
    </w:p>
    <w:p>
      <w:r>
        <w:t>Русский поиск дал подтверждённые академические карточки: «Об истолковании» Радлова, 1891; его «Никомахова этика», 1908; «Метафизика» Розанова и Первова, книги I–V, опубликованные в 1890–1895 годах. Связанные просмотрщики НЭБ не дали проверяемого текста в инструменте. Все три записи оставлены metadata_only: они сохраняют библиографический и библиотечный маршрут, но не обещают успешное скачивание. Позднейшее переиздание с новым редакторским материалом нельзя автоматически считать свободным по возрасту первоначального перевода.</w:t>
      </w:r>
      <w:r>
        <w:t xml:space="preserve"> </w:t>
      </w:r>
      <w:hyperlink r:id="rId62">
        <w:r>
          <w:rPr>
            <w:color w:val="17647E"/>
            <w:u w:val="single"/>
          </w:rPr>
          <w:t>[R059]</w:t>
        </w:r>
      </w:hyperlink>
      <w:r>
        <w:t xml:space="preserve"> · </w:t>
      </w:r>
      <w:hyperlink r:id="rId63">
        <w:r>
          <w:rPr>
            <w:color w:val="17647E"/>
            <w:u w:val="single"/>
          </w:rPr>
          <w:t>[R060]</w:t>
        </w:r>
      </w:hyperlink>
      <w:r>
        <w:t xml:space="preserve"> · </w:t>
      </w:r>
      <w:hyperlink r:id="rId64">
        <w:r>
          <w:rPr>
            <w:color w:val="17647E"/>
            <w:u w:val="single"/>
          </w:rPr>
          <w:t>[R061]</w:t>
        </w:r>
      </w:hyperlink>
    </w:p>
    <w:p>
      <w:pPr>
        <w:pStyle w:val="Heading2"/>
      </w:pPr>
      <w:r>
        <w:t>3.3. Павел Венецианский и логическая линия</w:t>
      </w:r>
    </w:p>
    <w:p>
      <w:r>
        <w:t>Лучший открытый оригинальный свидетель Павла — Logica parva, Penn LJS 56: рукопись 1420 года, опубликованная Penn Libraries на Internet Archive с item-level PDM. Доступно 101 цифровое изображение и производные форматы. Это один конкретный свидетель, не критическое издание всех редакций Logica parva. Автоматический OCR ошибочно определил письмо как Arabic: готовый TXT нельзя считать научной транскрипцией; его качество требует отдельной работы.</w:t>
      </w:r>
      <w:r>
        <w:t xml:space="preserve"> </w:t>
      </w:r>
      <w:hyperlink r:id="rId14">
        <w:r>
          <w:rPr>
            <w:color w:val="17647E"/>
            <w:u w:val="single"/>
          </w:rPr>
          <w:t>[R046]</w:t>
        </w:r>
      </w:hyperlink>
    </w:p>
    <w:p>
      <w:r>
        <w:t>Для Logica magna, Sophismata aurea, Summa naturalium, комментариев к Posteriora, De generatione и Physica найдены конкретные PDF-указатели официальной библиотеки SIEPM. Имена файлов и институциональные карточки проверены, страницы PDF не прочитаны. Поэтому эти маршруты полезны как точные входы для ручного открытия, но не включены в число подтверждённых полных чтений или разрешённых зеркал.</w:t>
      </w:r>
      <w:r>
        <w:t xml:space="preserve"> </w:t>
      </w:r>
      <w:hyperlink r:id="rId65">
        <w:r>
          <w:rPr>
            <w:color w:val="17647E"/>
            <w:u w:val="single"/>
          </w:rPr>
          <w:t>[R009]</w:t>
        </w:r>
      </w:hyperlink>
      <w:r>
        <w:t xml:space="preserve"> · </w:t>
      </w:r>
      <w:hyperlink r:id="rId66">
        <w:r>
          <w:rPr>
            <w:color w:val="17647E"/>
            <w:u w:val="single"/>
          </w:rPr>
          <w:t>[R010]</w:t>
        </w:r>
      </w:hyperlink>
      <w:r>
        <w:t xml:space="preserve"> · </w:t>
      </w:r>
      <w:hyperlink r:id="rId67">
        <w:r>
          <w:rPr>
            <w:color w:val="17647E"/>
            <w:u w:val="single"/>
          </w:rPr>
          <w:t>[R011]</w:t>
        </w:r>
      </w:hyperlink>
      <w:r>
        <w:t xml:space="preserve"> · </w:t>
      </w:r>
      <w:hyperlink r:id="rId68">
        <w:r>
          <w:rPr>
            <w:color w:val="17647E"/>
            <w:u w:val="single"/>
          </w:rPr>
          <w:t>[R012]</w:t>
        </w:r>
      </w:hyperlink>
      <w:r>
        <w:t xml:space="preserve"> · </w:t>
      </w:r>
      <w:hyperlink r:id="rId69">
        <w:r>
          <w:rPr>
            <w:color w:val="17647E"/>
            <w:u w:val="single"/>
          </w:rPr>
          <w:t>[R013]</w:t>
        </w:r>
      </w:hyperlink>
      <w:r>
        <w:t xml:space="preserve"> · </w:t>
      </w:r>
      <w:hyperlink r:id="rId70">
        <w:r>
          <w:rPr>
            <w:color w:val="17647E"/>
            <w:u w:val="single"/>
          </w:rPr>
          <w:t>[R014]</w:t>
        </w:r>
      </w:hyperlink>
      <w:r>
        <w:t xml:space="preserve"> · </w:t>
      </w:r>
      <w:hyperlink r:id="rId16">
        <w:r>
          <w:rPr>
            <w:color w:val="17647E"/>
            <w:u w:val="single"/>
          </w:rPr>
          <w:t>[R062]</w:t>
        </w:r>
      </w:hyperlink>
    </w:p>
    <w:p>
      <w:r>
        <w:t>Современный научный вариант для парадоксов — издание Tractatus de insolubilibus из Logica magna, Bartocci и Read, Peeters, 2022. Оно охватывает определённый трактат, а не всю Logica magna. Комментарий Павла к «Метафизике» представлен современным томом по книге VII; эдинбургская рукопись MS 118 комментария к Posteriora — отдельной каталожной карточкой, не подменённой её PDF-описанием как будто это факсимиле.</w:t>
      </w:r>
      <w:r>
        <w:t xml:space="preserve"> </w:t>
      </w:r>
      <w:hyperlink r:id="rId71">
        <w:r>
          <w:rPr>
            <w:color w:val="17647E"/>
            <w:u w:val="single"/>
          </w:rPr>
          <w:t>[R015]</w:t>
        </w:r>
      </w:hyperlink>
      <w:r>
        <w:t xml:space="preserve"> · </w:t>
      </w:r>
      <w:hyperlink r:id="rId72">
        <w:r>
          <w:rPr>
            <w:color w:val="17647E"/>
            <w:u w:val="single"/>
          </w:rPr>
          <w:t>[R016]</w:t>
        </w:r>
      </w:hyperlink>
      <w:r>
        <w:t xml:space="preserve"> · </w:t>
      </w:r>
      <w:hyperlink r:id="rId73">
        <w:r>
          <w:rPr>
            <w:color w:val="17647E"/>
            <w:u w:val="single"/>
          </w:rPr>
          <w:t>[R055]</w:t>
        </w:r>
      </w:hyperlink>
    </w:p>
    <w:p>
      <w:r>
        <w:t>Сильное открытое дополнение — Insolubilia Уолтера Сегрейва, издание Bartocci и Read, Open Book Publishers, 2024. Есть латинский текст, английский перевод и отдельный латинский TXT, явная CC BY-NC 4.0. Это готовая некоммерческая основа для текстовой работы и собственного перевода соответствующего латинского слоя с атрибуцией; разрешение не распространяется на весь логический корпус Павла.</w:t>
      </w:r>
      <w:r>
        <w:t xml:space="preserve"> </w:t>
      </w:r>
      <w:hyperlink r:id="rId38">
        <w:r>
          <w:rPr>
            <w:color w:val="17647E"/>
            <w:u w:val="single"/>
          </w:rPr>
          <w:t>[R017]</w:t>
        </w:r>
      </w:hyperlink>
    </w:p>
    <w:p>
      <w:r>
        <w:t>Прямые продолжения школьной логики представлены двумя сочинениями Павла из Перголы, комментарием Менго к логике Павла и сборником Consequentiae/Obligationes Строда и Феррибриджа с комментариями Гаэтано. Эти записи не раздувают количество произведений за счёт страниц: каждая ведёт к конкретному историческому сборнику или трактату; файловая проверка SIEPM остаётся незавершённой.</w:t>
      </w:r>
      <w:r>
        <w:t xml:space="preserve"> </w:t>
      </w:r>
      <w:hyperlink r:id="rId23">
        <w:r>
          <w:rPr>
            <w:color w:val="17647E"/>
            <w:u w:val="single"/>
          </w:rPr>
          <w:t>[R024]</w:t>
        </w:r>
      </w:hyperlink>
      <w:r>
        <w:t xml:space="preserve"> · </w:t>
      </w:r>
      <w:hyperlink r:id="rId24">
        <w:r>
          <w:rPr>
            <w:color w:val="17647E"/>
            <w:u w:val="single"/>
          </w:rPr>
          <w:t>[R025]</w:t>
        </w:r>
      </w:hyperlink>
      <w:r>
        <w:t xml:space="preserve"> · </w:t>
      </w:r>
      <w:hyperlink r:id="rId26">
        <w:r>
          <w:rPr>
            <w:color w:val="17647E"/>
            <w:u w:val="single"/>
          </w:rPr>
          <w:t>[R027]</w:t>
        </w:r>
      </w:hyperlink>
      <w:r>
        <w:t xml:space="preserve"> · </w:t>
      </w:r>
      <w:hyperlink r:id="rId74">
        <w:r>
          <w:rPr>
            <w:color w:val="17647E"/>
            <w:u w:val="single"/>
          </w:rPr>
          <w:t>[R069]</w:t>
        </w:r>
      </w:hyperlink>
    </w:p>
    <w:p>
      <w:pPr>
        <w:pStyle w:val="Heading2"/>
      </w:pPr>
      <w:r>
        <w:t>3.4. Верниа, Гаэтано и границы падуанского покрытия</w:t>
      </w:r>
    </w:p>
    <w:p>
      <w:r>
        <w:t>У Верниа наиболее пригодный свободный материальный вход — его редакторское участие в Expositio Бёрли на «Физику», Венеция, 1482, с PDM на конкретное факсимиле. Это не следует представлять как оцифровку всех собственных quaestiones Верниа. Для них сохранены карточка сборника факсимильных переизданий 1998 года и каталожный маршрут Contra perversam Averrois opinionem, напечатанного в составе издания 1504 года. Полного проверенного файла этих объектов не найдено.</w:t>
      </w:r>
      <w:r>
        <w:t xml:space="preserve"> </w:t>
      </w:r>
      <w:hyperlink r:id="rId22">
        <w:r>
          <w:rPr>
            <w:color w:val="17647E"/>
            <w:u w:val="single"/>
          </w:rPr>
          <w:t>[R007]</w:t>
        </w:r>
      </w:hyperlink>
      <w:r>
        <w:t xml:space="preserve"> · </w:t>
      </w:r>
      <w:hyperlink r:id="rId75">
        <w:r>
          <w:rPr>
            <w:color w:val="17647E"/>
            <w:u w:val="single"/>
          </w:rPr>
          <w:t>[R020]</w:t>
        </w:r>
      </w:hyperlink>
      <w:r>
        <w:t xml:space="preserve"> · </w:t>
      </w:r>
      <w:hyperlink r:id="rId76">
        <w:r>
          <w:rPr>
            <w:color w:val="17647E"/>
            <w:u w:val="single"/>
          </w:rPr>
          <w:t>[R054]</w:t>
        </w:r>
      </w:hyperlink>
    </w:p>
    <w:p>
      <w:r>
        <w:t>Для Гаэтано да Тьене найдены отдельные ранние издания De anima, De caelo и Meteorologica в Google Play Books с предложением бесплатного получения. Регистрация и получение книги не выполнялись; покрытие файла неизвестно. Логический сборник 1507 года даёт дополнительный маршрут, но также пока через именованную файловую оболочку. Гаэтано да Тьене не смешан с позднейшим кардиналом Каэтаном.</w:t>
      </w:r>
      <w:r>
        <w:t xml:space="preserve"> </w:t>
      </w:r>
      <w:hyperlink r:id="rId46">
        <w:r>
          <w:rPr>
            <w:color w:val="17647E"/>
            <w:u w:val="single"/>
          </w:rPr>
          <w:t>[R042]</w:t>
        </w:r>
      </w:hyperlink>
      <w:r>
        <w:t xml:space="preserve"> · </w:t>
      </w:r>
      <w:hyperlink r:id="rId47">
        <w:r>
          <w:rPr>
            <w:color w:val="17647E"/>
            <w:u w:val="single"/>
          </w:rPr>
          <w:t>[R043]</w:t>
        </w:r>
      </w:hyperlink>
      <w:r>
        <w:t xml:space="preserve"> · </w:t>
      </w:r>
      <w:hyperlink r:id="rId48">
        <w:r>
          <w:rPr>
            <w:color w:val="17647E"/>
            <w:u w:val="single"/>
          </w:rPr>
          <w:t>[R044]</w:t>
        </w:r>
      </w:hyperlink>
      <w:r>
        <w:t xml:space="preserve"> · </w:t>
      </w:r>
      <w:hyperlink r:id="rId49">
        <w:r>
          <w:rPr>
            <w:color w:val="17647E"/>
            <w:u w:val="single"/>
          </w:rPr>
          <w:t>[R045]</w:t>
        </w:r>
      </w:hyperlink>
      <w:r>
        <w:t xml:space="preserve"> · </w:t>
      </w:r>
      <w:hyperlink r:id="rId74">
        <w:r>
          <w:rPr>
            <w:color w:val="17647E"/>
            <w:u w:val="single"/>
          </w:rPr>
          <w:t>[R069]</w:t>
        </w:r>
      </w:hyperlink>
    </w:p>
    <w:p>
      <w:r>
        <w:t>Следовательно, падуанская университетская ветвь покрыта библиографически шире, чем полнотекстово. Необходимо различать три результата: свободный оригинальный свидетель Павла; свободное раннее издание с участием Верниа; каталог или потенциальный PDF остальных сочинений. Современное издание не объявлено ненужным только потому, что существует старопечатная копия.</w:t>
      </w:r>
    </w:p>
    <w:p>
      <w:pPr>
        <w:pStyle w:val="Heading2"/>
      </w:pPr>
      <w:r>
        <w:t>3.5. Бруни, Картахена и гуманистическая полемика</w:t>
      </w:r>
    </w:p>
    <w:p>
      <w:r>
        <w:t>De interpretatione recta доступен в полном латинско-испанском журнальном издании 1995 года, Pérez González, через Dialnet. PDF действительно открыт, но разрешение на повторное распространение не установлено. Для научной сверки сохранено критическое издание Bertolio, ISIME, 2020, со страницей покупки и небольшим официальным preview. Полное бесплатное чтение старой статьи не делает её современный перевод свободным.</w:t>
      </w:r>
      <w:r>
        <w:t xml:space="preserve"> </w:t>
      </w:r>
      <w:hyperlink r:id="rId77">
        <w:r>
          <w:rPr>
            <w:color w:val="17647E"/>
            <w:u w:val="single"/>
          </w:rPr>
          <w:t>[R018]</w:t>
        </w:r>
      </w:hyperlink>
      <w:r>
        <w:t xml:space="preserve"> · </w:t>
      </w:r>
      <w:hyperlink r:id="rId43">
        <w:r>
          <w:rPr>
            <w:color w:val="17647E"/>
            <w:u w:val="single"/>
          </w:rPr>
          <w:t>[R019]</w:t>
        </w:r>
      </w:hyperlink>
    </w:p>
    <w:p>
      <w:r>
        <w:t>Controversia о переводе «Этики» добавлена как прямой полемический ответ, необходимый для понимания программы Бруни. BVMC предоставляет карточку испанской выборки и ссылку чтения; инструмент получил оболочку, а не её текст. Полное современное издание Controversia Alphonsiana подтверждено академической карточкой UNED. В каталожных следах встречаются разные годы 2000/2004; реестр сохраняет осторожную идентификацию и не создаёт из расхождения два якобы разных цифровых издания.</w:t>
      </w:r>
      <w:r>
        <w:t xml:space="preserve"> </w:t>
      </w:r>
      <w:hyperlink r:id="rId29">
        <w:r>
          <w:rPr>
            <w:color w:val="17647E"/>
            <w:u w:val="single"/>
          </w:rPr>
          <w:t>[R067]</w:t>
        </w:r>
      </w:hyperlink>
      <w:r>
        <w:t xml:space="preserve"> · </w:t>
      </w:r>
      <w:hyperlink r:id="rId30">
        <w:r>
          <w:rPr>
            <w:color w:val="17647E"/>
            <w:u w:val="single"/>
          </w:rPr>
          <w:t>[R068]</w:t>
        </w:r>
      </w:hyperlink>
    </w:p>
    <w:p>
      <w:r>
        <w:t>Lamia Полициано включена как вводное чтение к аналитике Аристотеля; Валья — через Dialectical Disputations / Repastinatio; Петрарка — через Invectives. Для Вальи и Петрарки сохранены официальные карточки I Tatti и издательские маршруты. Это научные, но защищённые издания: открытая рекламная карточка не равна доступу ко всему латинскому тексту и переводу.</w:t>
      </w:r>
      <w:r>
        <w:t xml:space="preserve"> </w:t>
      </w:r>
      <w:hyperlink r:id="rId25">
        <w:r>
          <w:rPr>
            <w:color w:val="17647E"/>
            <w:u w:val="single"/>
          </w:rPr>
          <w:t>[R026]</w:t>
        </w:r>
      </w:hyperlink>
      <w:r>
        <w:t xml:space="preserve"> · </w:t>
      </w:r>
      <w:hyperlink r:id="rId27">
        <w:r>
          <w:rPr>
            <w:color w:val="17647E"/>
            <w:u w:val="single"/>
          </w:rPr>
          <w:t>[R056]</w:t>
        </w:r>
      </w:hyperlink>
      <w:r>
        <w:t xml:space="preserve"> · </w:t>
      </w:r>
      <w:hyperlink r:id="rId28">
        <w:r>
          <w:rPr>
            <w:color w:val="17647E"/>
            <w:u w:val="single"/>
          </w:rPr>
          <w:t>[R057]</w:t>
        </w:r>
      </w:hyperlink>
    </w:p>
    <w:p>
      <w:pPr>
        <w:pStyle w:val="Heading2"/>
      </w:pPr>
      <w:r>
        <w:t>3.6. Греческие комментаторы, Виссарион и переводческие сборники</w:t>
      </w:r>
    </w:p>
    <w:p>
      <w:r>
        <w:t>Для сопоставления средневековой и гуманистической передачи Фемистия имеется современный латинский том перевода Мёрбеке в CLC и свободное историческое факсимиле перевода Барбаро 1533 года. Другие тома CLC ведут к Симпликию De caelo и греческим комментариям к «Этике» в переводе Гроссетеста. Это защищённые научные издания; их покупка или институциональное чтение не дают лицензии на аппарат и реконструированный текст.</w:t>
      </w:r>
      <w:r>
        <w:t xml:space="preserve"> </w:t>
      </w:r>
      <w:hyperlink r:id="rId35">
        <w:r>
          <w:rPr>
            <w:color w:val="17647E"/>
            <w:u w:val="single"/>
          </w:rPr>
          <w:t>[R033]</w:t>
        </w:r>
      </w:hyperlink>
      <w:r>
        <w:t xml:space="preserve"> · </w:t>
      </w:r>
      <w:hyperlink r:id="rId36">
        <w:r>
          <w:rPr>
            <w:color w:val="17647E"/>
            <w:u w:val="single"/>
          </w:rPr>
          <w:t>[R034]</w:t>
        </w:r>
      </w:hyperlink>
      <w:r>
        <w:t xml:space="preserve"> · </w:t>
      </w:r>
      <w:hyperlink r:id="rId37">
        <w:r>
          <w:rPr>
            <w:color w:val="17647E"/>
            <w:u w:val="single"/>
          </w:rPr>
          <w:t>[R035]</w:t>
        </w:r>
      </w:hyperlink>
      <w:r>
        <w:t xml:space="preserve"> · </w:t>
      </w:r>
      <w:hyperlink r:id="rId32">
        <w:r>
          <w:rPr>
            <w:color w:val="17647E"/>
            <w:u w:val="single"/>
          </w:rPr>
          <w:t>[R066]</w:t>
        </w:r>
      </w:hyperlink>
    </w:p>
    <w:p>
      <w:r>
        <w:t>Комплект Барбаро нельзя целиком приписывать одному древнему автору: в нём сосуществуют Фемистий и псевдо-Фемистий, в том числе более поздние парафразы. Сборник Газы 1513 года объединяет зоологические сочинения Аристотеля, ботанические тексты Теофраста и Problemata. PDM относится к указанному факсимиле сборника, а не автоматически к любому изданию этих авторов.</w:t>
      </w:r>
      <w:r>
        <w:t xml:space="preserve"> </w:t>
      </w:r>
      <w:hyperlink r:id="rId31">
        <w:r>
          <w:rPr>
            <w:color w:val="17647E"/>
            <w:u w:val="single"/>
          </w:rPr>
          <w:t>[R065]</w:t>
        </w:r>
      </w:hyperlink>
      <w:r>
        <w:t xml:space="preserve"> · </w:t>
      </w:r>
      <w:hyperlink r:id="rId32">
        <w:r>
          <w:rPr>
            <w:color w:val="17647E"/>
            <w:u w:val="single"/>
          </w:rPr>
          <w:t>[R066]</w:t>
        </w:r>
      </w:hyperlink>
    </w:p>
    <w:p>
      <w:r>
        <w:t>Для Виссариона полезен De natura et arte / Über Natur und Kunst, Meiner, 2015: греческий, латинский и немецкий слои, официальная страница и preview. Он сохраняет конкретную философскую и переводческую проблематику; современная редакция защищена. Исторические сборники 1503 и 1516 годов добавляют более широкий состав, однако первый PDF не проверен постранично, а второй представлен каталогом. Надёжный массовый вход к отдельным аристотелевским рукописям Виссариона в этом запуске не завершён.</w:t>
      </w:r>
      <w:r>
        <w:t xml:space="preserve"> </w:t>
      </w:r>
      <w:hyperlink r:id="rId44">
        <w:r>
          <w:rPr>
            <w:color w:val="17647E"/>
            <w:u w:val="single"/>
          </w:rPr>
          <w:t>[R040]</w:t>
        </w:r>
      </w:hyperlink>
      <w:r>
        <w:t xml:space="preserve"> · </w:t>
      </w:r>
      <w:hyperlink r:id="rId45">
        <w:r>
          <w:rPr>
            <w:color w:val="17647E"/>
            <w:u w:val="single"/>
          </w:rPr>
          <w:t>[R041]</w:t>
        </w:r>
      </w:hyperlink>
      <w:r>
        <w:t xml:space="preserve"> · </w:t>
      </w:r>
      <w:hyperlink r:id="rId50">
        <w:r>
          <w:rPr>
            <w:color w:val="17647E"/>
            <w:u w:val="single"/>
          </w:rPr>
          <w:t>[R070]</w:t>
        </w:r>
      </w:hyperlink>
    </w:p>
    <w:p>
      <w:pPr>
        <w:pStyle w:val="Heading2"/>
      </w:pPr>
      <w:r>
        <w:t>3.7. Томео, Помпонацци и Нифо</w:t>
      </w:r>
    </w:p>
    <w:p>
      <w:r>
        <w:t>Самый свободный маршрут Томео — сборный том Parva naturalia / Opuscula / Dialogi, Париж, 1530, ULB Düsseldorf, с CC0. Есть просмотр, PDF примерно 204 MB и проверенный IIIF manifest; это конкретное печатное продолжение линии греческого чтения Аристотеля. Дополнительная карточка Opuscula 1525 года в Wellcome ведёт к Early European Books: она указывает бесплатный британский доступ, но не гарантирует тот же режим пользователю в другой стране.</w:t>
      </w:r>
      <w:r>
        <w:t xml:space="preserve"> </w:t>
      </w:r>
      <w:hyperlink r:id="rId13">
        <w:r>
          <w:rPr>
            <w:color w:val="17647E"/>
            <w:u w:val="single"/>
          </w:rPr>
          <w:t>[R023]</w:t>
        </w:r>
      </w:hyperlink>
      <w:r>
        <w:t xml:space="preserve"> · </w:t>
      </w:r>
      <w:hyperlink r:id="rId78">
        <w:r>
          <w:rPr>
            <w:color w:val="17647E"/>
            <w:u w:val="single"/>
          </w:rPr>
          <w:t>[R058]</w:t>
        </w:r>
      </w:hyperlink>
    </w:p>
    <w:p>
      <w:r>
        <w:t>У Помпонацци свободное историческое факсимиле Dubitationes к четвёртой книге Meteorologica, 1563, имеет PDM и пригодно для локального текстового исследования. Сборники Opera 1567 и Tractatus 1525 сохраняют другие основные трактаты, но в этом исследовании доступны лишь как точные SIEPM/Drive указатели. Для Нифо найдены три таких же адресных маршрута, без утверждения о проверенной полноте файлов.</w:t>
      </w:r>
      <w:r>
        <w:t xml:space="preserve"> </w:t>
      </w:r>
      <w:hyperlink r:id="rId51">
        <w:r>
          <w:rPr>
            <w:color w:val="17647E"/>
            <w:u w:val="single"/>
          </w:rPr>
          <w:t>[R028]</w:t>
        </w:r>
      </w:hyperlink>
      <w:r>
        <w:t xml:space="preserve"> · </w:t>
      </w:r>
      <w:hyperlink r:id="rId52">
        <w:r>
          <w:rPr>
            <w:color w:val="17647E"/>
            <w:u w:val="single"/>
          </w:rPr>
          <w:t>[R029]</w:t>
        </w:r>
      </w:hyperlink>
      <w:r>
        <w:t xml:space="preserve"> · </w:t>
      </w:r>
      <w:hyperlink r:id="rId53">
        <w:r>
          <w:rPr>
            <w:color w:val="17647E"/>
            <w:u w:val="single"/>
          </w:rPr>
          <w:t>[R030]</w:t>
        </w:r>
      </w:hyperlink>
      <w:r>
        <w:t xml:space="preserve"> · </w:t>
      </w:r>
      <w:hyperlink r:id="rId54">
        <w:r>
          <w:rPr>
            <w:color w:val="17647E"/>
            <w:u w:val="single"/>
          </w:rPr>
          <w:t>[R031]</w:t>
        </w:r>
      </w:hyperlink>
      <w:r>
        <w:t xml:space="preserve"> · </w:t>
      </w:r>
      <w:hyperlink r:id="rId55">
        <w:r>
          <w:rPr>
            <w:color w:val="17647E"/>
            <w:u w:val="single"/>
          </w:rPr>
          <w:t>[R032]</w:t>
        </w:r>
      </w:hyperlink>
      <w:r>
        <w:t xml:space="preserve"> · </w:t>
      </w:r>
      <w:hyperlink r:id="rId56">
        <w:r>
          <w:rPr>
            <w:color w:val="17647E"/>
            <w:u w:val="single"/>
          </w:rPr>
          <w:t>[R038]</w:t>
        </w:r>
      </w:hyperlink>
    </w:p>
    <w:p>
      <w:r>
        <w:t>Особенно полезно современное издание Burzelli, 2024: книга об элементах содержит первичные лекционные тексты Помпонацци и опубликована под CC BY-NC-ND 4.0. Издатель говорит о пяти первичных текстах, оглавление выделяет шесть текстовых разделов; различие отражено в notes, а не искусственно устранено. Разрешение на неизменённое некоммерческое распространение книги не превращено в разрешение на публикацию нового перевода её защищённой реконструкции.</w:t>
      </w:r>
      <w:r>
        <w:t xml:space="preserve"> </w:t>
      </w:r>
      <w:hyperlink r:id="rId57">
        <w:r>
          <w:rPr>
            <w:color w:val="17647E"/>
            <w:u w:val="single"/>
          </w:rPr>
          <w:t>[R039]</w:t>
        </w:r>
      </w:hyperlink>
    </w:p>
    <w:p>
      <w:pPr>
        <w:pStyle w:val="Heading2"/>
      </w:pPr>
      <w:r>
        <w:t>3.8. Машиночитаемые варианты</w:t>
      </w:r>
    </w:p>
    <w:p>
      <w:r>
        <w:t>Наиболее ясный цифровой текстовый слой — пять греческих файлов First1KGreek с прочитанными item-level заголовками и лицензиями CC BY-SA 4.0, плюс отдельный английский XML «Метафизики» Perseus с той же лицензией. Для First1KGreek в notes перечислены точные пути и издания-основы. Положительные теги не распространяются на весь непроверенный GitHub-репозиторий, на внешние изображения или на соседние файлы, известные лишь из CTS-описаний.</w:t>
      </w:r>
      <w:r>
        <w:t xml:space="preserve"> </w:t>
      </w:r>
      <w:hyperlink r:id="rId15">
        <w:r>
          <w:rPr>
            <w:color w:val="17647E"/>
            <w:u w:val="single"/>
          </w:rPr>
          <w:t>[R047]</w:t>
        </w:r>
      </w:hyperlink>
      <w:r>
        <w:t xml:space="preserve"> · </w:t>
      </w:r>
      <w:hyperlink r:id="rId61">
        <w:r>
          <w:rPr>
            <w:color w:val="17647E"/>
            <w:u w:val="single"/>
          </w:rPr>
          <w:t>[R048]</w:t>
        </w:r>
      </w:hyperlink>
    </w:p>
    <w:p>
      <w:r>
        <w:t>Для факсимиле сохранены IIIF-входы e-rara и Düsseldorf; там, где карточки предлагают TXT/ALTO, они обозначены как производные конкретной оцифровки. Их наличие не удостоверяет корректность OCR. Массовое скачивание, полнота больших PDF, все возможности API и техническая пригодность каждого формата не тестировались. FitMA отмечен как инфраструктура с будущими цифровыми ресурсами: сообщение Coming Soon не выдано за уже опубликованный корпус или действующий API.</w:t>
      </w:r>
      <w:r>
        <w:t xml:space="preserve"> </w:t>
      </w:r>
      <w:hyperlink r:id="rId12">
        <w:r>
          <w:rPr>
            <w:color w:val="17647E"/>
            <w:u w:val="single"/>
          </w:rPr>
          <w:t>[R022]</w:t>
        </w:r>
      </w:hyperlink>
      <w:r>
        <w:t xml:space="preserve"> · </w:t>
      </w:r>
      <w:hyperlink r:id="rId13">
        <w:r>
          <w:rPr>
            <w:color w:val="17647E"/>
            <w:u w:val="single"/>
          </w:rPr>
          <w:t>[R023]</w:t>
        </w:r>
      </w:hyperlink>
      <w:r>
        <w:t xml:space="preserve"> · </w:t>
      </w:r>
      <w:hyperlink r:id="rId56">
        <w:r>
          <w:rPr>
            <w:color w:val="17647E"/>
            <w:u w:val="single"/>
          </w:rPr>
          <w:t>[R038]</w:t>
        </w:r>
      </w:hyperlink>
      <w:r>
        <w:t xml:space="preserve"> · </w:t>
      </w:r>
      <w:hyperlink r:id="rId79">
        <w:r>
          <w:rPr>
            <w:color w:val="17647E"/>
            <w:u w:val="single"/>
          </w:rPr>
          <w:t>[R064]</w:t>
        </w:r>
      </w:hyperlink>
      <w:r>
        <w:t xml:space="preserve"> · </w:t>
      </w:r>
      <w:hyperlink r:id="rId32">
        <w:r>
          <w:rPr>
            <w:color w:val="17647E"/>
            <w:u w:val="single"/>
          </w:rPr>
          <w:t>[R066]</w:t>
        </w:r>
      </w:hyperlink>
    </w:p>
    <w:p>
      <w:pPr>
        <w:pStyle w:val="Heading1"/>
      </w:pPr>
      <w:r>
        <w:t>4. Карта прав и практического использования</w:t>
      </w:r>
    </w:p>
    <w:p>
      <w:r>
        <w:t>В 19 из 71 маршрута присутствует хотя бы одна положительная рекомендация по повторному размещению определённого слоя. Это 12 факсимиле с Public Domain Mark, один объект CC0, два маршрута CC BY-SA, один CC BY-NC, один CC BY-NC-ND и два eBook с выводом, ограниченным общественным достоянием в США. Эти группы не означают 19 универсально свободных произведений. Каждый тег действует только вместе с rights_scope, coverage и notes.</w:t>
      </w:r>
    </w:p>
    <w:p>
      <w:pPr>
        <w:pStyle w:val="Heading2"/>
      </w:pPr>
      <w:r>
        <w:t>4.1. Наиболее свободные оригинальные основы</w:t>
      </w:r>
    </w:p>
    <w:p>
      <w:r>
        <w:t>PDM-факсимиле Бруни, Аргиропула, альдины, Бёрли/Верниа, Помпонацци, Газы, Барбаро и рукописи Павла образуют основной слой для потенциального зеркала, собственного OCR, текстового поиска и перевода исторической версии. Public Domain Mark — обозначение статуса, не лицензия и не обещание отсутствия любых неавторских ограничений во всех странах. CC0-сборник Томео даёт ещё более ясно обозначенный открытый цифровой объект. Библиографическая атрибуция и ссылка на хранилище сохраняются даже там, где юридически не являются условием лицензии.</w:t>
      </w:r>
      <w:r>
        <w:t xml:space="preserve"> </w:t>
      </w:r>
      <w:hyperlink r:id="rId18">
        <w:r>
          <w:rPr>
            <w:color w:val="17647E"/>
            <w:u w:val="single"/>
          </w:rPr>
          <w:t>[R001]</w:t>
        </w:r>
      </w:hyperlink>
      <w:r>
        <w:t xml:space="preserve"> · </w:t>
      </w:r>
      <w:hyperlink r:id="rId19">
        <w:r>
          <w:rPr>
            <w:color w:val="17647E"/>
            <w:u w:val="single"/>
          </w:rPr>
          <w:t>[R003]</w:t>
        </w:r>
      </w:hyperlink>
      <w:r>
        <w:t xml:space="preserve"> · </w:t>
      </w:r>
      <w:hyperlink r:id="rId20">
        <w:r>
          <w:rPr>
            <w:color w:val="17647E"/>
            <w:u w:val="single"/>
          </w:rPr>
          <w:t>[R004]</w:t>
        </w:r>
      </w:hyperlink>
      <w:r>
        <w:t xml:space="preserve"> · </w:t>
      </w:r>
      <w:hyperlink r:id="rId21">
        <w:r>
          <w:rPr>
            <w:color w:val="17647E"/>
            <w:u w:val="single"/>
          </w:rPr>
          <w:t>[R005]</w:t>
        </w:r>
      </w:hyperlink>
      <w:r>
        <w:t xml:space="preserve"> · </w:t>
      </w:r>
      <w:hyperlink r:id="rId34">
        <w:r>
          <w:rPr>
            <w:color w:val="17647E"/>
            <w:u w:val="single"/>
          </w:rPr>
          <w:t>[R006]</w:t>
        </w:r>
      </w:hyperlink>
      <w:r>
        <w:t xml:space="preserve"> · </w:t>
      </w:r>
      <w:hyperlink r:id="rId22">
        <w:r>
          <w:rPr>
            <w:color w:val="17647E"/>
            <w:u w:val="single"/>
          </w:rPr>
          <w:t>[R007]</w:t>
        </w:r>
      </w:hyperlink>
      <w:r>
        <w:t xml:space="preserve"> · </w:t>
      </w:r>
      <w:hyperlink r:id="rId42">
        <w:r>
          <w:rPr>
            <w:color w:val="17647E"/>
            <w:u w:val="single"/>
          </w:rPr>
          <w:t>[R008]</w:t>
        </w:r>
      </w:hyperlink>
      <w:r>
        <w:t xml:space="preserve"> · </w:t>
      </w:r>
      <w:hyperlink r:id="rId12">
        <w:r>
          <w:rPr>
            <w:color w:val="17647E"/>
            <w:u w:val="single"/>
          </w:rPr>
          <w:t>[R022]</w:t>
        </w:r>
      </w:hyperlink>
      <w:r>
        <w:t xml:space="preserve"> · </w:t>
      </w:r>
      <w:hyperlink r:id="rId13">
        <w:r>
          <w:rPr>
            <w:color w:val="17647E"/>
            <w:u w:val="single"/>
          </w:rPr>
          <w:t>[R023]</w:t>
        </w:r>
      </w:hyperlink>
      <w:r>
        <w:t xml:space="preserve"> · </w:t>
      </w:r>
      <w:hyperlink r:id="rId56">
        <w:r>
          <w:rPr>
            <w:color w:val="17647E"/>
            <w:u w:val="single"/>
          </w:rPr>
          <w:t>[R038]</w:t>
        </w:r>
      </w:hyperlink>
      <w:r>
        <w:t xml:space="preserve"> · </w:t>
      </w:r>
      <w:hyperlink r:id="rId14">
        <w:r>
          <w:rPr>
            <w:color w:val="17647E"/>
            <w:u w:val="single"/>
          </w:rPr>
          <w:t>[R046]</w:t>
        </w:r>
      </w:hyperlink>
      <w:r>
        <w:t xml:space="preserve"> · </w:t>
      </w:r>
      <w:hyperlink r:id="rId31">
        <w:r>
          <w:rPr>
            <w:color w:val="17647E"/>
            <w:u w:val="single"/>
          </w:rPr>
          <w:t>[R065]</w:t>
        </w:r>
      </w:hyperlink>
      <w:r>
        <w:t xml:space="preserve"> · </w:t>
      </w:r>
      <w:hyperlink r:id="rId32">
        <w:r>
          <w:rPr>
            <w:color w:val="17647E"/>
            <w:u w:val="single"/>
          </w:rPr>
          <w:t>[R066]</w:t>
        </w:r>
      </w:hyperlink>
    </w:p>
    <w:p>
      <w:r>
        <w:t>Чистая основа для собственного перевода указана в 15 записях: названные исторические факсимиле, пять проверенных греческих XML в одной записи First1KGreek и открытый латинский текст Сегрейва. Для Павла разрешение ограничено LJS 56; для набора XML — перечисленными файлами; для Сегрейва — лицензированным некоммерческим слоем. Перевод латинской исторической версии Аристотеля должен так и называться: он не является восстановлением греческого архетипа.</w:t>
      </w:r>
      <w:r>
        <w:t xml:space="preserve"> </w:t>
      </w:r>
      <w:hyperlink r:id="rId38">
        <w:r>
          <w:rPr>
            <w:color w:val="17647E"/>
            <w:u w:val="single"/>
          </w:rPr>
          <w:t>[R017]</w:t>
        </w:r>
      </w:hyperlink>
      <w:r>
        <w:t xml:space="preserve"> · </w:t>
      </w:r>
      <w:hyperlink r:id="rId14">
        <w:r>
          <w:rPr>
            <w:color w:val="17647E"/>
            <w:u w:val="single"/>
          </w:rPr>
          <w:t>[R046]</w:t>
        </w:r>
      </w:hyperlink>
      <w:r>
        <w:t xml:space="preserve"> · </w:t>
      </w:r>
      <w:hyperlink r:id="rId15">
        <w:r>
          <w:rPr>
            <w:color w:val="17647E"/>
            <w:u w:val="single"/>
          </w:rPr>
          <w:t>[R047]</w:t>
        </w:r>
      </w:hyperlink>
    </w:p>
    <w:p>
      <w:pPr>
        <w:pStyle w:val="Heading2"/>
      </w:pPr>
      <w:r>
        <w:t>4.2. Атрибуция, некоммерческое использование и неизменённость</w:t>
      </w:r>
    </w:p>
    <w:p>
      <w:r>
        <w:t>CC BY-SA 4.0 у First1KGreek и английского XML Perseus допускает повторное использование с атрибуцией, сохранением лицензионного уведомления и обозначением изменений; при распространении переработанного материала необходимо соблюсти ShareAlike. Теги FULLTEXT_INDEX_OK и EMBEDDINGS_OK здесь опираются на предоставленные авторско-правовые разрешения в указанном слое. Они не означают, что отдельной проверкой охвачены любые модели, базы данных, сторонние компоненты или все способы публичной выдачи результатов.</w:t>
      </w:r>
      <w:r>
        <w:t xml:space="preserve"> </w:t>
      </w:r>
      <w:hyperlink r:id="rId15">
        <w:r>
          <w:rPr>
            <w:color w:val="17647E"/>
            <w:u w:val="single"/>
          </w:rPr>
          <w:t>[R047]</w:t>
        </w:r>
      </w:hyperlink>
      <w:r>
        <w:t xml:space="preserve"> · </w:t>
      </w:r>
      <w:hyperlink r:id="rId61">
        <w:r>
          <w:rPr>
            <w:color w:val="17647E"/>
            <w:u w:val="single"/>
          </w:rPr>
          <w:t>[R048]</w:t>
        </w:r>
      </w:hyperlink>
    </w:p>
    <w:p>
      <w:r>
        <w:t>CC BY-NC 4.0 у Сегрейва полезна для текущего некоммерческого ToS: возможны копирование, переработка и собственный перевод при соблюдении NC и атрибуции. Для будущей коммерциализации этот маршрут потребует новой оценки. Некоммерческий характер самого проекта не заменяет лицензию: основанием является именно уведомление издания, а не благие цели ToS.</w:t>
      </w:r>
      <w:r>
        <w:t xml:space="preserve"> </w:t>
      </w:r>
      <w:hyperlink r:id="rId38">
        <w:r>
          <w:rPr>
            <w:color w:val="17647E"/>
            <w:u w:val="single"/>
          </w:rPr>
          <w:t>[R017]</w:t>
        </w:r>
      </w:hyperlink>
    </w:p>
    <w:p>
      <w:r>
        <w:t>CC BY-NC-ND 4.0 книги Burzelli допускает предусмотренное лицензией некоммерческое распространение неизменённого материала с атрибуцией. В реестре присвоены MIRROR_NONCOMMERCIAL и UNCHANGED_ONLY, но не автоматические OCR_OK, FULLTEXT_INDEX_OK, EMBEDDINGS_OK или OWN_TRANSLATION_POSSIBLE. Это осторожное разграничение действий, а не утверждение, что любая внутренняя техническая обработка непременно запрещена. Публикация переработанной транскрипции или перевода требует отдельного основания.</w:t>
      </w:r>
      <w:r>
        <w:t xml:space="preserve"> </w:t>
      </w:r>
      <w:hyperlink r:id="rId57">
        <w:r>
          <w:rPr>
            <w:color w:val="17647E"/>
            <w:u w:val="single"/>
          </w:rPr>
          <w:t>[R039]</w:t>
        </w:r>
      </w:hyperlink>
    </w:p>
    <w:p>
      <w:pPr>
        <w:pStyle w:val="Heading2"/>
      </w:pPr>
      <w:r>
        <w:t>4.3. Чтение, покупка и ссылка без доказанного права зеркала</w:t>
      </w:r>
    </w:p>
    <w:p>
      <w:r>
        <w:t>Полный бесплатный PDF De interpretatione recta 1995 года и бесплатный латинский De unitate intellectus полезны для чтения, но права на современный редакционный слой не установлены достаточно для зеркала. CLC, Peeters, Brill, ISIME, I Tatti, Meiner и Yale сохранены как научные издательские маршруты. ALD и Summulae Буридана — как институциональные входы. Ни отсутствие открытой лицензии, ни платность не стали причиной их исключения.</w:t>
      </w:r>
      <w:r>
        <w:t xml:space="preserve"> </w:t>
      </w:r>
      <w:hyperlink r:id="rId71">
        <w:r>
          <w:rPr>
            <w:color w:val="17647E"/>
            <w:u w:val="single"/>
          </w:rPr>
          <w:t>[R015]</w:t>
        </w:r>
      </w:hyperlink>
      <w:r>
        <w:t xml:space="preserve"> · </w:t>
      </w:r>
      <w:hyperlink r:id="rId77">
        <w:r>
          <w:rPr>
            <w:color w:val="17647E"/>
            <w:u w:val="single"/>
          </w:rPr>
          <w:t>[R018]</w:t>
        </w:r>
      </w:hyperlink>
      <w:r>
        <w:t xml:space="preserve"> · </w:t>
      </w:r>
      <w:hyperlink r:id="rId43">
        <w:r>
          <w:rPr>
            <w:color w:val="17647E"/>
            <w:u w:val="single"/>
          </w:rPr>
          <w:t>[R019]</w:t>
        </w:r>
      </w:hyperlink>
      <w:r>
        <w:t xml:space="preserve"> · </w:t>
      </w:r>
      <w:hyperlink r:id="rId11">
        <w:r>
          <w:rPr>
            <w:color w:val="17647E"/>
            <w:u w:val="single"/>
          </w:rPr>
          <w:t>[R021]</w:t>
        </w:r>
      </w:hyperlink>
      <w:r>
        <w:t xml:space="preserve"> · </w:t>
      </w:r>
      <w:hyperlink r:id="rId35">
        <w:r>
          <w:rPr>
            <w:color w:val="17647E"/>
            <w:u w:val="single"/>
          </w:rPr>
          <w:t>[R033]</w:t>
        </w:r>
      </w:hyperlink>
      <w:r>
        <w:t xml:space="preserve"> · </w:t>
      </w:r>
      <w:hyperlink r:id="rId36">
        <w:r>
          <w:rPr>
            <w:color w:val="17647E"/>
            <w:u w:val="single"/>
          </w:rPr>
          <w:t>[R034]</w:t>
        </w:r>
      </w:hyperlink>
      <w:r>
        <w:t xml:space="preserve"> · </w:t>
      </w:r>
      <w:hyperlink r:id="rId37">
        <w:r>
          <w:rPr>
            <w:color w:val="17647E"/>
            <w:u w:val="single"/>
          </w:rPr>
          <w:t>[R035]</w:t>
        </w:r>
      </w:hyperlink>
      <w:r>
        <w:t xml:space="preserve"> · </w:t>
      </w:r>
      <w:hyperlink r:id="rId44">
        <w:r>
          <w:rPr>
            <w:color w:val="17647E"/>
            <w:u w:val="single"/>
          </w:rPr>
          <w:t>[R040]</w:t>
        </w:r>
      </w:hyperlink>
      <w:r>
        <w:t xml:space="preserve"> · </w:t>
      </w:r>
      <w:hyperlink r:id="rId39">
        <w:r>
          <w:rPr>
            <w:color w:val="17647E"/>
            <w:u w:val="single"/>
          </w:rPr>
          <w:t>[R051]</w:t>
        </w:r>
      </w:hyperlink>
      <w:r>
        <w:t xml:space="preserve"> · </w:t>
      </w:r>
      <w:hyperlink r:id="rId40">
        <w:r>
          <w:rPr>
            <w:color w:val="17647E"/>
            <w:u w:val="single"/>
          </w:rPr>
          <w:t>[R052]</w:t>
        </w:r>
      </w:hyperlink>
      <w:r>
        <w:t xml:space="preserve"> · </w:t>
      </w:r>
      <w:hyperlink r:id="rId41">
        <w:r>
          <w:rPr>
            <w:color w:val="17647E"/>
            <w:u w:val="single"/>
          </w:rPr>
          <w:t>[R053]</w:t>
        </w:r>
      </w:hyperlink>
      <w:r>
        <w:t xml:space="preserve"> · </w:t>
      </w:r>
      <w:hyperlink r:id="rId73">
        <w:r>
          <w:rPr>
            <w:color w:val="17647E"/>
            <w:u w:val="single"/>
          </w:rPr>
          <w:t>[R055]</w:t>
        </w:r>
      </w:hyperlink>
      <w:r>
        <w:t xml:space="preserve"> · </w:t>
      </w:r>
      <w:hyperlink r:id="rId27">
        <w:r>
          <w:rPr>
            <w:color w:val="17647E"/>
            <w:u w:val="single"/>
          </w:rPr>
          <w:t>[R056]</w:t>
        </w:r>
      </w:hyperlink>
      <w:r>
        <w:t xml:space="preserve"> · </w:t>
      </w:r>
      <w:hyperlink r:id="rId28">
        <w:r>
          <w:rPr>
            <w:color w:val="17647E"/>
            <w:u w:val="single"/>
          </w:rPr>
          <w:t>[R057]</w:t>
        </w:r>
      </w:hyperlink>
    </w:p>
    <w:p>
      <w:r>
        <w:t>Отдельно сохранены регистрационные предложения Google Play Books, региональный путь Wellcome/EEB и каталоги без файла. Подтверждённой действующей библиотечной выдачи или Controlled Digital Lending конкретного современного издания в этом запуске не найдено; library_borrow не добавлен по предположению. Внешняя ссылка остаётся допустимой практической рекомендацией даже там, где текст нельзя локально публиковать.</w:t>
      </w:r>
      <w:r>
        <w:t xml:space="preserve"> </w:t>
      </w:r>
      <w:hyperlink r:id="rId46">
        <w:r>
          <w:rPr>
            <w:color w:val="17647E"/>
            <w:u w:val="single"/>
          </w:rPr>
          <w:t>[R042]</w:t>
        </w:r>
      </w:hyperlink>
      <w:r>
        <w:t xml:space="preserve"> · </w:t>
      </w:r>
      <w:hyperlink r:id="rId47">
        <w:r>
          <w:rPr>
            <w:color w:val="17647E"/>
            <w:u w:val="single"/>
          </w:rPr>
          <w:t>[R043]</w:t>
        </w:r>
      </w:hyperlink>
      <w:r>
        <w:t xml:space="preserve"> · </w:t>
      </w:r>
      <w:hyperlink r:id="rId48">
        <w:r>
          <w:rPr>
            <w:color w:val="17647E"/>
            <w:u w:val="single"/>
          </w:rPr>
          <w:t>[R044]</w:t>
        </w:r>
      </w:hyperlink>
      <w:r>
        <w:t xml:space="preserve"> · </w:t>
      </w:r>
      <w:hyperlink r:id="rId49">
        <w:r>
          <w:rPr>
            <w:color w:val="17647E"/>
            <w:u w:val="single"/>
          </w:rPr>
          <w:t>[R045]</w:t>
        </w:r>
      </w:hyperlink>
      <w:r>
        <w:t xml:space="preserve"> · </w:t>
      </w:r>
      <w:hyperlink r:id="rId78">
        <w:r>
          <w:rPr>
            <w:color w:val="17647E"/>
            <w:u w:val="single"/>
          </w:rPr>
          <w:t>[R058]</w:t>
        </w:r>
      </w:hyperlink>
    </w:p>
    <w:p>
      <w:r>
        <w:t>Сочетание положительного тега с RIGHTS_REVIEW_REQUIRED всегда требует чтения пояснения. Например, у Gutenberg технические рекомендации ограничены США; у книги Burzelli — неизменённым лицензированным NC-слоем и исключением неохваченных сторонних компонентов. Такой тег проверки блокирует автоматическое распространение разрешения на весь объект или другой способ использования.</w:t>
      </w:r>
      <w:r>
        <w:t xml:space="preserve"> </w:t>
      </w:r>
      <w:hyperlink r:id="rId57">
        <w:r>
          <w:rPr>
            <w:color w:val="17647E"/>
            <w:u w:val="single"/>
          </w:rPr>
          <w:t>[R039]</w:t>
        </w:r>
      </w:hyperlink>
      <w:r>
        <w:t xml:space="preserve"> · </w:t>
      </w:r>
      <w:hyperlink r:id="rId59">
        <w:r>
          <w:rPr>
            <w:color w:val="17647E"/>
            <w:u w:val="single"/>
          </w:rPr>
          <w:t>[R049]</w:t>
        </w:r>
      </w:hyperlink>
      <w:r>
        <w:t xml:space="preserve"> · </w:t>
      </w:r>
      <w:hyperlink r:id="rId60">
        <w:r>
          <w:rPr>
            <w:color w:val="17647E"/>
            <w:u w:val="single"/>
          </w:rPr>
          <w:t>[R050]</w:t>
        </w:r>
      </w:hyperlink>
    </w:p>
    <w:p>
      <w:pPr>
        <w:pStyle w:val="Heading1"/>
      </w:pPr>
      <w:r>
        <w:t>5. Характерные правовые тонкости</w:t>
      </w:r>
    </w:p>
    <w:p>
      <w:pPr>
        <w:pStyle w:val="Heading2"/>
      </w:pPr>
      <w:r>
        <w:t>5.1. Одинаковое древнее произведение — разные цифровые права</w:t>
      </w:r>
    </w:p>
    <w:p>
      <w:r>
        <w:t xml:space="preserve">Политика Аристотеля в переводе Бруни — экземпляр из Кордовы, венецианская печать 1500 года — доступна для чтения в Biblioteca Digital de Andalucía, но цифровая карточка содержит In Copyright. Это не означает, что древний Аристотель снова охраняется; это означает, что нельзя переносить возраст произведения на предоставленный цифровой объект. Поэтому для этой записи нет автоматического MIRROR_OK. </w:t>
      </w:r>
      <w:hyperlink r:id="rId80">
        <w:r>
          <w:rPr>
            <w:color w:val="17647E"/>
            <w:u w:val="single"/>
          </w:rPr>
          <w:t>[R037]</w:t>
        </w:r>
      </w:hyperlink>
    </w:p>
    <w:p>
      <w:r>
        <w:t>У Real Biblioteca условия допускают бесплатное использование и скачивание до 20% каждого объекта, требуют неизменности и указания Patrimonio Nacional, библиотеки и шифра; для объектов от 20 страниц полное воспроизведение требует разрешения либо заменяется внешней ссылкой. Это не CC-лицензия и не разрешение зеркалировать весь аннотированный комплект. Высокое разрешение имеет отдельный порядок. В XLSX положительный FREE_DOWNLOAD ограничен явно разрешённым объёмом.</w:t>
      </w:r>
      <w:r>
        <w:t xml:space="preserve"> </w:t>
      </w:r>
      <w:hyperlink r:id="rId58">
        <w:r>
          <w:rPr>
            <w:color w:val="17647E"/>
            <w:u w:val="single"/>
          </w:rPr>
          <w:t>[R002]</w:t>
        </w:r>
      </w:hyperlink>
      <w:r>
        <w:t xml:space="preserve"> · </w:t>
      </w:r>
      <w:hyperlink r:id="rId81">
        <w:r>
          <w:rPr>
            <w:color w:val="17647E"/>
            <w:u w:val="single"/>
          </w:rPr>
          <w:t>[условия Real Biblioteca]</w:t>
        </w:r>
      </w:hyperlink>
    </w:p>
    <w:p>
      <w:pPr>
        <w:pStyle w:val="Heading2"/>
      </w:pPr>
      <w:r>
        <w:t>5.2. Институциональная добросовестность не равна лицензии</w:t>
      </w:r>
    </w:p>
    <w:p>
      <w:r>
        <w:t>SIEPM заявляет исследовательскую цель библиотеки, предполагаемый свободный статус старых изданий, запрет коммерческого использования и необходимость учитывать законодательство пользователя. Это серьёзный академический путь обнаружения файлов, но не item-level разрешение на перераспространение каждого скана. Название PDF и открывшийся Google Drive viewer подтверждают существование указателя, а не прочитанную полноту файла или права на все компоненты. Все 18 таких маршрутов сохранены без сильных тегов повторного использования.</w:t>
      </w:r>
      <w:r>
        <w:t xml:space="preserve"> </w:t>
      </w:r>
      <w:hyperlink r:id="rId16">
        <w:r>
          <w:rPr>
            <w:color w:val="17647E"/>
            <w:u w:val="single"/>
          </w:rPr>
          <w:t>[R062]</w:t>
        </w:r>
      </w:hyperlink>
    </w:p>
    <w:p>
      <w:r>
        <w:t>Лицензию программного компонента нельзя переносить на содержание сервиса. В частности, сведения об Apache-licensed поисковой технологии в описании ALD не делают её тексты Apache-датасетом. Аналогично лицензия корня GitHub-репозитория проверялась вместе с заголовками конкретных XML, а не использовалась для автоматического разрешения всех соседних объектов.</w:t>
      </w:r>
      <w:r>
        <w:t xml:space="preserve"> </w:t>
      </w:r>
      <w:hyperlink r:id="rId11">
        <w:r>
          <w:rPr>
            <w:color w:val="17647E"/>
            <w:u w:val="single"/>
          </w:rPr>
          <w:t>[R021]</w:t>
        </w:r>
      </w:hyperlink>
      <w:r>
        <w:t xml:space="preserve"> · </w:t>
      </w:r>
      <w:hyperlink r:id="rId15">
        <w:r>
          <w:rPr>
            <w:color w:val="17647E"/>
            <w:u w:val="single"/>
          </w:rPr>
          <w:t>[R047]</w:t>
        </w:r>
      </w:hyperlink>
      <w:r>
        <w:t xml:space="preserve"> · </w:t>
      </w:r>
      <w:hyperlink r:id="rId61">
        <w:r>
          <w:rPr>
            <w:color w:val="17647E"/>
            <w:u w:val="single"/>
          </w:rPr>
          <w:t>[R048]</w:t>
        </w:r>
      </w:hyperlink>
    </w:p>
    <w:p>
      <w:pPr>
        <w:pStyle w:val="Heading2"/>
      </w:pPr>
      <w:r>
        <w:t>5.3. Научный аппарат, реконструкция и машинные производные</w:t>
      </w:r>
    </w:p>
    <w:p>
      <w:r>
        <w:t>Современный перевод, введение, аппарат и реконструированный текст могут иметь собственный статус даже внутри книги с древним оригиналом. Поэтому защищённые издания Бруни, Виссариона и CLC не названы чистой свободной основой нового перевода. Напротив, открытая лицензия Сегрейва позволяет использовать и современно изданный латинский слой в пределах её условий. Различие определяется не только датой автора, но и доступной редакцией.</w:t>
      </w:r>
      <w:r>
        <w:t xml:space="preserve"> </w:t>
      </w:r>
      <w:hyperlink r:id="rId38">
        <w:r>
          <w:rPr>
            <w:color w:val="17647E"/>
            <w:u w:val="single"/>
          </w:rPr>
          <w:t>[R017]</w:t>
        </w:r>
      </w:hyperlink>
      <w:r>
        <w:t xml:space="preserve"> · </w:t>
      </w:r>
      <w:hyperlink r:id="rId43">
        <w:r>
          <w:rPr>
            <w:color w:val="17647E"/>
            <w:u w:val="single"/>
          </w:rPr>
          <w:t>[R019]</w:t>
        </w:r>
      </w:hyperlink>
      <w:r>
        <w:t xml:space="preserve"> · </w:t>
      </w:r>
      <w:hyperlink r:id="rId35">
        <w:r>
          <w:rPr>
            <w:color w:val="17647E"/>
            <w:u w:val="single"/>
          </w:rPr>
          <w:t>[R033]</w:t>
        </w:r>
      </w:hyperlink>
      <w:r>
        <w:t xml:space="preserve"> · </w:t>
      </w:r>
      <w:hyperlink r:id="rId36">
        <w:r>
          <w:rPr>
            <w:color w:val="17647E"/>
            <w:u w:val="single"/>
          </w:rPr>
          <w:t>[R034]</w:t>
        </w:r>
      </w:hyperlink>
      <w:r>
        <w:t xml:space="preserve"> · </w:t>
      </w:r>
      <w:hyperlink r:id="rId37">
        <w:r>
          <w:rPr>
            <w:color w:val="17647E"/>
            <w:u w:val="single"/>
          </w:rPr>
          <w:t>[R035]</w:t>
        </w:r>
      </w:hyperlink>
      <w:r>
        <w:t xml:space="preserve"> · </w:t>
      </w:r>
      <w:hyperlink r:id="rId44">
        <w:r>
          <w:rPr>
            <w:color w:val="17647E"/>
            <w:u w:val="single"/>
          </w:rPr>
          <w:t>[R040]</w:t>
        </w:r>
      </w:hyperlink>
    </w:p>
    <w:p>
      <w:r>
        <w:t>OCR, публичный полнотекстовый индекс и embeddings оценивались раздельно. Наличие кнопки TXT не гарантирует качество распознавания; наличие Download не гарантирует право публикации; право читать через подписку не гарантирует право выгрузки. У PDM/CC0 и явно лицензированных текстов основание для обработки существенно чище, чем у защищённого цифрового факсимиле или подписного критического издания.</w:t>
      </w:r>
      <w:r>
        <w:t xml:space="preserve"> </w:t>
      </w:r>
      <w:hyperlink r:id="rId11">
        <w:r>
          <w:rPr>
            <w:color w:val="17647E"/>
            <w:u w:val="single"/>
          </w:rPr>
          <w:t>[R021]</w:t>
        </w:r>
      </w:hyperlink>
      <w:r>
        <w:t xml:space="preserve"> · </w:t>
      </w:r>
      <w:hyperlink r:id="rId13">
        <w:r>
          <w:rPr>
            <w:color w:val="17647E"/>
            <w:u w:val="single"/>
          </w:rPr>
          <w:t>[R023]</w:t>
        </w:r>
      </w:hyperlink>
      <w:r>
        <w:t xml:space="preserve"> · </w:t>
      </w:r>
      <w:hyperlink r:id="rId80">
        <w:r>
          <w:rPr>
            <w:color w:val="17647E"/>
            <w:u w:val="single"/>
          </w:rPr>
          <w:t>[R037]</w:t>
        </w:r>
      </w:hyperlink>
      <w:r>
        <w:t xml:space="preserve"> · </w:t>
      </w:r>
      <w:hyperlink r:id="rId14">
        <w:r>
          <w:rPr>
            <w:color w:val="17647E"/>
            <w:u w:val="single"/>
          </w:rPr>
          <w:t>[R046]</w:t>
        </w:r>
      </w:hyperlink>
      <w:r>
        <w:t xml:space="preserve"> · </w:t>
      </w:r>
      <w:hyperlink r:id="rId15">
        <w:r>
          <w:rPr>
            <w:color w:val="17647E"/>
            <w:u w:val="single"/>
          </w:rPr>
          <w:t>[R047]</w:t>
        </w:r>
      </w:hyperlink>
    </w:p>
    <w:p>
      <w:pPr>
        <w:pStyle w:val="Heading1"/>
      </w:pPr>
      <w:r>
        <w:t>6. Пробелы и дальнейший поиск</w:t>
      </w:r>
    </w:p>
    <w:p>
      <w:r>
        <w:t>Лист gaps содержит 34 записи, а не 34 отсутствующих произведения. Там разделены: неполная идентификация кандидата; известное произведение без пригодного цифрового входа; найденная карточка без файла; ограничение инструмента; неустановленные права. Общий предел запуска — отсутствие полной проверки байтов и колляции больших факсимиле, 18 нераскрытых PDF-оболочек SIEPM, несколько регистрационных и институциональных входов. Проблема инструмента не выдана за недоступность книги всем пользователям.</w:t>
      </w:r>
    </w:p>
    <w:p>
      <w:r>
        <w:t>Самые существенные содержательные лакуны: Scriptum De anima и Ars vetus Павла, De universalibus и другие рукописные ветви; полный комментарий к «Метафизике» за пределами проверенного тома VII; собственные quaestiones Верниа; ранний лекционный корпус Помпонацци 1499–1504; отдельные философские рукописи собрания Виссариона. Для каждого сохранены названия, шифры или поисковые зацепки, когда они установлены. Известное произведение не помечено несуществующим только потому, что файл не найден.</w:t>
      </w:r>
    </w:p>
    <w:p>
      <w:pPr>
        <w:pStyle w:val="Heading2"/>
      </w:pPr>
      <w:r>
        <w:t>6.1. Восемь адресных направлений</w:t>
      </w:r>
    </w:p>
    <w:p>
      <w:r>
        <w:t>1. Павел: рукописи и недостающие произведения. Проверить De anima 1504, Ars vetus 1494, De universalibus с кандидатом BnF lat. 6433B, Падую/Павию и полный корпус Metaphysica; сопоставить MS 118 и LJS 56 с современными критическими изданиями. Это приоритет для закрытия ядра, а не добавления удалённого контекста. G001–G007.</w:t>
      </w:r>
    </w:p>
    <w:p>
      <w:r>
        <w:t>2. Верниа и Гаэтано. Найти item-level факсимиле отдельных quaestiones Верниа и работ Гаэтано по Physica и De sensu; разрешить неоткрывшийся путь UVaDoc к печати 1504 года; вручную проверить бесплатные предложения Google Play и состав сборника 1507 года. G008–G012.</w:t>
      </w:r>
    </w:p>
    <w:p>
      <w:r>
        <w:t>3. Ранний Помпонацци и непосредственные ответы Нифо. Найти законный цифровой вход к Corsi inediti / падуанским лекциям 1499–1504 и De immortalitate animae Нифо 1518 года. Первая группа относится к историческому ядру, вторая — к прямой полемической цепи независимо от даты. G013–G014.</w:t>
      </w:r>
    </w:p>
    <w:p>
      <w:r>
        <w:t>4. Виссарион и греческие свидетели. От общих сведений о библиотеке перейти к отдельным философским кодексам Marciana и BAV; подтвердить точный состав и листы Vat. gr. 1720. Paris. gr. 2042 остаётся unverified_candidate до каталожного или академического подтверждения нужного текста. Грамматические тексты Халкокондила включать только после доказательства конкретной связи с линией строки. G015–G018.</w:t>
      </w:r>
    </w:p>
    <w:p>
      <w:r>
        <w:t>5. Бруни и Controversia Alphonsiana. Проверить права полного латинско-испанского PDF 1995 года, тело HTML-выборки BVMC и доступ к полному изданию полемики; установить, что означают разные каталожные годы 2000/2004. Не заменять полный корпус испанской выборкой. G021–G022.</w:t>
      </w:r>
    </w:p>
    <w:p>
      <w:r>
        <w:t>6. Машиночитаемые греческие тексты и ещё не выпущенная инфраструктура. Расширять R047 только после открытия каждого XML и его прав; отдельно проверить комментарии Александра, известные пока по CTS. Для FitMA дождаться действительно опубликованных ресурсов, а для IPSA найти релевантные философские item-level объекты вместо общего портала. G019–G020, G025–G026.</w:t>
      </w:r>
    </w:p>
    <w:p>
      <w:r>
        <w:t>7. Русские переводы. Вручную проверить НЭБ для Радлова, Розанова и Первова; искать легальный вход к русскому Помпонацци 1962 года и переводам Бруни, Павла, Верниа. До этого отделять каталожную идентификацию от доступного чтения и права повторного размещения. G023–G024.</w:t>
      </w:r>
    </w:p>
    <w:p>
      <w:r>
        <w:t>8. Проверка маршрутов и условий перед загрузкой в ToS. Раскрыть 18 PDF SIEPM, сверить страницы и титулы; проверить живую библиотечную выдачу современных изданий, область международного использования Gutenberg и ограничения отдельных цифровых изображений. Для Оккама, Агриколы и Дзабареллы продолжить поиск только по конкретным логическим и методологическим связям, уже отмеченным в gaps. G010, G027–G034.</w:t>
      </w:r>
    </w:p>
    <w:p>
      <w:r>
        <w:t>Открытый контур не завершён исчерпывающе. Agricolа De inventione dialectica и Zabarella De methodis / De regressu не превращены в установленные свободные объекты; требуется подтверждение конкретных изданий, доступа и связи. Дальнейшее исследование не должно механически поглощать всю философию XVI века. Условия ToS не проверялись через регистрацию, покупки, обращения к владельцам или публикацию материалов — эти действия не выполнялись.</w:t>
      </w:r>
    </w:p>
    <w:p>
      <w:pPr>
        <w:pStyle w:val="Heading1"/>
        <w:pageBreakBefore/>
      </w:pPr>
      <w:r>
        <w:t>7. Итоговая оценка</w:t>
      </w:r>
    </w:p>
    <w:p>
      <w:r>
        <w:t>Корпус покрыт широко на уровне произведений, переводческих ветвей и исторических печатных свидетелей, но не исчерпывающе на уровне рукописей и полных авторских собраний. Сильнее всего проверены альдинский греческий Аристотель, ряд гуманистических латинских переводов, конкретный свидетель Logica parva, открытые комплекты Томео, Газы и Барбаро. Слабее — собственные тексты Верниа, ранние лекции Помпонацци, рукописные ветви Павла и кодексы Виссариона.</w:t>
      </w:r>
      <w:r>
        <w:t xml:space="preserve"> </w:t>
      </w:r>
      <w:hyperlink r:id="rId18">
        <w:r>
          <w:rPr>
            <w:color w:val="17647E"/>
            <w:u w:val="single"/>
          </w:rPr>
          <w:t>[R001]</w:t>
        </w:r>
      </w:hyperlink>
      <w:r>
        <w:t xml:space="preserve"> · </w:t>
      </w:r>
      <w:hyperlink r:id="rId12">
        <w:r>
          <w:rPr>
            <w:color w:val="17647E"/>
            <w:u w:val="single"/>
          </w:rPr>
          <w:t>[R022]</w:t>
        </w:r>
      </w:hyperlink>
      <w:r>
        <w:t xml:space="preserve"> · </w:t>
      </w:r>
      <w:hyperlink r:id="rId13">
        <w:r>
          <w:rPr>
            <w:color w:val="17647E"/>
            <w:u w:val="single"/>
          </w:rPr>
          <w:t>[R023]</w:t>
        </w:r>
      </w:hyperlink>
      <w:r>
        <w:t xml:space="preserve"> · </w:t>
      </w:r>
      <w:hyperlink r:id="rId14">
        <w:r>
          <w:rPr>
            <w:color w:val="17647E"/>
            <w:u w:val="single"/>
          </w:rPr>
          <w:t>[R046]</w:t>
        </w:r>
      </w:hyperlink>
      <w:r>
        <w:t xml:space="preserve"> · </w:t>
      </w:r>
      <w:hyperlink r:id="rId31">
        <w:r>
          <w:rPr>
            <w:color w:val="17647E"/>
            <w:u w:val="single"/>
          </w:rPr>
          <w:t>[R065]</w:t>
        </w:r>
      </w:hyperlink>
      <w:r>
        <w:t xml:space="preserve"> · </w:t>
      </w:r>
      <w:hyperlink r:id="rId32">
        <w:r>
          <w:rPr>
            <w:color w:val="17647E"/>
            <w:u w:val="single"/>
          </w:rPr>
          <w:t>[R066]</w:t>
        </w:r>
      </w:hyperlink>
    </w:p>
    <w:p>
      <w:r>
        <w:t>Оригиналы доступны прежде всего как исторические факсимиле; свободный машиночитаемый греческий слой уже пригоден для ограниченного предметного старта. Переводы доступны неравномерно: английский имеет проверенные полнотекстовые варианты; современный испанский Бруни читается, но без установленного права зеркала; русский пока в основном представлен проверенной навигацией. Лучшие критические редакции часто остаются защищёнными и полезны именно как научные источники для чтения и сверки, а не как автоматически открытый корпус.</w:t>
      </w:r>
      <w:r>
        <w:t xml:space="preserve"> </w:t>
      </w:r>
      <w:hyperlink r:id="rId38">
        <w:r>
          <w:rPr>
            <w:color w:val="17647E"/>
            <w:u w:val="single"/>
          </w:rPr>
          <w:t>[R017]</w:t>
        </w:r>
      </w:hyperlink>
      <w:r>
        <w:t xml:space="preserve"> · </w:t>
      </w:r>
      <w:hyperlink r:id="rId77">
        <w:r>
          <w:rPr>
            <w:color w:val="17647E"/>
            <w:u w:val="single"/>
          </w:rPr>
          <w:t>[R018]</w:t>
        </w:r>
      </w:hyperlink>
      <w:r>
        <w:t xml:space="preserve"> · </w:t>
      </w:r>
      <w:hyperlink r:id="rId43">
        <w:r>
          <w:rPr>
            <w:color w:val="17647E"/>
            <w:u w:val="single"/>
          </w:rPr>
          <w:t>[R019]</w:t>
        </w:r>
      </w:hyperlink>
      <w:r>
        <w:t xml:space="preserve"> · </w:t>
      </w:r>
      <w:hyperlink r:id="rId15">
        <w:r>
          <w:rPr>
            <w:color w:val="17647E"/>
            <w:u w:val="single"/>
          </w:rPr>
          <w:t>[R047]</w:t>
        </w:r>
      </w:hyperlink>
      <w:r>
        <w:t xml:space="preserve"> · </w:t>
      </w:r>
      <w:hyperlink r:id="rId61">
        <w:r>
          <w:rPr>
            <w:color w:val="17647E"/>
            <w:u w:val="single"/>
          </w:rPr>
          <w:t>[R048]</w:t>
        </w:r>
      </w:hyperlink>
      <w:r>
        <w:t xml:space="preserve"> · </w:t>
      </w:r>
      <w:hyperlink r:id="rId59">
        <w:r>
          <w:rPr>
            <w:color w:val="17647E"/>
            <w:u w:val="single"/>
          </w:rPr>
          <w:t>[R049]</w:t>
        </w:r>
      </w:hyperlink>
      <w:r>
        <w:t xml:space="preserve"> · </w:t>
      </w:r>
      <w:hyperlink r:id="rId60">
        <w:r>
          <w:rPr>
            <w:color w:val="17647E"/>
            <w:u w:val="single"/>
          </w:rPr>
          <w:t>[R050]</w:t>
        </w:r>
      </w:hyperlink>
      <w:r>
        <w:t xml:space="preserve"> · </w:t>
      </w:r>
      <w:hyperlink r:id="rId62">
        <w:r>
          <w:rPr>
            <w:color w:val="17647E"/>
            <w:u w:val="single"/>
          </w:rPr>
          <w:t>[R059]</w:t>
        </w:r>
      </w:hyperlink>
      <w:r>
        <w:t xml:space="preserve"> · </w:t>
      </w:r>
      <w:hyperlink r:id="rId63">
        <w:r>
          <w:rPr>
            <w:color w:val="17647E"/>
            <w:u w:val="single"/>
          </w:rPr>
          <w:t>[R060]</w:t>
        </w:r>
      </w:hyperlink>
      <w:r>
        <w:t xml:space="preserve"> · </w:t>
      </w:r>
      <w:hyperlink r:id="rId64">
        <w:r>
          <w:rPr>
            <w:color w:val="17647E"/>
            <w:u w:val="single"/>
          </w:rPr>
          <w:t>[R061]</w:t>
        </w:r>
      </w:hyperlink>
    </w:p>
    <w:p>
      <w:r>
        <w:t>Наиболее свободная основа для ToS — предметные PDM/CC0 факсимиле и явно лицензированные XML; некоммерческие лицензии дают дополнительные рабочие маршруты. Главные ограничения сосредоточены в современных редакционных слоях, правах отдельных цифровых изображений, региональном/подписном доступе и неподтверждённых файловых оболочках.</w:t>
      </w:r>
    </w:p>
    <w:p>
      <w:r>
        <w:t>Пакет пригоден для передачи Codex как исследовательский реестр: сохранены исходный T2-30/A, простые record_id, заданные 32 поля, проверочные статусы, ограниченный scope положительных тегов и адресные пробелы. Он не является автоматическим списком разрешённых загрузок. До массовой индексации или публикации Codex должен учитывать coverage и verification_status вместе с rights_scope, а записи с RIGHTS_REVIEW_REQUIRED не расширять за пределы доказанного разрешения.</w:t>
      </w:r>
    </w:p>
    <w:p>
      <w:r>
        <w:t>Итог: создана карта законных входов к переходной текстовой среде — от унаследованного латинского Аристотеля до греческой печати и позднейших комментариев. Свободное, ограниченное и пока неустановленное сохранено рядом, но не смешано. Исторические границы мастер-строки не изменены.</w:t>
      </w:r>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0"/>
    </w:pPr>
    <w:r>
      <w:rPr>
        <w:color w:val="526570"/>
        <w:sz w:val="18"/>
      </w:rPr>
      <w:t>T2-30  •  04.09.2026</w:t>
    </w:r>
    <w:r>
      <w:tab/>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spacing w:after="0"/>
    </w:pPr>
    <w:r>
      <w:t>ДРЕВО СОФИИ  /  CORPUS &amp; RIGHTS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173E54"/>
      <w:sz w:val="32"/>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173E54"/>
      <w:sz w:val="25"/>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Calibri" w:hAnsi="Calibri"/>
      <w:b/>
      <w:bCs/>
      <w:color w:val="173E5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173E5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264"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b/>
      <w:bCs/>
      <w:color w:val="5265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bout.brepolis.net/aristoteles-latinus-database-ald-2/" TargetMode="External"/><Relationship Id="rId12" Type="http://schemas.openxmlformats.org/officeDocument/2006/relationships/hyperlink" Target="https://www.e-rara.ch/zuz/content/titleinfo/18561905" TargetMode="External"/><Relationship Id="rId13" Type="http://schemas.openxmlformats.org/officeDocument/2006/relationships/hyperlink" Target="https://digital.ulb.hhu.de/ihd/content/titleinfo/340158" TargetMode="External"/><Relationship Id="rId14" Type="http://schemas.openxmlformats.org/officeDocument/2006/relationships/hyperlink" Target="https://archive.org/details/ljs56" TargetMode="External"/><Relationship Id="rId15" Type="http://schemas.openxmlformats.org/officeDocument/2006/relationships/hyperlink" Target="https://github.com/OpenGreekAndLatin/First1KGreek" TargetMode="External"/><Relationship Id="rId16" Type="http://schemas.openxmlformats.org/officeDocument/2006/relationships/hyperlink" Target="https://siepm-digitalresources.bc.edu/books/" TargetMode="External"/><Relationship Id="rId17" Type="http://schemas.openxmlformats.org/officeDocument/2006/relationships/hyperlink" Target="https://hiw.kuleuven.be/dwmc/research/al/editions" TargetMode="External"/><Relationship Id="rId18" Type="http://schemas.openxmlformats.org/officeDocument/2006/relationships/hyperlink" Target="https://www.e-rara.ch/bau_1/content/titleinfo/28517943" TargetMode="External"/><Relationship Id="rId19" Type="http://schemas.openxmlformats.org/officeDocument/2006/relationships/hyperlink" Target="https://www.e-rara.ch/zuz/content/titleinfo/11007853" TargetMode="External"/><Relationship Id="rId20" Type="http://schemas.openxmlformats.org/officeDocument/2006/relationships/hyperlink" Target="https://www.e-rara.ch/zuz/content/titleinfo/11007732" TargetMode="External"/><Relationship Id="rId21" Type="http://schemas.openxmlformats.org/officeDocument/2006/relationships/hyperlink" Target="https://www.e-rara.ch/zuz/content/titleinfo/10954640" TargetMode="External"/><Relationship Id="rId22" Type="http://schemas.openxmlformats.org/officeDocument/2006/relationships/hyperlink" Target="https://www.e-rara.ch/zuz/content/titleinfo/18731706" TargetMode="External"/><Relationship Id="rId23" Type="http://schemas.openxmlformats.org/officeDocument/2006/relationships/hyperlink" Target="https://drive.google.com/file/d/1bPgfHED4N_LC1ZLPPKKBn4Y8_qAn_6IH/view" TargetMode="External"/><Relationship Id="rId24" Type="http://schemas.openxmlformats.org/officeDocument/2006/relationships/hyperlink" Target="https://drive.google.com/file/d/1bNMQEm-SGdbWBxd0H5zYXEfX5LhuPmN-/view" TargetMode="External"/><Relationship Id="rId25" Type="http://schemas.openxmlformats.org/officeDocument/2006/relationships/hyperlink" Target="https://drive.google.com/file/d/1ni7MISxL-AVSSKO_WOdD8Fe-CcngYXdz/view" TargetMode="External"/><Relationship Id="rId26" Type="http://schemas.openxmlformats.org/officeDocument/2006/relationships/hyperlink" Target="https://drive.google.com/file/d/1Qso7K3YVaFOokSqxeifLDW18LoXhYEmW/view" TargetMode="External"/><Relationship Id="rId27" Type="http://schemas.openxmlformats.org/officeDocument/2006/relationships/hyperlink" Target="https://itatti.harvard.edu/publications/dialectical-disputations" TargetMode="External"/><Relationship Id="rId28" Type="http://schemas.openxmlformats.org/officeDocument/2006/relationships/hyperlink" Target="https://itatti.harvard.edu/publications/invectives" TargetMode="External"/><Relationship Id="rId29" Type="http://schemas.openxmlformats.org/officeDocument/2006/relationships/hyperlink" Target="https://www.cervantesvirtual.com/obra/controversia-o-tratado-sobre-la-traduccion-de-la-etica-de-aristoteles-de-leonardo-bruni-seleccion/" TargetMode="External"/><Relationship Id="rId30" Type="http://schemas.openxmlformats.org/officeDocument/2006/relationships/hyperlink" Target="https://portalcientifico.uned.es/documentos/5f88ea5e29995259ef291177" TargetMode="External"/><Relationship Id="rId31" Type="http://schemas.openxmlformats.org/officeDocument/2006/relationships/hyperlink" Target="https://www.e-rara.ch/zuz/content/titleinfo/18808418" TargetMode="External"/><Relationship Id="rId32" Type="http://schemas.openxmlformats.org/officeDocument/2006/relationships/hyperlink" Target="https://www.e-rara.ch/bau_1/content/titleinfo/1908876" TargetMode="External"/><Relationship Id="rId33" Type="http://schemas.openxmlformats.org/officeDocument/2006/relationships/hyperlink" Target="https://drive.google.com/file/d/1wq254FHXQE8Y2_CVBAw_T-m-q2K6hrwT/view" TargetMode="External"/><Relationship Id="rId34" Type="http://schemas.openxmlformats.org/officeDocument/2006/relationships/hyperlink" Target="https://www.e-rara.ch/zuz/content/titleinfo/10973130" TargetMode="External"/><Relationship Id="rId35" Type="http://schemas.openxmlformats.org/officeDocument/2006/relationships/hyperlink" Target="https://www.brepols.net/products/ON-M1-F1-02011029-1" TargetMode="External"/><Relationship Id="rId36" Type="http://schemas.openxmlformats.org/officeDocument/2006/relationships/hyperlink" Target="https://www.brepols.net/products/IS-9789058674043-1" TargetMode="External"/><Relationship Id="rId37" Type="http://schemas.openxmlformats.org/officeDocument/2006/relationships/hyperlink" Target="https://www.brepols.net/products/ON-M1-F1-02011033-1" TargetMode="External"/><Relationship Id="rId38" Type="http://schemas.openxmlformats.org/officeDocument/2006/relationships/hyperlink" Target="https://www.openbookpublishers.com/books/10.11647/obp.0359" TargetMode="External"/><Relationship Id="rId39" Type="http://schemas.openxmlformats.org/officeDocument/2006/relationships/hyperlink" Target="https://yalebooks.yale.edu/book/9780300178296/long-commentary-on-the-de-anima-of-aristotle/" TargetMode="External"/><Relationship Id="rId40" Type="http://schemas.openxmlformats.org/officeDocument/2006/relationships/hyperlink" Target="https://www.jstor.org/stable/j.ctt1npvdr" TargetMode="External"/><Relationship Id="rId41" Type="http://schemas.openxmlformats.org/officeDocument/2006/relationships/hyperlink" Target="https://www.corpusthomisticum.org/oca.html" TargetMode="External"/><Relationship Id="rId42" Type="http://schemas.openxmlformats.org/officeDocument/2006/relationships/hyperlink" Target="https://www.e-rara.ch/zuz/content/titleinfo/11007507" TargetMode="External"/><Relationship Id="rId43" Type="http://schemas.openxmlformats.org/officeDocument/2006/relationships/hyperlink" Target="https://www.isime.it/product/il-trattato-de-interpretatione-recta-di-leonardo-bruni/" TargetMode="External"/><Relationship Id="rId44" Type="http://schemas.openxmlformats.org/officeDocument/2006/relationships/hyperlink" Target="https://meiner.de/fmv_de/a-ber-natur-und-kunst-15600" TargetMode="External"/><Relationship Id="rId45" Type="http://schemas.openxmlformats.org/officeDocument/2006/relationships/hyperlink" Target="https://www.cervantesvirtual.com/obra/quae-hoc-in-volumine-tractantur-bessarionis-cardinalis-niceni-in-calumniatorem-platonis-libri-quatuor-eiusdem-correctio-librorum-platonis-de-legibus-georgio-trapezuntio-interprete-eiusdem-de-natura-et-arte-adversus-eumdem-trapezuntium-tractatus-eiusdem-me/" TargetMode="External"/><Relationship Id="rId46" Type="http://schemas.openxmlformats.org/officeDocument/2006/relationships/hyperlink" Target="https://play.google.com/store/books/details?id=v6RCAAAAcAAJ" TargetMode="External"/><Relationship Id="rId47" Type="http://schemas.openxmlformats.org/officeDocument/2006/relationships/hyperlink" Target="https://play.google.com/store/books/details?id=5KfhPpyCqk4C" TargetMode="External"/><Relationship Id="rId48" Type="http://schemas.openxmlformats.org/officeDocument/2006/relationships/hyperlink" Target="https://play.google.com/store/books/details?id=FFdu5ybSBUMC" TargetMode="External"/><Relationship Id="rId49" Type="http://schemas.openxmlformats.org/officeDocument/2006/relationships/hyperlink" Target="https://play.google.com/store/books/details?id=LLWKgybCgLcC" TargetMode="External"/><Relationship Id="rId50" Type="http://schemas.openxmlformats.org/officeDocument/2006/relationships/hyperlink" Target="https://drive.google.com/file/d/16sbJwdMmylvEKhMGNI9J5ZVMwDOSKgn2/view" TargetMode="External"/><Relationship Id="rId51" Type="http://schemas.openxmlformats.org/officeDocument/2006/relationships/hyperlink" Target="https://drive.google.com/file/d/102wKo6h9jJcq2fGNugcMFy4PrAs9D7q2/view" TargetMode="External"/><Relationship Id="rId52" Type="http://schemas.openxmlformats.org/officeDocument/2006/relationships/hyperlink" Target="https://drive.google.com/file/d/1097msN5oVLdUND98cvCbFPSanBWyd3Lt/view" TargetMode="External"/><Relationship Id="rId53" Type="http://schemas.openxmlformats.org/officeDocument/2006/relationships/hyperlink" Target="https://drive.google.com/file/d/1-yQgnkOhE6r2iMwFQgQAJ-Gzn41eUl2O/view" TargetMode="External"/><Relationship Id="rId54" Type="http://schemas.openxmlformats.org/officeDocument/2006/relationships/hyperlink" Target="https://drive.google.com/file/d/1WKTFPTkJyTxn716Xu14MAXchdkD36Wuw/view" TargetMode="External"/><Relationship Id="rId55" Type="http://schemas.openxmlformats.org/officeDocument/2006/relationships/hyperlink" Target="https://drive.google.com/file/d/1WMpUMbLGjKmls8UxrLKXTatiwr0stegB/view" TargetMode="External"/><Relationship Id="rId56" Type="http://schemas.openxmlformats.org/officeDocument/2006/relationships/hyperlink" Target="https://www.e-rara.ch/zut/content/titleinfo/5364421" TargetMode="External"/><Relationship Id="rId57" Type="http://schemas.openxmlformats.org/officeDocument/2006/relationships/hyperlink" Target="https://lup.be/book/pietro-pomponazzi-and-the-renaissance-theory-of-the-elements/" TargetMode="External"/><Relationship Id="rId58" Type="http://schemas.openxmlformats.org/officeDocument/2006/relationships/hyperlink" Target="https://rbdigital.realbiblioteca.es/s/realbiblioteca/item/1475" TargetMode="External"/><Relationship Id="rId59" Type="http://schemas.openxmlformats.org/officeDocument/2006/relationships/hyperlink" Target="https://www.gutenberg.org/ebooks/8438" TargetMode="External"/><Relationship Id="rId60" Type="http://schemas.openxmlformats.org/officeDocument/2006/relationships/hyperlink" Target="https://www.gutenberg.org/ebooks/6762" TargetMode="External"/><Relationship Id="rId61" Type="http://schemas.openxmlformats.org/officeDocument/2006/relationships/hyperlink" Target="https://github.com/PerseusDL/canonical-greekLit/blob/master/data/tlg0086/tlg025/tlg0086.tlg025.perseus-eng2.xml" TargetMode="External"/><Relationship Id="rId62" Type="http://schemas.openxmlformats.org/officeDocument/2006/relationships/hyperlink" Target="https://aristoteles.philosophy.nsc.ru/textview/159" TargetMode="External"/><Relationship Id="rId63" Type="http://schemas.openxmlformats.org/officeDocument/2006/relationships/hyperlink" Target="https://aristoteles.philosophy.nsc.ru/textview/263" TargetMode="External"/><Relationship Id="rId64" Type="http://schemas.openxmlformats.org/officeDocument/2006/relationships/hyperlink" Target="https://aristoteles.philosophy.nsc.ru/textview/174" TargetMode="External"/><Relationship Id="rId65" Type="http://schemas.openxmlformats.org/officeDocument/2006/relationships/hyperlink" Target="https://drive.google.com/file/d/1YoqqhavhSYZBnEcugPEeWnXZbMr14T16/view" TargetMode="External"/><Relationship Id="rId66" Type="http://schemas.openxmlformats.org/officeDocument/2006/relationships/hyperlink" Target="https://drive.google.com/file/d/1YkQkyidV4SH_PrFJYRAXipkPY3ITrXzc/view" TargetMode="External"/><Relationship Id="rId67" Type="http://schemas.openxmlformats.org/officeDocument/2006/relationships/hyperlink" Target="https://drive.google.com/file/d/1YXet3HEu5D6DtiDYcJZO20euwS4K934D/view" TargetMode="External"/><Relationship Id="rId68" Type="http://schemas.openxmlformats.org/officeDocument/2006/relationships/hyperlink" Target="https://drive.google.com/file/d/1YiNyYqs9DnGEnduYOmgWCMMisGFjBMs5/view" TargetMode="External"/><Relationship Id="rId69" Type="http://schemas.openxmlformats.org/officeDocument/2006/relationships/hyperlink" Target="https://drive.google.com/file/d/1YbfhKAUu2vTMZ9gokLKJcZiYDB0001Ci/view" TargetMode="External"/><Relationship Id="rId70" Type="http://schemas.openxmlformats.org/officeDocument/2006/relationships/hyperlink" Target="https://drive.google.com/file/d/1YjirRSLmQV_W5Y5wHn33tdlVjdBCYXF_/view" TargetMode="External"/><Relationship Id="rId71" Type="http://schemas.openxmlformats.org/officeDocument/2006/relationships/hyperlink" Target="https://www.peeters-leuven.be/detail.php?lang=fr&amp;search_key=9789042949409&amp;series_number_str=27" TargetMode="External"/><Relationship Id="rId72" Type="http://schemas.openxmlformats.org/officeDocument/2006/relationships/hyperlink" Target="https://archives.collections.ed.ac.uk/repositories/2/archival_objects/159427" TargetMode="External"/><Relationship Id="rId73" Type="http://schemas.openxmlformats.org/officeDocument/2006/relationships/hyperlink" Target="https://brill.com/abstract/title/21482" TargetMode="External"/><Relationship Id="rId74" Type="http://schemas.openxmlformats.org/officeDocument/2006/relationships/hyperlink" Target="https://drive.google.com/file/d/1nF56KFcfKjaaUl4BkIfiBsjFfy7ynjoR/view" TargetMode="External"/><Relationship Id="rId75" Type="http://schemas.openxmlformats.org/officeDocument/2006/relationships/hyperlink" Target="https://www.cervantesvirtual.com/obra/acutissime-questiones-super-libros-de-physica-auscultatione-ab-alberto-de-saxonia-edite-iam-diu-in-tenebris-torpentes-nuperrime-vero-que-diligentissime-a-vitiis-purgate-ac-summo-987669/" TargetMode="External"/><Relationship Id="rId76" Type="http://schemas.openxmlformats.org/officeDocument/2006/relationships/hyperlink" Target="https://airus.unisalento.it/handle/11587/110941" TargetMode="External"/><Relationship Id="rId77" Type="http://schemas.openxmlformats.org/officeDocument/2006/relationships/hyperlink" Target="https://dialnet.unirioja.es/servlet/articulo?codigo=165872" TargetMode="External"/><Relationship Id="rId78" Type="http://schemas.openxmlformats.org/officeDocument/2006/relationships/hyperlink" Target="https://wellcomecollection.org/works/y6q492jr" TargetMode="External"/><Relationship Id="rId79" Type="http://schemas.openxmlformats.org/officeDocument/2006/relationships/hyperlink" Target="https://hiw.kuleuven.be/dwmc/research/fitma" TargetMode="External"/><Relationship Id="rId80" Type="http://schemas.openxmlformats.org/officeDocument/2006/relationships/hyperlink" Target="https://www.bibliotecadigitaldeandalucia.es/catalogo/es/consulta/registro.do?id=6787" TargetMode="External"/><Relationship Id="rId81" Type="http://schemas.openxmlformats.org/officeDocument/2006/relationships/hyperlink" Target="https://rbdigital.realbiblioteca.es/s/realbiblioteca/page/t-rminos-de-us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ToS Corpus &amp; Rights Registry — T2-30</dc:title>
  <dc:subject>Позднесредневековый гуманистико-аристотелевский переход</dc:subject>
  <dc:creator>ToS / Древо Софии</dc:creator>
  <cp:keywords>T2-30; corpus; rights; Aristotle; manuscripts; translations</cp:keywords>
  <dc:description>Исследовательский отчёт; основной реестр и пробелы находятся в сопутствующем XLSX.</dc:description>
  <cp:lastModifiedBy/>
  <cp:revision>1</cp:revision>
  <dcterms:created xsi:type="dcterms:W3CDTF">2013-12-23T23:15:00Z</dcterms:created>
  <dcterms:modified xsi:type="dcterms:W3CDTF">2013-12-23T23:15:00Z</dcterms:modified>
  <cp:category/>
</cp:coreProperties>
</file>