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ToS Corpus &amp; Rights Registry</w:t>
      </w:r>
    </w:p>
    <w:p>
      <w:pPr>
        <w:pStyle w:val="Subtitle"/>
        <w:jc w:val="center"/>
      </w:pPr>
      <w:r>
        <w:t>A04 — Египетский sebayt, Маат и писцовая этика</w:t>
      </w:r>
    </w:p>
    <w:p>
      <w:pPr>
        <w:jc w:val="center"/>
      </w:pPr>
      <w:r>
        <w:rPr>
          <w:color w:val="4A5E5C"/>
          <w:sz w:val="22"/>
        </w:rPr>
        <w:t>Исследовательский пакет законных путей чтения, скачивания, просмотра оригиналов, библиотечного доступа, машинной обработки и повторного использования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0F5F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26"/>
            <w:shd w:fill="0F5F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Исходный статус</w:t>
            </w:r>
          </w:p>
        </w:tc>
        <w:tc>
          <w:tcPr>
            <w:tcW w:type="dxa" w:w="3326"/>
            <w:shd w:fill="0F5F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Дата проверки</w:t>
            </w:r>
          </w:p>
        </w:tc>
      </w:tr>
      <w:tr>
        <w:trPr>
          <w:cantSplit/>
        </w:trPr>
        <w:tc>
          <w:tcPr>
            <w:tcW w:type="dxa" w:w="33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A04</w:t>
            </w:r>
          </w:p>
        </w:tc>
        <w:tc>
          <w:tcPr>
            <w:tcW w:type="dxa" w:w="33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33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2026-09-02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2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</w:rPr>
              <w:t>91 проверенная запись доступа · 15 targeted gaps · 7 центральных произведений · ранние предшественники, поздние продолжения и линия Amenemope–Proverbs</w:t>
            </w:r>
          </w:p>
        </w:tc>
      </w:tr>
    </w:tbl>
    <w:p/>
    <w:p>
      <w:pPr>
        <w:jc w:val="center"/>
      </w:pPr>
      <w:r>
        <w:rPr>
          <w:i/>
          <w:color w:val="6B6B6B"/>
        </w:rPr>
        <w:t>Правовой статус разнесён по исходному произведению, версии/изданию, цифровому объекту и условиям платформы.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89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4989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ID и название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 — Египетский sebayt, Маат и писцовая этика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Исходный статус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B; развитая письменная мудрость и нормативно-этическая рефлексия без доказанной автономной философской школы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Исходный DR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ToS Deep Research_ A04 — Египетский sebayt, Маат и писцовая этика(5).docx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Дата проверки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2026-09-02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Языки поиска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русский, английский, немецкий, французский; точечно — нидерландские и локальные музейные варианты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Историческое ядро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позднее Древнее царство / Среднее царство / Новое царство с поздней школьной и рукописной жизнью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Ядро корпуса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Ptahhotep, Kagemni, Merykare, Loyalist Teaching, Amenemope, Satire of the Trades, Immortality of Writers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Типы объектов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works/corpora, physical witnesses, editions/translations, facsimiles, datasets/APIs, museum records, borrow/preview/purchase routes</w:t>
            </w:r>
          </w:p>
        </w:tc>
      </w:tr>
    </w:tbl>
    <w:p>
      <w:r>
        <w:rPr>
          <w:b/>
        </w:rPr>
        <w:t xml:space="preserve">Рабочая граница. </w:t>
      </w:r>
      <w:r>
        <w:t>Исходный DR трактует A04 не как «Египет вообще», а как устойчивую письменную экосистему поучений: Маат, этика речи, справедливое управление, самоконтроль и писцовое самоформирование связаны с двором, школой, домом жизни, папирусом, остраконом, стелой и поздним переписыванием. Реестр сохраняет эту границу и расширяет её только при конкретной корпусной, жанровой, текстуальной, материальной или трансмиссионной связи.</w:t>
      </w:r>
    </w:p>
    <w:p>
      <w:r>
        <w:rPr>
          <w:b/>
        </w:rPr>
        <w:t xml:space="preserve">Правовой метод. </w:t>
      </w:r>
      <w:r>
        <w:t>Бесплатное чтение, скачивание, локальная исследовательская копия, OCR, полнотекстовый индекс, embeddings, собственный перевод и публичное зеркалирование оценены как разные действия. Любой положительный тег действует только в заявленных rights_scope и coverage.</w:t>
      </w:r>
    </w:p>
    <w:p>
      <w:pPr>
        <w:pStyle w:val="Heading1"/>
      </w:pPr>
      <w:r>
        <w:t>2. Охват корпуса</w:t>
      </w:r>
    </w:p>
    <w:p>
      <w:r>
        <w:rPr>
          <w:b/>
        </w:rPr>
        <w:t xml:space="preserve">Количественный итог. </w:t>
      </w:r>
      <w:r>
        <w:t>XLSX содержит 91 практически различимую запись доступа и 15 пробелов. Это не 91 произведение: семь central works получили несколько независимых путей, а инфраструктура, конкретные witnesses и переводы учитываются отдельно. В расширенном контуре выявлено около двух десятков первичных произведений и связанных textual units.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326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Relevance</w:t>
            </w:r>
          </w:p>
        </w:tc>
        <w:tc>
          <w:tcPr>
            <w:tcW w:type="dxa" w:w="3326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Записей</w:t>
            </w:r>
          </w:p>
        </w:tc>
        <w:tc>
          <w:tcPr>
            <w:tcW w:type="dxa" w:w="3326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Что здесь учитывается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core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49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центральные texts, principal witnesses и ключевые editions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same_corpus_or_tradition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прямые члены sebayt/scribal-school tradition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antecedent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ранний жанровый predecessor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continuation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New Kingdom and Demotic continuations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transmission_or_preservation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передача в biblical wisdom и version-specific access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commentary_or_reception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вторичная навигация, нужная для доказательной связи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supporting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близкие texts и общие anthologies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boundary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пограничный текст порядка/isfet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infrastructure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13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corpora, datasets, APIs, catalogues</w:t>
            </w:r>
          </w:p>
        </w:tc>
      </w:tr>
      <w:tr>
        <w:trPr>
          <w:cantSplit/>
        </w:trPr>
        <w:tc>
          <w:tcPr>
            <w:tcW w:type="dxa" w:w="3326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secondary_navigation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официальная legal/usage page</w:t>
            </w:r>
          </w:p>
        </w:tc>
      </w:tr>
    </w:tbl>
    <w:p>
      <w:pPr>
        <w:pStyle w:val="Heading2"/>
      </w:pPr>
      <w:r>
        <w:t>Центральное ядро</w:t>
      </w:r>
    </w:p>
    <w:p>
      <w:pPr>
        <w:pStyle w:val="ListBullet"/>
      </w:pPr>
      <w:r>
        <w:rPr>
          <w:b/>
        </w:rPr>
        <w:t xml:space="preserve">Instruction of Ptahhotep — </w:t>
      </w:r>
      <w:r>
        <w:t>канонический sebayt об этике речи, слушания, статуса и справедливого управления; главный полный witness — Papyrus Prisse.</w:t>
      </w:r>
    </w:p>
    <w:p>
      <w:pPr>
        <w:pStyle w:val="ListBullet"/>
      </w:pPr>
      <w:r>
        <w:rPr>
          <w:b/>
        </w:rPr>
        <w:t xml:space="preserve">Instructions of Kagemni — </w:t>
      </w:r>
      <w:r>
        <w:t>фрагментарное поучение об умеренности и телесной/социальной сдержанности; сохранился конец на Papyrus Prisse.</w:t>
      </w:r>
    </w:p>
    <w:p>
      <w:pPr>
        <w:pStyle w:val="ListBullet"/>
      </w:pPr>
      <w:r>
        <w:rPr>
          <w:b/>
        </w:rPr>
        <w:t xml:space="preserve">Teaching for King Merykare — </w:t>
      </w:r>
      <w:r>
        <w:t>царское наставление о власти, наказании, мятеже, бедном, суде и посмертной ответственности; текст сводится из трёх фрагментарных witnesses.</w:t>
      </w:r>
    </w:p>
    <w:p>
      <w:pPr>
        <w:pStyle w:val="ListBullet"/>
      </w:pPr>
      <w:r>
        <w:rPr>
          <w:b/>
        </w:rPr>
        <w:t xml:space="preserve">Loyalist Teaching — </w:t>
      </w:r>
      <w:r>
        <w:t>нормативность царской лояльности и обязанностей внутри социальной иерархии; ранний монументальный слой и поздние полные copies.</w:t>
      </w:r>
    </w:p>
    <w:p>
      <w:pPr>
        <w:pStyle w:val="ListBullet"/>
      </w:pPr>
      <w:r>
        <w:rPr>
          <w:b/>
        </w:rPr>
        <w:t xml:space="preserve">Instruction of Amenemope — </w:t>
      </w:r>
      <w:r>
        <w:t>тридцать глав о бедном, границах поля, богатстве, гневе и «молчаливом человеке»; главный witness BM EA 10474.</w:t>
      </w:r>
    </w:p>
    <w:p>
      <w:pPr>
        <w:pStyle w:val="ListBullet"/>
      </w:pPr>
      <w:r>
        <w:rPr>
          <w:b/>
        </w:rPr>
        <w:t xml:space="preserve">Satire of the Trades — </w:t>
      </w:r>
      <w:r>
        <w:t>писцовая школьная самореклама и материальная педагогика множества copies, tablets and ostraca.</w:t>
      </w:r>
    </w:p>
    <w:p>
      <w:pPr>
        <w:pStyle w:val="ListBullet"/>
      </w:pPr>
      <w:r>
        <w:rPr>
          <w:b/>
        </w:rPr>
        <w:t xml:space="preserve">Immortality of Writers — </w:t>
      </w:r>
      <w:r>
        <w:t>позднее писцовое самоосознание: книга и произносимое имя как более прочная память, чем гробница.</w:t>
      </w:r>
    </w:p>
    <w:p>
      <w:pPr>
        <w:pStyle w:val="Heading2"/>
      </w:pPr>
      <w:r>
        <w:t>Поиск назад и прямые родственники</w:t>
      </w:r>
    </w:p>
    <w:p>
      <w:r>
        <w:rPr>
          <w:b/>
        </w:rPr>
        <w:t xml:space="preserve">Antecedent. </w:t>
      </w:r>
      <w:r>
        <w:t>Instruction of Hardjedef включён как ранний прямой член instructional tradition, а не как общая древнеегипетская мудрость.</w:t>
      </w:r>
    </w:p>
    <w:p>
      <w:r>
        <w:rPr>
          <w:b/>
        </w:rPr>
        <w:t xml:space="preserve">Same corpus or tradition. </w:t>
      </w:r>
      <w:r>
        <w:t>Instruction of Amenemhat I, Instruction of a Man for His Son, Kemit, Lamentations of Khakheperreseneb и Be a Scribe! связаны с A04 через жанр наставления, царскую/отцовско-сыновнюю форму, школьное переписывание или позднюю канонизацию писцов. Be a Scribe! особенно силён: он непосредственно следует за Immortality of Writers в Papyrus Chester Beatty IV.</w:t>
      </w:r>
    </w:p>
    <w:p>
      <w:r>
        <w:rPr>
          <w:b/>
        </w:rPr>
        <w:t xml:space="preserve">Supporting and boundary. </w:t>
      </w:r>
      <w:r>
        <w:t>The Eloquent Peasant включён как близкий текст об этике речи, правосудии и Маат, но не как sebayt. Prophecy of Neferty оставлен boundary-объектом: его связь проходит через isfet, восстановление порядка и школьную передачу.</w:t>
      </w:r>
    </w:p>
    <w:p>
      <w:pPr>
        <w:pStyle w:val="Heading2"/>
      </w:pPr>
      <w:r>
        <w:t>Поиск вперёд и линии передачи</w:t>
      </w:r>
    </w:p>
    <w:p>
      <w:r>
        <w:rPr>
          <w:b/>
        </w:rPr>
        <w:t xml:space="preserve">Continuation. </w:t>
      </w:r>
      <w:r>
        <w:t>Instruction of Ani, Instruction of Ankhsheshonqy и Papyrus Insinger показывают дальнейшую жизнь египетского наставления в Новом царстве и демотической мудрости. Они образуют хронологический ореол и границу с отдельным позднеегипетским узлом, не меняя ID, status or chronology A04.</w:t>
      </w:r>
    </w:p>
    <w:p>
      <w:r>
        <w:rPr>
          <w:b/>
        </w:rPr>
        <w:t xml:space="preserve">Transmission. </w:t>
      </w:r>
      <w:r>
        <w:t>Proverbs 22:17–24:22 включён как конкретная линия передачи/адаптации Amenemope. Реестр специально разводит Hebrew text, public-domain JPS 1917 and modern JPS 2023 CC BY-NC. Вторичные Ruffle/Shupak routes нужны для осторожности: близость широко признана, но механизм, объём и направление нельзя сводить к формуле «Притчи просто скопированы».</w:t>
      </w:r>
    </w:p>
    <w:p>
      <w:pPr>
        <w:pStyle w:val="Heading1"/>
      </w:pPr>
      <w:r>
        <w:t>3. Лучшие пути доступа</w:t>
      </w:r>
    </w:p>
    <w:p>
      <w:r>
        <w:rPr>
          <w:b/>
        </w:rPr>
        <w:t xml:space="preserve">Общий принцип. </w:t>
      </w:r>
      <w:r>
        <w:t>Для чтения удобнее UCL/TLA; для материального witness — Gallica, British Museum, Carlsberg and IFAO; для открытой machine processing — ORAEC and official TLA raw releases; для научной сверки — modern editions Allen, Lichtheim, Simpson, Hagen and Parkinson.</w:t>
      </w:r>
    </w:p>
    <w:p>
      <w:pPr>
        <w:pStyle w:val="Heading2"/>
      </w:pPr>
      <w:r>
        <w:t>Ptahhotep</w:t>
      </w:r>
    </w:p>
    <w:p>
      <w:r>
        <w:rPr>
          <w:b/>
        </w:rPr>
        <w:t xml:space="preserve">Лучший бесплатный путь: </w:t>
      </w:r>
      <w:hyperlink r:id="rId11">
        <w:r>
          <w:rPr>
            <w:color w:val="0563C1"/>
            <w:u w:val="single"/>
          </w:rPr>
          <w:t>TLA item</w:t>
        </w:r>
      </w:hyperlink>
      <w:r>
        <w:t xml:space="preserve">; </w:t>
      </w:r>
      <w:hyperlink r:id="rId12">
        <w:r>
          <w:rPr>
            <w:color w:val="0563C1"/>
            <w:u w:val="single"/>
          </w:rPr>
          <w:t>UCL full read</w:t>
        </w:r>
      </w:hyperlink>
      <w:r>
        <w:t>.</w:t>
      </w:r>
    </w:p>
    <w:p>
      <w:r>
        <w:rPr>
          <w:b/>
        </w:rPr>
        <w:t xml:space="preserve">Оригинал / witness: </w:t>
      </w:r>
      <w:hyperlink r:id="rId13">
        <w:r>
          <w:rPr>
            <w:color w:val="0563C1"/>
            <w:u w:val="single"/>
          </w:rPr>
          <w:t>Papyrus Prisse facsimile, pBN 186–194</w:t>
        </w:r>
      </w:hyperlink>
      <w:r>
        <w:t>.</w:t>
      </w:r>
    </w:p>
    <w:p>
      <w:r>
        <w:rPr>
          <w:b/>
        </w:rPr>
        <w:t xml:space="preserve">Старый открытый слой: </w:t>
      </w:r>
      <w:hyperlink r:id="rId14">
        <w:r>
          <w:rPr>
            <w:color w:val="0563C1"/>
            <w:u w:val="single"/>
          </w:rPr>
          <w:t>Gunn at Project Gutenberg</w:t>
        </w:r>
      </w:hyperlink>
      <w:r>
        <w:t>.</w:t>
      </w:r>
    </w:p>
    <w:p>
      <w:r>
        <w:rPr>
          <w:b/>
        </w:rPr>
        <w:t xml:space="preserve">Современный научный вариант: </w:t>
      </w:r>
      <w:hyperlink r:id="rId15">
        <w:r>
          <w:rPr>
            <w:color w:val="0563C1"/>
            <w:u w:val="single"/>
          </w:rPr>
          <w:t>Hagen 2012</w:t>
        </w:r>
      </w:hyperlink>
      <w:r>
        <w:t xml:space="preserve">; </w:t>
      </w:r>
      <w:hyperlink r:id="rId16">
        <w:r>
          <w:rPr>
            <w:color w:val="0563C1"/>
            <w:u w:val="single"/>
          </w:rPr>
          <w:t>Allen, Middle Egyptian Literature</w:t>
        </w:r>
      </w:hyperlink>
      <w:r>
        <w:t>.</w:t>
      </w:r>
    </w:p>
    <w:p>
      <w:r>
        <w:rPr>
          <w:b/>
        </w:rPr>
        <w:t xml:space="preserve">Машиночитаемый слой. </w:t>
      </w:r>
      <w:r>
        <w:t>TLA raw releases; exact ORAEC record remains a gap.</w:t>
      </w:r>
    </w:p>
    <w:p>
      <w:r>
        <w:rPr>
          <w:b/>
        </w:rPr>
        <w:t xml:space="preserve">Наиболее свободный слой. </w:t>
      </w:r>
      <w:r>
        <w:t>Gallica: noncommercial reuse with source attribution; raw releases: CC BY-SA.</w:t>
      </w:r>
    </w:p>
    <w:p>
      <w:pPr>
        <w:pStyle w:val="Heading2"/>
      </w:pPr>
      <w:r>
        <w:t>Kagemni</w:t>
      </w:r>
    </w:p>
    <w:p>
      <w:r>
        <w:rPr>
          <w:b/>
        </w:rPr>
        <w:t xml:space="preserve">Лучший бесплатный путь: </w:t>
      </w:r>
      <w:hyperlink r:id="rId17">
        <w:r>
          <w:rPr>
            <w:color w:val="0563C1"/>
            <w:u w:val="single"/>
          </w:rPr>
          <w:t>TLA fragment</w:t>
        </w:r>
      </w:hyperlink>
      <w:r>
        <w:t xml:space="preserve">; </w:t>
      </w:r>
      <w:hyperlink r:id="rId14">
        <w:r>
          <w:rPr>
            <w:color w:val="0563C1"/>
            <w:u w:val="single"/>
          </w:rPr>
          <w:t>Gunn translation</w:t>
        </w:r>
      </w:hyperlink>
      <w:r>
        <w:t>.</w:t>
      </w:r>
    </w:p>
    <w:p>
      <w:r>
        <w:rPr>
          <w:b/>
        </w:rPr>
        <w:t xml:space="preserve">Оригинал / witness: </w:t>
      </w:r>
      <w:hyperlink r:id="rId18">
        <w:r>
          <w:rPr>
            <w:color w:val="0563C1"/>
            <w:u w:val="single"/>
          </w:rPr>
          <w:t>Papyrus Prisse pBN 183</w:t>
        </w:r>
      </w:hyperlink>
      <w:r>
        <w:t>.</w:t>
      </w:r>
    </w:p>
    <w:p>
      <w:r>
        <w:rPr>
          <w:b/>
        </w:rPr>
        <w:t xml:space="preserve">Старый открытый слой: </w:t>
      </w:r>
      <w:hyperlink r:id="rId14">
        <w:r>
          <w:rPr>
            <w:color w:val="0563C1"/>
            <w:u w:val="single"/>
          </w:rPr>
          <w:t>Gunn at Project Gutenberg</w:t>
        </w:r>
      </w:hyperlink>
      <w:r>
        <w:t>.</w:t>
      </w:r>
    </w:p>
    <w:p>
      <w:r>
        <w:rPr>
          <w:b/>
        </w:rPr>
        <w:t xml:space="preserve">Современный научный вариант: </w:t>
      </w:r>
      <w:hyperlink r:id="rId19">
        <w:r>
          <w:rPr>
            <w:color w:val="0563C1"/>
            <w:u w:val="single"/>
          </w:rPr>
          <w:t>Lichtheim, Vol. I</w:t>
        </w:r>
      </w:hyperlink>
      <w:r>
        <w:t>.</w:t>
      </w:r>
    </w:p>
    <w:p>
      <w:r>
        <w:rPr>
          <w:b/>
        </w:rPr>
        <w:t xml:space="preserve">Машиночитаемый слой. </w:t>
      </w:r>
      <w:r>
        <w:t>TLA; exact ORAEC record still to locate.</w:t>
      </w:r>
    </w:p>
    <w:p>
      <w:r>
        <w:rPr>
          <w:b/>
        </w:rPr>
        <w:t xml:space="preserve">Наиболее свободный слой. </w:t>
      </w:r>
      <w:r>
        <w:t>The clean basis covers only the surviving fragment, not a hypothetical full work.</w:t>
      </w:r>
    </w:p>
    <w:p>
      <w:pPr>
        <w:pStyle w:val="Heading2"/>
      </w:pPr>
      <w:r>
        <w:t>Merykare</w:t>
      </w:r>
    </w:p>
    <w:p>
      <w:r>
        <w:rPr>
          <w:b/>
        </w:rPr>
        <w:t xml:space="preserve">Лучший бесплатный путь: </w:t>
      </w:r>
      <w:hyperlink r:id="rId20">
        <w:r>
          <w:rPr>
            <w:color w:val="0563C1"/>
            <w:u w:val="single"/>
          </w:rPr>
          <w:t>TLA composite text</w:t>
        </w:r>
      </w:hyperlink>
      <w:r>
        <w:t>.</w:t>
      </w:r>
    </w:p>
    <w:p>
      <w:r>
        <w:rPr>
          <w:b/>
        </w:rPr>
        <w:t xml:space="preserve">Оригинал / witness: </w:t>
      </w:r>
      <w:hyperlink r:id="rId21">
        <w:r>
          <w:rPr>
            <w:color w:val="0563C1"/>
            <w:u w:val="single"/>
          </w:rPr>
          <w:t>P. Carlsberg 6</w:t>
        </w:r>
      </w:hyperlink>
      <w:r>
        <w:t xml:space="preserve">; </w:t>
      </w:r>
      <w:hyperlink r:id="rId22">
        <w:r>
          <w:rPr>
            <w:color w:val="0563C1"/>
            <w:u w:val="single"/>
          </w:rPr>
          <w:t>pPetersburg 1116A object</w:t>
        </w:r>
      </w:hyperlink>
      <w:r>
        <w:t>.</w:t>
      </w:r>
    </w:p>
    <w:p>
      <w:r>
        <w:rPr>
          <w:b/>
        </w:rPr>
        <w:t xml:space="preserve">Старый открытый слой: </w:t>
      </w:r>
      <w:hyperlink r:id="rId23">
        <w:r>
          <w:rPr>
            <w:color w:val="0563C1"/>
            <w:u w:val="single"/>
          </w:rPr>
          <w:t>Archived English route</w:t>
        </w:r>
      </w:hyperlink>
      <w:r>
        <w:t>.</w:t>
      </w:r>
    </w:p>
    <w:p>
      <w:r>
        <w:rPr>
          <w:b/>
        </w:rPr>
        <w:t xml:space="preserve">Современный научный вариант: </w:t>
      </w:r>
      <w:hyperlink r:id="rId16">
        <w:r>
          <w:rPr>
            <w:color w:val="0563C1"/>
            <w:u w:val="single"/>
          </w:rPr>
          <w:t>Allen</w:t>
        </w:r>
      </w:hyperlink>
      <w:r>
        <w:t xml:space="preserve">; </w:t>
      </w:r>
      <w:hyperlink r:id="rId19">
        <w:r>
          <w:rPr>
            <w:color w:val="0563C1"/>
            <w:u w:val="single"/>
          </w:rPr>
          <w:t>Lichtheim I</w:t>
        </w:r>
      </w:hyperlink>
      <w:r>
        <w:t>.</w:t>
      </w:r>
    </w:p>
    <w:p>
      <w:r>
        <w:rPr>
          <w:b/>
        </w:rPr>
        <w:t xml:space="preserve">Машиночитаемый слой. </w:t>
      </w:r>
      <w:r>
        <w:t>TLA and raw releases; exact ORAEC item and full three-witness facsimile remain gaps.</w:t>
      </w:r>
    </w:p>
    <w:p>
      <w:r>
        <w:rPr>
          <w:b/>
        </w:rPr>
        <w:t xml:space="preserve">Наиболее свободный слой. </w:t>
      </w:r>
      <w:r>
        <w:t>No fully verified open facsimile of the whole manuscript tradition.</w:t>
      </w:r>
    </w:p>
    <w:p>
      <w:pPr>
        <w:pStyle w:val="Heading2"/>
      </w:pPr>
      <w:r>
        <w:t>Loyalist Teaching</w:t>
      </w:r>
    </w:p>
    <w:p>
      <w:r>
        <w:rPr>
          <w:b/>
        </w:rPr>
        <w:t xml:space="preserve">Лучший бесплатный путь: </w:t>
      </w:r>
      <w:hyperlink r:id="rId24">
        <w:r>
          <w:rPr>
            <w:color w:val="0563C1"/>
            <w:u w:val="single"/>
          </w:rPr>
          <w:t>UCL full read</w:t>
        </w:r>
      </w:hyperlink>
      <w:r>
        <w:t xml:space="preserve">; </w:t>
      </w:r>
      <w:hyperlink r:id="rId25">
        <w:r>
          <w:rPr>
            <w:color w:val="0563C1"/>
            <w:u w:val="single"/>
          </w:rPr>
          <w:t>TLA Sehetepibre witness</w:t>
        </w:r>
      </w:hyperlink>
      <w:r>
        <w:t>.</w:t>
      </w:r>
    </w:p>
    <w:p>
      <w:r>
        <w:rPr>
          <w:b/>
        </w:rPr>
        <w:t xml:space="preserve">Оригинал / witness: </w:t>
      </w:r>
      <w:hyperlink r:id="rId25">
        <w:r>
          <w:rPr>
            <w:color w:val="0563C1"/>
            <w:u w:val="single"/>
          </w:rPr>
          <w:t>TLA stela text</w:t>
        </w:r>
      </w:hyperlink>
      <w:r>
        <w:t>.</w:t>
      </w:r>
    </w:p>
    <w:p>
      <w:r>
        <w:rPr>
          <w:b/>
        </w:rPr>
        <w:t xml:space="preserve">Старый открытый слой: </w:t>
      </w:r>
      <w:r>
        <w:t>отдельный надёжный вариант не установлен.</w:t>
      </w:r>
    </w:p>
    <w:p>
      <w:r>
        <w:rPr>
          <w:b/>
        </w:rPr>
        <w:t xml:space="preserve">Современный научный вариант: </w:t>
      </w:r>
      <w:hyperlink r:id="rId19">
        <w:r>
          <w:rPr>
            <w:color w:val="0563C1"/>
            <w:u w:val="single"/>
          </w:rPr>
          <w:t>Lichtheim I</w:t>
        </w:r>
      </w:hyperlink>
      <w:r>
        <w:t>.</w:t>
      </w:r>
    </w:p>
    <w:p>
      <w:r>
        <w:rPr>
          <w:b/>
        </w:rPr>
        <w:t xml:space="preserve">Машиночитаемый слой. </w:t>
      </w:r>
      <w:r>
        <w:t>ORAEC oraec107 for the fragment, with manual item-ID recheck; TLA raw releases.</w:t>
      </w:r>
    </w:p>
    <w:p>
      <w:r>
        <w:rPr>
          <w:b/>
        </w:rPr>
        <w:t xml:space="preserve">Наиболее свободный слой. </w:t>
      </w:r>
      <w:r>
        <w:t>ORAEC CC BY-SA applies to the recorded text fragment, not an unverified museum photograph.</w:t>
      </w:r>
    </w:p>
    <w:p>
      <w:pPr>
        <w:pStyle w:val="Heading2"/>
      </w:pPr>
      <w:r>
        <w:t>Amenemope</w:t>
      </w:r>
    </w:p>
    <w:p>
      <w:r>
        <w:rPr>
          <w:b/>
        </w:rPr>
        <w:t xml:space="preserve">Лучший бесплатный путь: </w:t>
      </w:r>
      <w:hyperlink r:id="rId26">
        <w:r>
          <w:rPr>
            <w:color w:val="0563C1"/>
            <w:u w:val="single"/>
          </w:rPr>
          <w:t>TLA complete text</w:t>
        </w:r>
      </w:hyperlink>
      <w:r>
        <w:t xml:space="preserve">; </w:t>
      </w:r>
      <w:hyperlink r:id="rId27">
        <w:r>
          <w:rPr>
            <w:color w:val="0563C1"/>
            <w:u w:val="single"/>
          </w:rPr>
          <w:t>Russian translation/article</w:t>
        </w:r>
      </w:hyperlink>
      <w:r>
        <w:t>.</w:t>
      </w:r>
    </w:p>
    <w:p>
      <w:r>
        <w:rPr>
          <w:b/>
        </w:rPr>
        <w:t xml:space="preserve">Оригинал / witness: </w:t>
      </w:r>
      <w:hyperlink r:id="rId28">
        <w:r>
          <w:rPr>
            <w:color w:val="0563C1"/>
            <w:u w:val="single"/>
          </w:rPr>
          <w:t>BM EA 10474 record</w:t>
        </w:r>
      </w:hyperlink>
      <w:r>
        <w:t>.</w:t>
      </w:r>
    </w:p>
    <w:p>
      <w:r>
        <w:rPr>
          <w:b/>
        </w:rPr>
        <w:t xml:space="preserve">Старый открытый слой: </w:t>
      </w:r>
      <w:hyperlink r:id="rId29">
        <w:r>
          <w:rPr>
            <w:color w:val="0563C1"/>
            <w:u w:val="single"/>
          </w:rPr>
          <w:t>Lange 1925</w:t>
        </w:r>
      </w:hyperlink>
      <w:r>
        <w:t xml:space="preserve">; </w:t>
      </w:r>
      <w:hyperlink r:id="rId30">
        <w:r>
          <w:rPr>
            <w:color w:val="0563C1"/>
            <w:u w:val="single"/>
          </w:rPr>
          <w:t>Budge facsimile publication</w:t>
        </w:r>
      </w:hyperlink>
      <w:r>
        <w:t>.</w:t>
      </w:r>
    </w:p>
    <w:p>
      <w:r>
        <w:rPr>
          <w:b/>
        </w:rPr>
        <w:t xml:space="preserve">Современный научный вариант: </w:t>
      </w:r>
      <w:hyperlink r:id="rId31">
        <w:r>
          <w:rPr>
            <w:color w:val="0563C1"/>
            <w:u w:val="single"/>
          </w:rPr>
          <w:t>Lichtheim II</w:t>
        </w:r>
      </w:hyperlink>
      <w:r>
        <w:t xml:space="preserve">; </w:t>
      </w:r>
      <w:hyperlink r:id="rId32">
        <w:r>
          <w:rPr>
            <w:color w:val="0563C1"/>
            <w:u w:val="single"/>
          </w:rPr>
          <w:t>Black finding aid</w:t>
        </w:r>
      </w:hyperlink>
      <w:r>
        <w:t>.</w:t>
      </w:r>
    </w:p>
    <w:p>
      <w:r>
        <w:rPr>
          <w:b/>
        </w:rPr>
        <w:t xml:space="preserve">Машиночитаемый слой. </w:t>
      </w:r>
      <w:r>
        <w:t>TLA and raw releases; exact ORAEC record not yet confirmed.</w:t>
      </w:r>
    </w:p>
    <w:p>
      <w:r>
        <w:rPr>
          <w:b/>
        </w:rPr>
        <w:t xml:space="preserve">Наиболее свободный слой. </w:t>
      </w:r>
      <w:r>
        <w:t>Russian 2018 translation is readable/downloadable but protected and is not a clean Egyptian translation basis.</w:t>
      </w:r>
    </w:p>
    <w:p>
      <w:pPr>
        <w:pStyle w:val="Heading2"/>
      </w:pPr>
      <w:r>
        <w:t>Satire of the Trades</w:t>
      </w:r>
    </w:p>
    <w:p>
      <w:r>
        <w:rPr>
          <w:b/>
        </w:rPr>
        <w:t xml:space="preserve">Лучший бесплатный путь: </w:t>
      </w:r>
      <w:hyperlink r:id="rId33">
        <w:r>
          <w:rPr>
            <w:color w:val="0563C1"/>
            <w:u w:val="single"/>
          </w:rPr>
          <w:t>TLA composite text</w:t>
        </w:r>
      </w:hyperlink>
      <w:r>
        <w:t xml:space="preserve">; </w:t>
      </w:r>
      <w:hyperlink r:id="rId34">
        <w:r>
          <w:rPr>
            <w:color w:val="0563C1"/>
            <w:u w:val="single"/>
          </w:rPr>
          <w:t>UCL full read</w:t>
        </w:r>
      </w:hyperlink>
      <w:r>
        <w:t>.</w:t>
      </w:r>
    </w:p>
    <w:p>
      <w:r>
        <w:rPr>
          <w:b/>
        </w:rPr>
        <w:t xml:space="preserve">Оригинал / witness: </w:t>
      </w:r>
      <w:hyperlink r:id="rId35">
        <w:r>
          <w:rPr>
            <w:color w:val="0563C1"/>
            <w:u w:val="single"/>
          </w:rPr>
          <w:t>Papyrus Sallier II record</w:t>
        </w:r>
      </w:hyperlink>
      <w:r>
        <w:t xml:space="preserve">; </w:t>
      </w:r>
      <w:hyperlink r:id="rId36">
        <w:r>
          <w:rPr>
            <w:color w:val="0563C1"/>
            <w:u w:val="single"/>
          </w:rPr>
          <w:t>Petrie ostraca</w:t>
        </w:r>
      </w:hyperlink>
      <w:r>
        <w:t>.</w:t>
      </w:r>
    </w:p>
    <w:p>
      <w:r>
        <w:rPr>
          <w:b/>
        </w:rPr>
        <w:t xml:space="preserve">Старый открытый слой: </w:t>
      </w:r>
      <w:hyperlink r:id="rId37">
        <w:r>
          <w:rPr>
            <w:color w:val="0563C1"/>
            <w:u w:val="single"/>
          </w:rPr>
          <w:t>Gardiner 1935</w:t>
        </w:r>
      </w:hyperlink>
      <w:r>
        <w:t>.</w:t>
      </w:r>
    </w:p>
    <w:p>
      <w:r>
        <w:rPr>
          <w:b/>
        </w:rPr>
        <w:t xml:space="preserve">Современный научный вариант: </w:t>
      </w:r>
      <w:hyperlink r:id="rId38">
        <w:r>
          <w:rPr>
            <w:color w:val="0563C1"/>
            <w:u w:val="single"/>
          </w:rPr>
          <w:t>Parkinson anthology</w:t>
        </w:r>
      </w:hyperlink>
      <w:r>
        <w:t>.</w:t>
      </w:r>
    </w:p>
    <w:p>
      <w:r>
        <w:rPr>
          <w:b/>
        </w:rPr>
        <w:t xml:space="preserve">Машиночитаемый слой. </w:t>
      </w:r>
      <w:r>
        <w:t>ORAEC oraec73 and oraec178 are exact open witnesses; TLA supplies composite reading.</w:t>
      </w:r>
    </w:p>
    <w:p>
      <w:r>
        <w:rPr>
          <w:b/>
        </w:rPr>
        <w:t xml:space="preserve">Наиболее свободный слой. </w:t>
      </w:r>
      <w:r>
        <w:t>ORAEC rights cover one witness at a time, not the complete reconstructed Satire.</w:t>
      </w:r>
    </w:p>
    <w:p>
      <w:pPr>
        <w:pStyle w:val="Heading2"/>
      </w:pPr>
      <w:r>
        <w:t>Immortality of Writers</w:t>
      </w:r>
    </w:p>
    <w:p>
      <w:r>
        <w:rPr>
          <w:b/>
        </w:rPr>
        <w:t xml:space="preserve">Лучший бесплатный путь: </w:t>
      </w:r>
      <w:hyperlink r:id="rId39">
        <w:r>
          <w:rPr>
            <w:color w:val="0563C1"/>
            <w:u w:val="single"/>
          </w:rPr>
          <w:t>TLA item</w:t>
        </w:r>
      </w:hyperlink>
      <w:r>
        <w:t xml:space="preserve">; </w:t>
      </w:r>
      <w:hyperlink r:id="rId40">
        <w:r>
          <w:rPr>
            <w:color w:val="0563C1"/>
            <w:u w:val="single"/>
          </w:rPr>
          <w:t>UCL full read</w:t>
        </w:r>
      </w:hyperlink>
      <w:r>
        <w:t>.</w:t>
      </w:r>
    </w:p>
    <w:p>
      <w:r>
        <w:rPr>
          <w:b/>
        </w:rPr>
        <w:t xml:space="preserve">Оригинал / witness: </w:t>
      </w:r>
      <w:hyperlink r:id="rId41">
        <w:r>
          <w:rPr>
            <w:color w:val="0563C1"/>
            <w:u w:val="single"/>
          </w:rPr>
          <w:t>Chester Beatty IV object</w:t>
        </w:r>
      </w:hyperlink>
      <w:r>
        <w:t>.</w:t>
      </w:r>
    </w:p>
    <w:p>
      <w:r>
        <w:rPr>
          <w:b/>
        </w:rPr>
        <w:t xml:space="preserve">Старый открытый слой: </w:t>
      </w:r>
      <w:hyperlink r:id="rId37">
        <w:r>
          <w:rPr>
            <w:color w:val="0563C1"/>
            <w:u w:val="single"/>
          </w:rPr>
          <w:t>Gardiner 1935</w:t>
        </w:r>
      </w:hyperlink>
      <w:r>
        <w:t>.</w:t>
      </w:r>
    </w:p>
    <w:p>
      <w:r>
        <w:rPr>
          <w:b/>
        </w:rPr>
        <w:t xml:space="preserve">Современный научный вариант: </w:t>
      </w:r>
      <w:hyperlink r:id="rId31">
        <w:r>
          <w:rPr>
            <w:color w:val="0563C1"/>
            <w:u w:val="single"/>
          </w:rPr>
          <w:t>Lichtheim II</w:t>
        </w:r>
      </w:hyperlink>
      <w:r>
        <w:t xml:space="preserve">; </w:t>
      </w:r>
      <w:hyperlink r:id="rId42">
        <w:r>
          <w:rPr>
            <w:color w:val="0563C1"/>
            <w:u w:val="single"/>
          </w:rPr>
          <w:t>Russian library route</w:t>
        </w:r>
      </w:hyperlink>
      <w:r>
        <w:t>.</w:t>
      </w:r>
    </w:p>
    <w:p>
      <w:r>
        <w:rPr>
          <w:b/>
        </w:rPr>
        <w:t xml:space="preserve">Машиночитаемый слой. </w:t>
      </w:r>
      <w:r>
        <w:t>ORAEC oraec1016 JSON is the strongest exact machine-readable entry.</w:t>
      </w:r>
    </w:p>
    <w:p>
      <w:r>
        <w:rPr>
          <w:b/>
        </w:rPr>
        <w:t xml:space="preserve">Наиболее свободный слой. </w:t>
      </w:r>
      <w:r>
        <w:t>ORAEC CC BY-SA gives a clean text/markup layer; British Museum photography is a separate rights object.</w:t>
      </w:r>
    </w:p>
    <w:p>
      <w:pPr>
        <w:pStyle w:val="Heading1"/>
      </w:pPr>
      <w:r>
        <w:t>4. Карта прав и практического использования</w:t>
      </w:r>
    </w:p>
    <w:p>
      <w:r>
        <w:rPr>
          <w:b/>
        </w:rPr>
        <w:t xml:space="preserve">Что ToS может потенциально зеркалировать. </w:t>
      </w:r>
      <w:r>
        <w:t>ORAEC item pages and raw JSON under CC BY-SA 4.0; official TLA/BBAW raw releases under their release-level open license; BnF/Gallica facsimiles in a noncommercial/scientific context with source attribution; selected Sefaria versions according to exact version license. Каждый mirror tag ограничен exact record, file, witness or passage.</w:t>
      </w:r>
    </w:p>
    <w:p>
      <w:r>
        <w:rPr>
          <w:b/>
        </w:rPr>
        <w:t xml:space="preserve">Что доступно некоммерчески с условиями. </w:t>
      </w:r>
      <w:r>
        <w:t>BnF/Gallica requires source attribution; Sefaria Revised JPS 2023 is CC BY-NC; some British Museum image assets may be CC BY-NC-SA, but only where the item-level image page says so. ShareAlike and attribution must be preserved.</w:t>
      </w:r>
    </w:p>
    <w:p>
      <w:r>
        <w:rPr>
          <w:b/>
        </w:rPr>
        <w:t xml:space="preserve">Что можно читать/скачивать, но не перехостить автоматически. </w:t>
      </w:r>
      <w:r>
        <w:t>TLA web pages, UCL translations, Internet Archive scans, HathiTrust full-view items, Papyrus Carlsberg pages, IFAO records, SciUp Russian translation and most museum catalogue pages. Free access or a Download button is not a redistribution grant.</w:t>
      </w:r>
    </w:p>
    <w:p>
      <w:r>
        <w:rPr>
          <w:b/>
        </w:rPr>
        <w:t xml:space="preserve">Что остаётся link-only / borrow / purchase. </w:t>
      </w:r>
      <w:r>
        <w:t>Allen, Lichtheim, Simpson, Hagen, Parkinson, Black, Volten and other modern editions; Russian anthology translations; publisher previews and library catalogues.</w:t>
      </w:r>
    </w:p>
    <w:p>
      <w:r>
        <w:rPr>
          <w:b/>
        </w:rPr>
        <w:t xml:space="preserve">Где права смешанные. </w:t>
      </w:r>
      <w:r>
        <w:t>TLA separates website and raw releases; ORAEC separates CC BY-SA text JSON and selected CC0 mappings; museum metadata and photographs may have different rights; an old edition may contain public-domain ancient content but a still-protected editorial apparatus or digitisation layer.</w:t>
      </w:r>
    </w:p>
    <w:p>
      <w:r>
        <w:rPr>
          <w:b/>
        </w:rPr>
        <w:t xml:space="preserve">Где возможен собственный перевод ToS. </w:t>
      </w:r>
      <w:r>
        <w:t>Наиболее чистые bases are BnF facsimiles, exact ORAEC transcriptions and official TLA raw releases. OWN_TRANSLATION_POSSIBLE never exceeds coverage: a fragment, single witness or selected passage gives only a fragmentary/single-witness translation basis.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326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Действие</w:t>
            </w:r>
          </w:p>
        </w:tc>
        <w:tc>
          <w:tcPr>
            <w:tcW w:type="dxa" w:w="3326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Рабочее правило</w:t>
            </w:r>
          </w:p>
        </w:tc>
        <w:tc>
          <w:tcPr>
            <w:tcW w:type="dxa" w:w="3326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Лучшие доказанные слои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1"/>
          </w:tcPr>
          <w:p>
            <w:r>
              <w:t>Внешняя ссылка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Допустима для всех законных live/catalogue routes.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Все rows с LINK_OK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1"/>
          </w:tcPr>
          <w:p>
            <w:r>
              <w:t>Локальная research copy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Соблюдать site terms; не публиковать автоматически.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TLA, UCL, IA, Hathi, SciUp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1"/>
          </w:tcPr>
          <w:p>
            <w:r>
              <w:t>Mirror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Только при прямом rights evidence и exact scope.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ORAEC; BnF noncommercial; licensed Sefaria versions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1"/>
          </w:tcPr>
          <w:p>
            <w:r>
              <w:t>OCR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Только конкретное facsimile/scan; не весь portal.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BnF; selected historical editions after review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1"/>
          </w:tcPr>
          <w:p>
            <w:r>
              <w:t>Full-text index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Развести open transcription and protected translation.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ORAEC; TLA raw releases; licensed Sefaria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1"/>
          </w:tcPr>
          <w:p>
            <w:r>
              <w:t>Embeddings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Та же scope discipline, что и для full text.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Open datasets and exact licensed versions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1"/>
          </w:tcPr>
          <w:p>
            <w:r>
              <w:t>Собственный перевод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Только с facsimile/open original-language transcription.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BnF, ORAEC, verified raw release</w:t>
            </w:r>
          </w:p>
        </w:tc>
      </w:tr>
    </w:tbl>
    <w:p>
      <w:pPr>
        <w:pStyle w:val="Heading1"/>
      </w:pPr>
      <w:r>
        <w:t>5. Характерные правовые тонкости</w:t>
      </w:r>
    </w:p>
    <w:p>
      <w:pPr>
        <w:pStyle w:val="ListBullet"/>
      </w:pPr>
      <w:r>
        <w:t>Древний оригинал свободен, но modern transcription, reconstruction, translation, commentary and scholarly apparatus are separate rights objects.</w:t>
      </w:r>
    </w:p>
    <w:p>
      <w:pPr>
        <w:pStyle w:val="ListBullet"/>
      </w:pPr>
      <w:r>
        <w:t>Один URL может объединять metadata, text and image с разными лицензиями. British Museum item-level CC на конкретную фотографию нельзя переносить на весь папирус или record.</w:t>
      </w:r>
    </w:p>
    <w:p>
      <w:pPr>
        <w:pStyle w:val="ListBullet"/>
      </w:pPr>
      <w:r>
        <w:t>TLA website and TLA raw releases are separate legal layers. Для массовой обработки лучше official releases, а не scraping сайта.</w:t>
      </w:r>
    </w:p>
    <w:p>
      <w:pPr>
        <w:pStyle w:val="ListBullet"/>
      </w:pPr>
      <w:r>
        <w:t>BnF/Gallica даёт практически полезное noncommercial/scientific reuse permission with attribution; commercial reuse requires a separate process.</w:t>
      </w:r>
    </w:p>
    <w:p>
      <w:pPr>
        <w:pStyle w:val="ListBullet"/>
      </w:pPr>
      <w:r>
        <w:t>Project Gutenberg маркирует public domain in the USA. Для глобального публичного mirror ToS этого недостаточно без applicable-jurisdiction review.</w:t>
      </w:r>
    </w:p>
    <w:p>
      <w:pPr>
        <w:pStyle w:val="ListBullet"/>
      </w:pPr>
      <w:r>
        <w:t>Internet Archive explicitly does not guarantee the rights status of user-uploaded items. A free PDF is therefore a research route, not automatic mirroring permission.</w:t>
      </w:r>
    </w:p>
    <w:p>
      <w:pPr>
        <w:pStyle w:val="ListBullet"/>
      </w:pPr>
      <w:r>
        <w:t>HathiTrust Full View remains item-specific; rights code and digitisation provenance matter, especially for Google-digitised images and OCR.</w:t>
      </w:r>
    </w:p>
    <w:p>
      <w:pPr>
        <w:pStyle w:val="ListBullet"/>
      </w:pPr>
      <w:r>
        <w:t>Русский Amenemope 2018 открыт для чтения/скачивания, но защищён; перевод-посредник с английского не создаёт clean basis for translating Egyptian.</w:t>
      </w:r>
    </w:p>
    <w:p>
      <w:pPr>
        <w:pStyle w:val="ListBullet"/>
      </w:pPr>
      <w:r>
        <w:t>CC BY-NC полезна текущему public noncommercial ToS, but it must remain attached to the exact version and cannot be silently broadened.</w:t>
      </w:r>
    </w:p>
    <w:p>
      <w:pPr>
        <w:pStyle w:val="ListBullet"/>
      </w:pPr>
      <w:r>
        <w:t>A historical facsimile may support a new ToS translation even when the scan itself cannot be mirrored; own translation, source-image republication and critical-text reconstruction are different actions.</w:t>
      </w:r>
    </w:p>
    <w:p>
      <w:pPr>
        <w:pStyle w:val="Heading1"/>
      </w:pPr>
      <w:r>
        <w:t>6. Пробелы и дальнейший поиск</w:t>
      </w:r>
    </w:p>
    <w:p>
      <w:r>
        <w:rPr>
          <w:b/>
        </w:rPr>
        <w:t xml:space="preserve">Состояние. </w:t>
      </w:r>
      <w:r>
        <w:t>На листе gaps зафиксировано 15 concrete follow-up items. Они не признаны нерелевантными: для них не найден пригодный item-level digital entrance, не подтверждены reuse rights или не завершён witness/edition 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326"/>
            <w:shd w:fill="7A4E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Кандидат</w:t>
            </w:r>
          </w:p>
        </w:tc>
        <w:tc>
          <w:tcPr>
            <w:tcW w:type="dxa" w:w="3326"/>
            <w:shd w:fill="7A4E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Проблема</w:t>
            </w:r>
          </w:p>
        </w:tc>
        <w:tc>
          <w:tcPr>
            <w:tcW w:type="dxa" w:w="3326"/>
            <w:shd w:fill="7A4E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Следующий шаг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A04-G001 — Teaching for King Merykare — Papyrus Moscow 4658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Не найдены надёжная публичная item-level карточка и открытое факсимиле ГМИИ.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Искать по инвентарному номеру 4658 на русском, немецком и французском; запросить museum reproduction terms.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A04-G002 — Teaching for King Merykare — Papyrus Petersburg/Hermitage 1116A facsimile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Найдена TLA object page, но не подтверждено открытое высококачественное факсимиле Эрмитажа.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Поиск по «папирус 1116A», «Papyrus Leningrad 1116A», вариантам номера и museum image services.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A04-G003 — V. S. Golenischeff, Les papyrus hiératiques nos 1115, 1116A et 1116B (1913)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Официальный полный цифровой экземпляр с ясным provenance не подтверждён.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Искать полное series title; проверить scan provenance and public-domain status by jurisdiction.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A04-G004 — Sehetepibre Stela CG 20538 — official Cairo Museum image/catalogue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Есть TLA и ORAEC text records, но не подтверждена официальная open image page самого объекта.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Искать CG 20538, JE-number and Sehetepibre variants in Arabic, English and French.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A04-G005 — Papyrus Sallier II BM EA 10182 — complete open facsimile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British Museum records найдены, но не единое полное facsimile с ясными reuse rights.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Собрать EA10182 panels и image-asset licenses; проверить nineteenth-century public-domain plates.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A04-G006 — Instruction of Amennakhte / Amennakht(e)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Прямой поздний instructional candidate отмечен, но не получил полного item-level search.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Уточнить title, author, witnesses and boundary with Late Egyptian Miscellanies.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A04-G007 — Papyrus Insinger — official Rijksmuseum van Oudheden item/facsimile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TLA text найден, но официальный музейный item и reuse statement не подтверждены.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Искать inventory number и нидерландские варианты названия; проверить IIIF and reproduction policy.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A04-G008 — Instruction of Ankhsheshonqy — complete BM panel set and image licenses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Найдена одна BM component page; полный набор панелей и licenses не собран.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Собрать единый witness route по EA10508-1…n, не создавая отдельную registry row для каждой панели.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A04-G009 — James Roger Black dissertation — full lawful digital text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Найдена archival finding aid, но не полный institutional repository PDF.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Искать по полному title/author/year; проверить embargo and repository reuse terms.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A04-G010 — Michel Laisney, L’Enseignement d’Aménémopé (2007)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Современное специализированное издание известно по bibliography, но official publisher/access page не верифицирована.</w:t>
            </w:r>
          </w:p>
        </w:tc>
        <w:tc>
          <w:tcPr>
            <w:tcW w:type="dxa" w:w="332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Найти ISBN, preview, library holdings and publisher rights.</w:t>
            </w:r>
          </w:p>
        </w:tc>
      </w:tr>
    </w:tbl>
    <w:p>
      <w:pPr>
        <w:pStyle w:val="Heading2"/>
      </w:pPr>
      <w:r>
        <w:t>Targeted follow-up directions</w:t>
      </w:r>
    </w:p>
    <w:p>
      <w:pPr>
        <w:pStyle w:val="ListNumber"/>
      </w:pPr>
      <w:r>
        <w:t>Собрать official item-level facsimiles трёх Merykare witnesses: Hermitage 1116A, Moscow 4658 and P. Carlsberg 6.</w:t>
      </w:r>
    </w:p>
    <w:p>
      <w:pPr>
        <w:pStyle w:val="ListNumber"/>
      </w:pPr>
      <w:r>
        <w:t>Найти complete component sets and image licenses for British Museum EA 10182, EA 10474, EA 10508 and EA 10684.</w:t>
      </w:r>
    </w:p>
    <w:p>
      <w:pPr>
        <w:pStyle w:val="ListNumber"/>
      </w:pPr>
      <w:r>
        <w:t>Достроить exact ORAEC crosswalk for Ptahhotep, Kagemni, Merykare and Amenemope through German titles, witness IDs and raw mappings.</w:t>
      </w:r>
    </w:p>
    <w:p>
      <w:pPr>
        <w:pStyle w:val="ListNumber"/>
      </w:pPr>
      <w:r>
        <w:t>Найти official RMO Leiden item for Papyrus Insinger, including inventory number, IIIF and reproduction policy.</w:t>
      </w:r>
    </w:p>
    <w:p>
      <w:pPr>
        <w:pStyle w:val="ListNumber"/>
      </w:pPr>
      <w:r>
        <w:t>Верифицировать modern critical editions: Black full dissertation, Laisney 2007, Quirke 2004 and best current Merykare/Loyalist editions.</w:t>
      </w:r>
    </w:p>
    <w:p>
      <w:pPr>
        <w:pStyle w:val="ListNumber"/>
      </w:pPr>
      <w:r>
        <w:t>Развести русские Merykare translations by exact editions and lawful library/preview routes.</w:t>
      </w:r>
    </w:p>
    <w:p>
      <w:pPr>
        <w:pStyle w:val="ListNumber"/>
      </w:pPr>
      <w:r>
        <w:t>Найти principal witness/facsimile for Instruction of Ani and fully research Instruction of Amennakhte.</w:t>
      </w:r>
    </w:p>
    <w:p>
      <w:pPr>
        <w:pStyle w:val="ListNumber"/>
      </w:pPr>
      <w:r>
        <w:t>Сформировать compact Trismegistos crosswalk for witnesses without turning this registry into a graph ontology.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89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Измерение</w:t>
            </w:r>
          </w:p>
        </w:tc>
        <w:tc>
          <w:tcPr>
            <w:tcW w:type="dxa" w:w="4989"/>
            <w:shd w:fill="0F5F5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Оценка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Покрытие корпуса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Хорошее для семи core texts и ключевого жанрового ореола; слабее для полных official facsimiles Merykare, Loyalist stela and selected late continuations.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Доступность оригиналов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Лучше всего покрыт Papyrus Prisse через Gallica. Для других texts чаще доступны TLA transcriptions, museum metadata or individual witness images.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Доступность переводов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English layer богат: UCL, Gunn, Lichtheim, Allen, Simpson, Parkinson. Russian layer точечный: Amenemope 2018 and lawful library route to Akhmatova; Merykare remains a gap.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Наиболее свободный слой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ORAEC CC BY-SA 4.0 and official TLA raw releases; for facsimiles — BnF noncommercial reuse with attribution.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Главные ограничения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Modern editions/translations, mixed museum-image rights, jurisdictional uncertainty of old editions and missing item-level facsimiles.</w:t>
            </w:r>
          </w:p>
        </w:tc>
      </w:tr>
      <w:tr>
        <w:trPr>
          <w:cantSplit/>
        </w:trPr>
        <w:tc>
          <w:tcPr>
            <w:tcW w:type="dxa" w:w="4989"/>
            <w:shd w:fill="EAF2F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</w:rPr>
              <w:t>Готовность к Codex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Да. XLSX has stable record_ids, exact access/right fields, item-level URLs, scope/coverage restrictions and a targeted gaps sheet.</w:t>
            </w:r>
          </w:p>
        </w:tc>
      </w:tr>
    </w:tbl>
    <w:p>
      <w:r>
        <w:rPr>
          <w:b/>
        </w:rPr>
        <w:t xml:space="preserve">Вердикт. </w:t>
      </w:r>
      <w:r>
        <w:t>Пакет закрывает исследовательское ядро A04 и строит законную карту от свободного facsimile/open data до library, preview and purchase routes. Он не подменяет final legal review before mass publication, но уже строго разводит LINK/READ/DOWNLOAD, MIRROR, OCR, INDEX, EMBEDDINGS and OWN_TRANSLATION. Результат пригоден для передачи Codex для дальнейшей дедупликации и нормализации.</w:t>
      </w:r>
    </w:p>
    <w:p/>
    <w:p>
      <w:r>
        <w:rPr>
          <w:b/>
        </w:rPr>
        <w:t xml:space="preserve">Основной исходный документ: </w:t>
      </w:r>
      <w:r>
        <w:t xml:space="preserve">ToS Deep Research_ A04 — Египетский sebayt, Маат и писцовая этика(5).docx. </w:t>
      </w:r>
      <w:r>
        <w:rPr>
          <w:i/>
        </w:rPr>
        <w:t>Веб-ссылки и rights evidence приведены в XLSX построчно.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935" w:left="96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A04 · проверено 2026-09-02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776"/>
        <w:sz w:val="16"/>
      </w:rPr>
      <w:t>ToS / Древо Софии · Corpus &amp; Rights Registry · A04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5F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6F6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747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F5F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4F6F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hesaurus-linguae-aegyptiae.de/text/DKAFDVSXYFADJDS3Z3AOISAP4U" TargetMode="External"/><Relationship Id="rId12" Type="http://schemas.openxmlformats.org/officeDocument/2006/relationships/hyperlink" Target="https://www.ucl.ac.uk/museums-static/digitalegypt/literature/ptahhotep.html" TargetMode="External"/><Relationship Id="rId13" Type="http://schemas.openxmlformats.org/officeDocument/2006/relationships/hyperlink" Target="https://gallica.bnf.fr/ark:/12148/btv1b8304609v" TargetMode="External"/><Relationship Id="rId14" Type="http://schemas.openxmlformats.org/officeDocument/2006/relationships/hyperlink" Target="https://www.gutenberg.org/ebooks/30508" TargetMode="External"/><Relationship Id="rId15" Type="http://schemas.openxmlformats.org/officeDocument/2006/relationships/hyperlink" Target="https://researchprofiles.ku.dk/en/publications/an-ancient-egyptian-literary-text-in-context-the-instruction-of-p/" TargetMode="External"/><Relationship Id="rId16" Type="http://schemas.openxmlformats.org/officeDocument/2006/relationships/hyperlink" Target="https://www.cambridge.org/core/books/middle-egyptian-literature/391965004208DAB3EDE7F8591754466F" TargetMode="External"/><Relationship Id="rId17" Type="http://schemas.openxmlformats.org/officeDocument/2006/relationships/hyperlink" Target="https://thesaurus-linguae-aegyptiae.de/text/KI7QRD7K55C6PJRUN5AFW6OFLI" TargetMode="External"/><Relationship Id="rId18" Type="http://schemas.openxmlformats.org/officeDocument/2006/relationships/hyperlink" Target="https://gallica.bnf.fr/ark:/12148/btv1b8304606m" TargetMode="External"/><Relationship Id="rId19" Type="http://schemas.openxmlformats.org/officeDocument/2006/relationships/hyperlink" Target="https://www.jstor.org/stable/10.1525/j.ctt1pp1ht" TargetMode="External"/><Relationship Id="rId20" Type="http://schemas.openxmlformats.org/officeDocument/2006/relationships/hyperlink" Target="https://thesaurus-linguae-aegyptiae.de/text/YZSISQLOINELTMJDPXQ45O5IUU" TargetMode="External"/><Relationship Id="rId21" Type="http://schemas.openxmlformats.org/officeDocument/2006/relationships/hyperlink" Target="https://pcarlsberg.ku.dk/highlights/pcarlsberg006/" TargetMode="External"/><Relationship Id="rId22" Type="http://schemas.openxmlformats.org/officeDocument/2006/relationships/hyperlink" Target="https://thesaurus-linguae-aegyptiae.de/object/BPSKVRLCSJCQ5MKG7PQCFESZN4" TargetMode="External"/><Relationship Id="rId23" Type="http://schemas.openxmlformats.org/officeDocument/2006/relationships/hyperlink" Target="https://web.archive.org/web/20120331080954/http://www.reshafim.org.il/ad/egypt/merikare_papyrus.htm" TargetMode="External"/><Relationship Id="rId24" Type="http://schemas.openxmlformats.org/officeDocument/2006/relationships/hyperlink" Target="https://www.ucl.ac.uk/museums-static/digitalegypt/literature/loyalist/text.html" TargetMode="External"/><Relationship Id="rId25" Type="http://schemas.openxmlformats.org/officeDocument/2006/relationships/hyperlink" Target="https://thesaurus-linguae-aegyptiae.de/text/KTPWXZF5KJAQXNI3L64K4XYFVM" TargetMode="External"/><Relationship Id="rId26" Type="http://schemas.openxmlformats.org/officeDocument/2006/relationships/hyperlink" Target="https://thesaurus-linguae-aegyptiae.de/text/5JO44VJZERAB3HQUHMFSMNXH6I" TargetMode="External"/><Relationship Id="rId27" Type="http://schemas.openxmlformats.org/officeDocument/2006/relationships/hyperlink" Target="https://sciup.org/140240229" TargetMode="External"/><Relationship Id="rId28" Type="http://schemas.openxmlformats.org/officeDocument/2006/relationships/hyperlink" Target="https://www.britishmuseum.org/collection/object/Y_EA10474-1" TargetMode="External"/><Relationship Id="rId29" Type="http://schemas.openxmlformats.org/officeDocument/2006/relationships/hyperlink" Target="https://archive.org/details/LangeHO1925" TargetMode="External"/><Relationship Id="rId30" Type="http://schemas.openxmlformats.org/officeDocument/2006/relationships/hyperlink" Target="https://cplorg.contentdm.oclc.org/digital/collection/p4014coll9/id/5301/" TargetMode="External"/><Relationship Id="rId31" Type="http://schemas.openxmlformats.org/officeDocument/2006/relationships/hyperlink" Target="https://www.jstor.org/stable/10.1525/j.ctt1ppr00" TargetMode="External"/><Relationship Id="rId32" Type="http://schemas.openxmlformats.org/officeDocument/2006/relationships/hyperlink" Target="https://findingaids.auctr.edu/repositories/2/archival_objects/48044" TargetMode="External"/><Relationship Id="rId33" Type="http://schemas.openxmlformats.org/officeDocument/2006/relationships/hyperlink" Target="https://thesaurus-linguae-aegyptiae.de/text/L4M2NZM2YZAZRBIKQQBAVX743U" TargetMode="External"/><Relationship Id="rId34" Type="http://schemas.openxmlformats.org/officeDocument/2006/relationships/hyperlink" Target="https://www.ucl.ac.uk/museums-static/digitalegypt/literature/satiretransl.html" TargetMode="External"/><Relationship Id="rId35" Type="http://schemas.openxmlformats.org/officeDocument/2006/relationships/hyperlink" Target="https://www.britishmuseum.org/collection/object/Y_EA10182-11" TargetMode="External"/><Relationship Id="rId36" Type="http://schemas.openxmlformats.org/officeDocument/2006/relationships/hyperlink" Target="https://www.ucl.ac.uk/museums-static/digitalegypt/literature/satiresourcespetrie.html" TargetMode="External"/><Relationship Id="rId37" Type="http://schemas.openxmlformats.org/officeDocument/2006/relationships/hyperlink" Target="https://archive.org/details/HIERATICPAPYRIIINTHEBRITISHMUSEUMI" TargetMode="External"/><Relationship Id="rId38" Type="http://schemas.openxmlformats.org/officeDocument/2006/relationships/hyperlink" Target="https://global.oup.com/academic/product/the-tale-of-sinuhe-9780199555628" TargetMode="External"/><Relationship Id="rId39" Type="http://schemas.openxmlformats.org/officeDocument/2006/relationships/hyperlink" Target="https://thesaurus-linguae-aegyptiae.de/text/X2NOT5BNYZGHRAPYUO42HD2MRA" TargetMode="External"/><Relationship Id="rId40" Type="http://schemas.openxmlformats.org/officeDocument/2006/relationships/hyperlink" Target="https://www.ucl.ac.uk/museums-static/digitalegypt/literature/authorspchb.html" TargetMode="External"/><Relationship Id="rId41" Type="http://schemas.openxmlformats.org/officeDocument/2006/relationships/hyperlink" Target="https://thesaurus-linguae-aegyptiae.de/object/QLFZWTPLE5BD7DL6ZWL3WU3ZGM" TargetMode="External"/><Relationship Id="rId42" Type="http://schemas.openxmlformats.org/officeDocument/2006/relationships/hyperlink" Target="https://catalog.libfl.ru/Record/BJVVV_1030898/LIBFLDescri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