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ToS Corpus &amp; Rights Registry</w:t>
      </w:r>
    </w:p>
    <w:p>
      <w:pPr>
        <w:pStyle w:val="Subtitle"/>
      </w:pPr>
      <w:r>
        <w:t>T2-01 — Сирийские переводческие</w:t>
        <w:br/>
        <w:t>и богословско-философские школы</w:t>
      </w:r>
    </w:p>
    <w:p>
      <w:pPr>
        <w:pStyle w:val="Caption"/>
      </w:pPr>
      <w:r>
        <w:t>Исследовательский пакет · research-first v4.3.1 · 4 сентября 2026 года</w:t>
      </w:r>
    </w:p>
    <w:p>
      <w:pPr>
        <w:pStyle w:val="Heading1"/>
        <w:pageBreakBefore w:val="0"/>
      </w:pPr>
      <w:r>
        <w:t>1. Паспорт</w:t>
      </w:r>
    </w:p>
    <w:tbl>
      <w:tblPr>
        <w:tblW w:type="auto" w:w="0"/>
        <w:jc w:val="center"/>
        <w:tblLayout w:type="fixed"/>
        <w:tblLook w:firstColumn="1" w:firstRow="1" w:lastColumn="0" w:lastRow="0" w:noHBand="0" w:noVBand="1" w:val="04A0"/>
      </w:tblPr>
      <w:tblGrid>
        <w:gridCol w:w="1984"/>
        <w:gridCol w:w="7767"/>
      </w:tblGrid>
      <w:tr>
        <w:trPr>
          <w:tblHeader/>
        </w:trPr>
        <w:tc>
          <w:tcPr>
            <w:tcW w:type="dxa" w:w="1984"/>
            <w:shd w:fill="173548"/>
          </w:tcPr>
          <w:p>
            <w:r>
              <w:rPr>
                <w:b/>
                <w:color w:val="FFFFFF"/>
                <w:sz w:val="20"/>
              </w:rPr>
              <w:t>Параметр</w:t>
            </w:r>
          </w:p>
        </w:tc>
        <w:tc>
          <w:tcPr>
            <w:tcW w:type="dxa" w:w="7767"/>
            <w:shd w:fill="173548"/>
          </w:tcPr>
          <w:p>
            <w:r>
              <w:rPr>
                <w:b/>
                <w:color w:val="FFFFFF"/>
                <w:sz w:val="20"/>
              </w:rPr>
              <w:t>Зафиксированное значение</w:t>
            </w:r>
          </w:p>
        </w:tc>
      </w:tr>
      <w:tr>
        <w:trPr>
          <w:cantSplit/>
        </w:trPr>
        <w:tc>
          <w:tcPr>
            <w:tcW w:type="dxa" w:w="1984"/>
            <w:shd w:fill="EEF3F4"/>
            <w:vAlign w:val="top"/>
          </w:tcPr>
          <w:p>
            <w:pPr>
              <w:spacing w:after="80"/>
            </w:pPr>
            <w:r>
              <w:rPr>
                <w:sz w:val="20"/>
              </w:rPr>
              <w:t>Мастер-строка</w:t>
            </w:r>
          </w:p>
        </w:tc>
        <w:tc>
          <w:tcPr>
            <w:tcW w:type="dxa" w:w="7767"/>
            <w:shd w:fill="EEF3F4"/>
            <w:vAlign w:val="top"/>
          </w:tcPr>
          <w:p>
            <w:pPr>
              <w:spacing w:after="80"/>
            </w:pPr>
            <w:r>
              <w:rPr>
                <w:sz w:val="20"/>
              </w:rPr>
              <w:t>Таблица II · T2-01 · исходный статус A; уверенность DR 5/5. Классификация не изменена.</w:t>
            </w:r>
          </w:p>
        </w:tc>
      </w:tr>
      <w:tr>
        <w:trPr>
          <w:cantSplit/>
        </w:trPr>
        <w:tc>
          <w:tcPr>
            <w:tcW w:type="dxa" w:w="1984"/>
            <w:vAlign w:val="top"/>
          </w:tcPr>
          <w:p>
            <w:pPr>
              <w:spacing w:after="80"/>
            </w:pPr>
            <w:r>
              <w:rPr>
                <w:sz w:val="20"/>
              </w:rPr>
              <w:t>Исторический фокус</w:t>
            </w:r>
          </w:p>
        </w:tc>
        <w:tc>
          <w:tcPr>
            <w:tcW w:type="dxa" w:w="7767"/>
            <w:vAlign w:val="top"/>
          </w:tcPr>
          <w:p>
            <w:pPr>
              <w:spacing w:after="80"/>
            </w:pPr>
            <w:r>
              <w:rPr>
                <w:sz w:val="20"/>
              </w:rPr>
              <w:t>Формирование V–VII вв.; письменная фиксация и перевод VI–IX вв.; канонизация и комментарий VII–X вв.</w:t>
            </w:r>
          </w:p>
        </w:tc>
      </w:tr>
      <w:tr>
        <w:trPr>
          <w:cantSplit/>
        </w:trPr>
        <w:tc>
          <w:tcPr>
            <w:tcW w:type="dxa" w:w="1984"/>
            <w:shd w:fill="EEF3F4"/>
            <w:vAlign w:val="top"/>
          </w:tcPr>
          <w:p>
            <w:pPr>
              <w:spacing w:after="80"/>
            </w:pPr>
            <w:r>
              <w:rPr>
                <w:sz w:val="20"/>
              </w:rPr>
              <w:t>Исходный документ</w:t>
            </w:r>
          </w:p>
        </w:tc>
        <w:tc>
          <w:tcPr>
            <w:tcW w:type="dxa" w:w="7767"/>
            <w:shd w:fill="EEF3F4"/>
            <w:vAlign w:val="top"/>
          </w:tcPr>
          <w:p>
            <w:pPr>
              <w:spacing w:after="80"/>
            </w:pPr>
            <w:r>
              <w:rPr>
                <w:sz w:val="20"/>
              </w:rPr>
              <w:t>ToS Deep Research_ T2-01 — Сирийские переводческие и богословско-философские школы(2).docx</w:t>
            </w:r>
          </w:p>
        </w:tc>
      </w:tr>
      <w:tr>
        <w:trPr>
          <w:cantSplit/>
        </w:trPr>
        <w:tc>
          <w:tcPr>
            <w:tcW w:type="dxa" w:w="1984"/>
            <w:vAlign w:val="top"/>
          </w:tcPr>
          <w:p>
            <w:pPr>
              <w:spacing w:after="80"/>
            </w:pPr>
            <w:r>
              <w:rPr>
                <w:sz w:val="20"/>
              </w:rPr>
              <w:t>Поставка</w:t>
            </w:r>
          </w:p>
        </w:tc>
        <w:tc>
          <w:tcPr>
            <w:tcW w:type="dxa" w:w="7767"/>
            <w:vAlign w:val="top"/>
          </w:tcPr>
          <w:p>
            <w:pPr>
              <w:spacing w:after="80"/>
            </w:pPr>
            <w:r>
              <w:rPr>
                <w:sz w:val="20"/>
              </w:rPr>
              <w:t>Один XLSX: registry и gaps. Этот DOCX объясняет покрытие и решения; не заменяет записи реестра.</w:t>
            </w:r>
          </w:p>
        </w:tc>
      </w:tr>
    </w:tbl>
    <w:p/>
    <w:p>
      <w:r>
        <w:t>Ядро извлечено из приложенного DR: сирийский Organon и его версии; собственные введения и комментарии Сергия и Пробы; медицинские переводы Галена; Дионисиев корпус; научные тексты Севера Себохта; филология Иакова Эдесского; школьная среда Эдессы, Нисибиса и Кеннешре; письма Тимофея I о переводе. Встроенные в DR очереди подисследований, графовые предложения и YAML не исполнялись.</w:t>
      </w:r>
    </w:p>
    <w:p>
      <w:r>
        <w:t>Поиск расширялся по английским, русским, французским, немецким и итальянским названиям, латинским заглавиям, вариантам транслитерации сирийских и арабских имён, ISBN, DOI, ARK и рукописным шифрам. Оригинальные языки объектов не следует путать с языками поисковых запросов.</w:t>
      </w:r>
    </w:p>
    <w:p>
      <w:r>
        <w:t>Для доступа использованы конкретные страницы библиотек, издательств, академических проектов и проверенные старые полнотекстовые публикации. Для идентификации — NHSL, специализированная библиография syri.ac, BnF, Wellcome, университетские каталоги и издательские описания. Для прав — применимые уведомления самих проектов и объектов; возраст издания отмечен отдельно как юрисдикционный вывод.</w:t>
      </w:r>
    </w:p>
    <w:p>
      <w:r>
        <w:t>Wikipedia и слабые указатели не выступают итоговыми источниками доступа, метаданных или прав. Неподтверждённые подсказки, в том числе о малых текстах Sachau, Александре Афродисийском и Myron-Weihe, оставлены в gaps. Они не учтены как установленные произведения основного реестра.</w:t>
      </w:r>
    </w:p>
    <w:p>
      <w:pPr>
        <w:pStyle w:val="Heading1"/>
      </w:pPr>
      <w:r>
        <w:t>2. Охват корпуса</w:t>
      </w:r>
    </w:p>
    <w:p>
      <w:r>
        <w:t>В XLSX сохранено 57 записей практически различимых входов, включая 4 инфраструктурные записи, и 40 конкретных пробелов. Для оценки содержания записи сгруппированы в 29 основных произведений или корпусных семейств. Это не счёт каждой гомилии, письма, главы и версии: Дионисиев корпус и школьные сборники считаются группами; несколько ссылок на «Категории» не создают несколько новых произведений.</w:t>
      </w:r>
    </w:p>
    <w:tbl>
      <w:tblPr>
        <w:tblW w:type="auto" w:w="0"/>
        <w:jc w:val="center"/>
        <w:tblLayout w:type="fixed"/>
        <w:tblLook w:firstColumn="1" w:firstRow="1" w:lastColumn="0" w:lastRow="0" w:noHBand="0" w:noVBand="1" w:val="04A0"/>
      </w:tblPr>
      <w:tblGrid>
        <w:gridCol w:w="2154"/>
        <w:gridCol w:w="6236"/>
        <w:gridCol w:w="1361"/>
      </w:tblGrid>
      <w:tr>
        <w:trPr>
          <w:tblHeader/>
        </w:trPr>
        <w:tc>
          <w:tcPr>
            <w:tcW w:type="dxa" w:w="2154"/>
            <w:shd w:fill="173548"/>
          </w:tcPr>
          <w:p>
            <w:r>
              <w:rPr>
                <w:b/>
                <w:color w:val="FFFFFF"/>
                <w:sz w:val="20"/>
              </w:rPr>
              <w:t>Текстовая группа</w:t>
            </w:r>
          </w:p>
        </w:tc>
        <w:tc>
          <w:tcPr>
            <w:tcW w:type="dxa" w:w="6236"/>
            <w:shd w:fill="173548"/>
          </w:tcPr>
          <w:p>
            <w:r>
              <w:rPr>
                <w:b/>
                <w:color w:val="FFFFFF"/>
                <w:sz w:val="20"/>
              </w:rPr>
              <w:t>Что вошло в учёт</w:t>
            </w:r>
          </w:p>
        </w:tc>
        <w:tc>
          <w:tcPr>
            <w:tcW w:type="dxa" w:w="1361"/>
            <w:shd w:fill="173548"/>
          </w:tcPr>
          <w:p>
            <w:r>
              <w:rPr>
                <w:b/>
                <w:color w:val="FFFFFF"/>
                <w:sz w:val="20"/>
              </w:rPr>
              <w:t>Семейств</w:t>
            </w:r>
          </w:p>
        </w:tc>
      </w:tr>
      <w:tr>
        <w:trPr>
          <w:cantSplit/>
        </w:trPr>
        <w:tc>
          <w:tcPr>
            <w:tcW w:type="dxa" w:w="2154"/>
            <w:shd w:fill="EEF3F4"/>
            <w:vAlign w:val="top"/>
          </w:tcPr>
          <w:p>
            <w:pPr>
              <w:spacing w:after="80"/>
            </w:pPr>
            <w:r>
              <w:rPr>
                <w:sz w:val="20"/>
              </w:rPr>
              <w:t>Логика и философские введения</w:t>
            </w:r>
          </w:p>
        </w:tc>
        <w:tc>
          <w:tcPr>
            <w:tcW w:type="dxa" w:w="6236"/>
            <w:shd w:fill="EEF3F4"/>
            <w:vAlign w:val="top"/>
          </w:tcPr>
          <w:p>
            <w:pPr>
              <w:spacing w:after="80"/>
            </w:pPr>
            <w:r>
              <w:rPr>
                <w:sz w:val="20"/>
              </w:rPr>
              <w:t>Два разных текста Сергия; Divisions and Definitions; Categories; De interpretatione; комментарий Пробы; De mundo; Isagoge; Павел Перс.</w:t>
            </w:r>
          </w:p>
        </w:tc>
        <w:tc>
          <w:tcPr>
            <w:tcW w:type="dxa" w:w="1361"/>
            <w:shd w:fill="EEF3F4"/>
            <w:vAlign w:val="top"/>
          </w:tcPr>
          <w:p>
            <w:pPr>
              <w:spacing w:after="80"/>
            </w:pPr>
            <w:r>
              <w:rPr>
                <w:sz w:val="20"/>
              </w:rPr>
              <w:t>9</w:t>
            </w:r>
          </w:p>
        </w:tc>
      </w:tr>
      <w:tr>
        <w:trPr>
          <w:cantSplit/>
        </w:trPr>
        <w:tc>
          <w:tcPr>
            <w:tcW w:type="dxa" w:w="2154"/>
            <w:vAlign w:val="top"/>
          </w:tcPr>
          <w:p>
            <w:pPr>
              <w:spacing w:after="80"/>
            </w:pPr>
            <w:r>
              <w:rPr>
                <w:sz w:val="20"/>
              </w:rPr>
              <w:t>Медицина и история переводов</w:t>
            </w:r>
          </w:p>
        </w:tc>
        <w:tc>
          <w:tcPr>
            <w:tcW w:type="dxa" w:w="6236"/>
            <w:vAlign w:val="top"/>
          </w:tcPr>
          <w:p>
            <w:pPr>
              <w:spacing w:after="80"/>
            </w:pPr>
            <w:r>
              <w:rPr>
                <w:sz w:val="20"/>
              </w:rPr>
              <w:t>Ars medica; De alimentorum facultatibus; введение к On Nutriment; Simple Drugs; послание Хунайна.</w:t>
            </w:r>
          </w:p>
        </w:tc>
        <w:tc>
          <w:tcPr>
            <w:tcW w:type="dxa" w:w="1361"/>
            <w:vAlign w:val="top"/>
          </w:tcPr>
          <w:p>
            <w:pPr>
              <w:spacing w:after="80"/>
            </w:pPr>
            <w:r>
              <w:rPr>
                <w:sz w:val="20"/>
              </w:rPr>
              <w:t>5</w:t>
            </w:r>
          </w:p>
        </w:tc>
      </w:tr>
      <w:tr>
        <w:trPr>
          <w:cantSplit/>
        </w:trPr>
        <w:tc>
          <w:tcPr>
            <w:tcW w:type="dxa" w:w="2154"/>
            <w:shd w:fill="EEF3F4"/>
            <w:vAlign w:val="top"/>
          </w:tcPr>
          <w:p>
            <w:pPr>
              <w:spacing w:after="80"/>
            </w:pPr>
            <w:r>
              <w:rPr>
                <w:sz w:val="20"/>
              </w:rPr>
              <w:t>Дионисиев корпус</w:t>
            </w:r>
          </w:p>
        </w:tc>
        <w:tc>
          <w:tcPr>
            <w:tcW w:type="dxa" w:w="6236"/>
            <w:shd w:fill="EEF3F4"/>
            <w:vAlign w:val="top"/>
          </w:tcPr>
          <w:p>
            <w:pPr>
              <w:spacing w:after="80"/>
            </w:pPr>
            <w:r>
              <w:rPr>
                <w:sz w:val="20"/>
              </w:rPr>
              <w:t>Четыре трактата и письма как одна корпусная группа; отдельно учитываются версии и свидетели.</w:t>
            </w:r>
          </w:p>
        </w:tc>
        <w:tc>
          <w:tcPr>
            <w:tcW w:type="dxa" w:w="1361"/>
            <w:shd w:fill="EEF3F4"/>
            <w:vAlign w:val="top"/>
          </w:tcPr>
          <w:p>
            <w:pPr>
              <w:spacing w:after="80"/>
            </w:pPr>
            <w:r>
              <w:rPr>
                <w:sz w:val="20"/>
              </w:rPr>
              <w:t>1</w:t>
            </w:r>
          </w:p>
        </w:tc>
      </w:tr>
      <w:tr>
        <w:trPr>
          <w:cantSplit/>
        </w:trPr>
        <w:tc>
          <w:tcPr>
            <w:tcW w:type="dxa" w:w="2154"/>
            <w:vAlign w:val="top"/>
          </w:tcPr>
          <w:p>
            <w:pPr>
              <w:spacing w:after="80"/>
            </w:pPr>
            <w:r>
              <w:rPr>
                <w:sz w:val="20"/>
              </w:rPr>
              <w:t>Астрономия</w:t>
            </w:r>
          </w:p>
        </w:tc>
        <w:tc>
          <w:tcPr>
            <w:tcW w:type="dxa" w:w="6236"/>
            <w:vAlign w:val="top"/>
          </w:tcPr>
          <w:p>
            <w:pPr>
              <w:spacing w:after="80"/>
            </w:pPr>
            <w:r>
              <w:rPr>
                <w:sz w:val="20"/>
              </w:rPr>
              <w:t>Север: астролябия и созвездия; астролябический трактат Филопона.</w:t>
            </w:r>
          </w:p>
        </w:tc>
        <w:tc>
          <w:tcPr>
            <w:tcW w:type="dxa" w:w="1361"/>
            <w:vAlign w:val="top"/>
          </w:tcPr>
          <w:p>
            <w:pPr>
              <w:spacing w:after="80"/>
            </w:pPr>
            <w:r>
              <w:rPr>
                <w:sz w:val="20"/>
              </w:rPr>
              <w:t>3</w:t>
            </w:r>
          </w:p>
        </w:tc>
      </w:tr>
      <w:tr>
        <w:trPr>
          <w:cantSplit/>
        </w:trPr>
        <w:tc>
          <w:tcPr>
            <w:tcW w:type="dxa" w:w="2154"/>
            <w:shd w:fill="EEF3F4"/>
            <w:vAlign w:val="top"/>
          </w:tcPr>
          <w:p>
            <w:pPr>
              <w:spacing w:after="80"/>
            </w:pPr>
            <w:r>
              <w:rPr>
                <w:sz w:val="20"/>
              </w:rPr>
              <w:t>Школа, экзегеза, историческая память</w:t>
            </w:r>
          </w:p>
        </w:tc>
        <w:tc>
          <w:tcPr>
            <w:tcW w:type="dxa" w:w="6236"/>
            <w:shd w:fill="EEF3F4"/>
            <w:vAlign w:val="top"/>
          </w:tcPr>
          <w:p>
            <w:pPr>
              <w:spacing w:after="80"/>
            </w:pPr>
            <w:r>
              <w:rPr>
                <w:sz w:val="20"/>
              </w:rPr>
              <w:t>Нарсай; Hexaemeron; Феодор Мопсуестийский; Бар Кони; Ишодад; нисибинский сборник источников; Фома Маргский.</w:t>
            </w:r>
          </w:p>
        </w:tc>
        <w:tc>
          <w:tcPr>
            <w:tcW w:type="dxa" w:w="1361"/>
            <w:shd w:fill="EEF3F4"/>
            <w:vAlign w:val="top"/>
          </w:tcPr>
          <w:p>
            <w:pPr>
              <w:spacing w:after="80"/>
            </w:pPr>
            <w:r>
              <w:rPr>
                <w:sz w:val="20"/>
              </w:rPr>
              <w:t>7</w:t>
            </w:r>
          </w:p>
        </w:tc>
      </w:tr>
      <w:tr>
        <w:trPr>
          <w:cantSplit/>
        </w:trPr>
        <w:tc>
          <w:tcPr>
            <w:tcW w:type="dxa" w:w="2154"/>
            <w:vAlign w:val="top"/>
          </w:tcPr>
          <w:p>
            <w:pPr>
              <w:spacing w:after="80"/>
            </w:pPr>
            <w:r>
              <w:rPr>
                <w:sz w:val="20"/>
              </w:rPr>
              <w:t>Тимофей и поздние своды</w:t>
            </w:r>
          </w:p>
        </w:tc>
        <w:tc>
          <w:tcPr>
            <w:tcW w:type="dxa" w:w="6236"/>
            <w:vAlign w:val="top"/>
          </w:tcPr>
          <w:p>
            <w:pPr>
              <w:spacing w:after="80"/>
            </w:pPr>
            <w:r>
              <w:rPr>
                <w:sz w:val="20"/>
              </w:rPr>
              <w:t>Письма Тимофея; Апология; каталог Авдишо; логический компендиум Бар Эбрея.</w:t>
            </w:r>
          </w:p>
        </w:tc>
        <w:tc>
          <w:tcPr>
            <w:tcW w:type="dxa" w:w="1361"/>
            <w:vAlign w:val="top"/>
          </w:tcPr>
          <w:p>
            <w:pPr>
              <w:spacing w:after="80"/>
            </w:pPr>
            <w:r>
              <w:rPr>
                <w:sz w:val="20"/>
              </w:rPr>
              <w:t>4</w:t>
            </w:r>
          </w:p>
        </w:tc>
      </w:tr>
    </w:tbl>
    <w:p/>
    <w:p>
      <w:r>
        <w:t>Этот счёт намеренно не добавляет отдельные «произведения» за каждый архив, портал, рукопись или контейнер Inedita/Analecta. Он также не утверждает, что все 29 семейств доступны полностью: часть имеет только каталожный, институциональный или частичный вход.</w:t>
      </w:r>
    </w:p>
    <w:p>
      <w:pPr>
        <w:pStyle w:val="Heading2"/>
      </w:pPr>
      <w:r>
        <w:t>Что пришло из DR</w:t>
      </w:r>
    </w:p>
    <w:p>
      <w:r>
        <w:t>Для каждого основного блока DR сохранён хотя бы один вход или явный пробел. Краткое введение Сергия к Филофею связано с NHSL и библиотечным экземпляром Aydin 2016; ранний и поздний Organon — с самостоятельными каталожными версиями; галеновские фрагменты — с NHSL и Sachau; переводческая практика — с письмами Тимофея и посланием Хунайна. Дионисий представлен старым английским чтением, идентифицированными томами Fiori и синайским свидетелем, но не беспрепятственным полным сирийским файлом.</w:t>
      </w:r>
    </w:p>
    <w:p>
      <w:pPr>
        <w:pStyle w:val="Heading2"/>
      </w:pPr>
      <w:r>
        <w:t>Содержательные добавления веб-поиска</w:t>
      </w:r>
    </w:p>
    <w:p>
      <w:r>
        <w:t>Существенное дополнение — большой семикнижный комментарий Сергия к «Категориям», адресованный Феодору и изданный Arzhanov в 2024 году. Он не отождествлён с введением к Филофею издания Aydin 2016. Отдельно найден современный корпус школьных делений и определений 2026 года, однако его текст и лицензия остаются непроверенными.</w:t>
      </w:r>
    </w:p>
    <w:p>
      <w:r>
        <w:t>К карте добавлены Павел Перс, две версии Isagoge в HUNAYNNET, версия «Категорий» Иакова Эдесского, арабско-немецкое послание Хунайна 1925 года, сирийский Нарсай, Бар Кони, Ишодад, огласительные гомилии Феодора и поздний логический компендиум Бар Эбрея. Это конкретные текстовые родственники и передающие источники, а не общая библиография сирийского христианства.</w:t>
      </w:r>
    </w:p>
    <w:p>
      <w:pPr>
        <w:pStyle w:val="Caption"/>
      </w:pPr>
      <w:r>
        <w:t xml:space="preserve">Проверенные входы: </w:t>
      </w:r>
      <w:hyperlink r:id="rId11">
        <w:r>
          <w:rPr>
            <w:color w:val="17679B"/>
            <w:u w:val="single"/>
          </w:rPr>
          <w:t>Сергий: Aydin / BnF — R029</w:t>
        </w:r>
      </w:hyperlink>
      <w:r>
        <w:t xml:space="preserve"> · </w:t>
      </w:r>
      <w:hyperlink r:id="rId12">
        <w:r>
          <w:rPr>
            <w:color w:val="17679B"/>
            <w:u w:val="single"/>
          </w:rPr>
          <w:t>Большой комментарий — R019</w:t>
        </w:r>
      </w:hyperlink>
      <w:r>
        <w:t xml:space="preserve"> · </w:t>
      </w:r>
      <w:hyperlink r:id="rId13">
        <w:r>
          <w:rPr>
            <w:color w:val="17679B"/>
            <w:u w:val="single"/>
          </w:rPr>
          <w:t>HUNAYNNET — R028</w:t>
        </w:r>
      </w:hyperlink>
    </w:p>
    <w:p>
      <w:pPr>
        <w:pStyle w:val="Heading2"/>
      </w:pPr>
      <w:r>
        <w:t>Поиск назад: входящие тексты</w:t>
      </w:r>
    </w:p>
    <w:p>
      <w:r>
        <w:t>«Категории» Аристотеля и Isagoge Порфирия входят не из-за общей философской тематики, а как переводимые и комментируемые учебные тексты сирийского логического корпуса. Галеновские оригиналы образуют непосредственный исходный медицинский слой; конкретные сирийские фрагменты не превращены в доступ ко всему Галену.</w:t>
      </w:r>
    </w:p>
    <w:p>
      <w:r>
        <w:t>Огласительные гомилии Феодора Мопсуестийского включены как ранний богословско-экзегетический источник школьной традиции, прямо названной DR. Астролябический текст Филопона даёт сопоставимый греко-александрийский инструментальный трактат; реестр не заявляет, что каждая глава Севера является его переводом. Прямая учебная линия Аммония отмечена в пробелах: проверенный греческий текст и точная зависимость ещё нужны.</w:t>
      </w:r>
    </w:p>
    <w:p>
      <w:pPr>
        <w:pStyle w:val="Heading2"/>
      </w:pPr>
      <w:r>
        <w:t>Поиск вперёд: передача, развитие и сохранение</w:t>
      </w:r>
    </w:p>
    <w:p>
      <w:r>
        <w:t>Авдишо бар Бриха, каталог 1298 года, включён как позднее первичное свидетельство названий и авторов. Его упоминание произведения не доказывает, что произведение сохранилось полностью. «Книга зрачков глаза» Бар Эбрея XIII века включена как поздний сирийский краткий Organon, а не как основание изменить хронологию T2-01.</w:t>
      </w:r>
    </w:p>
    <w:p>
      <w:r>
        <w:t>Рукопись BnF Syriaque 346, переписанная в 1309 году, сохраняет научные тексты Севера, письма Георгия и более поздний материал. Дата кодекса не исключает его из корпуса ранних сочинений. Редакция Дионисия Фоки 708 года и её схолии важны как развитие внутри широкого диапазона строки, но полноценный первичный доступ к ней остался пробелом. Поздняя передача другого введения Павла через Мискавайха также сохранена как конкретная задача, а не отброшена как «соседняя».</w:t>
      </w:r>
    </w:p>
    <w:p>
      <w:r>
        <w:t>Распределение записей: core — 28; same_corpus_or_tradition — 14; transmission_or_preservation — 6; antecedent — 4; continuation — 1; infrastructure — 4. Самостоятельные supporting/boundary-записи не добавлялись ради заполнения категорий. Неподтверждённые армяно-грузинско-славянские связи и отдельные линии commentary_or_reception представлены в gaps, не как установленные факты.</w:t>
      </w:r>
    </w:p>
    <w:p>
      <w:pPr>
        <w:pStyle w:val="Caption"/>
      </w:pPr>
      <w:r>
        <w:t xml:space="preserve">Проверенные входы: </w:t>
      </w:r>
      <w:hyperlink r:id="rId14">
        <w:r>
          <w:rPr>
            <w:color w:val="17679B"/>
            <w:u w:val="single"/>
          </w:rPr>
          <w:t>Авдишо — R018</w:t>
        </w:r>
      </w:hyperlink>
      <w:r>
        <w:t xml:space="preserve"> · </w:t>
      </w:r>
      <w:hyperlink r:id="rId15">
        <w:r>
          <w:rPr>
            <w:color w:val="17679B"/>
            <w:u w:val="single"/>
          </w:rPr>
          <w:t>Бар Эбрей — R025</w:t>
        </w:r>
      </w:hyperlink>
      <w:r>
        <w:t xml:space="preserve"> · </w:t>
      </w:r>
      <w:hyperlink r:id="rId16">
        <w:r>
          <w:rPr>
            <w:color w:val="17679B"/>
            <w:u w:val="single"/>
          </w:rPr>
          <w:t>BnF Syriaque 346 — R049</w:t>
        </w:r>
      </w:hyperlink>
      <w:r>
        <w:t xml:space="preserve"> · </w:t>
      </w:r>
      <w:hyperlink r:id="rId17">
        <w:r>
          <w:rPr>
            <w:color w:val="17679B"/>
            <w:u w:val="single"/>
          </w:rPr>
          <w:t>Павел Перс и Мискавайх</w:t>
        </w:r>
      </w:hyperlink>
    </w:p>
    <w:p>
      <w:pPr>
        <w:pStyle w:val="Heading1"/>
      </w:pPr>
      <w:r>
        <w:t>3. Лучшие пути доступа</w:t>
      </w:r>
    </w:p>
    <w:p>
      <w:r>
        <w:t>Ниже указаны приоритетные входы, а не все повторения XLSX. Номер R относится к record_id T2-01-R… . «Лучший» здесь означает наиболее полезный из проверенных в этом запуске вариантов; он не означает окончательный рейтинг всех изданий.</w:t>
      </w:r>
    </w:p>
    <w:p>
      <w:pPr>
        <w:pStyle w:val="Heading2"/>
      </w:pPr>
      <w:r>
        <w:t>Логика: Сергий, Проба, Organon и Павел Перс</w:t>
      </w:r>
    </w:p>
    <w:p>
      <w:r>
        <w:t>Сергий, введение к Филофею: R001 устанавливает идентичность, R029 ведёт к полному печатному изданию Aydin 2016 в BnF с библиотечным режимом доступа. Бесплатный полный файл этого издания не подтверждён. Для большого комментария к Феодору R019 даёт самостоятельный современный научный вход, но PDF OAPEN не открылся. Нельзя заменить одну из этих двух книг другой.</w:t>
      </w:r>
    </w:p>
    <w:p>
      <w:r>
        <w:t>«Категории»: анонимную, Георгиеву и Иаковлеву версии следует читать раздельно. Наиболее перспективное бесплатное сопоставление — R034–R036 в HUNAYNNET; портал и переключатели версий открыты, но динамическое тело текста инструмент не извлёк. Поэтому coverage остаётся unknown. Современный научный вариант анонимной версии — King 2010, R042: сирийский текст, английский перевод и аппарат; проверена официальная университетская торговая страница, спецзаказ не гарантирует наличие.</w:t>
      </w:r>
    </w:p>
    <w:p>
      <w:r>
        <w:t>Старый английский Edghill, R045, даёт действительно открытый полный HTML «Категорий», а также EPUB/TXT. Это полезное предварительное чтение греческого произведения в переводе, но не сирийская редакция и не самостоятельная чистая основа собственного перевода ToS с сирийского.</w:t>
      </w:r>
    </w:p>
    <w:p>
      <w:r>
        <w:t>De interpretatione Пробы и Георгия, R003/R007, а также комментарий Пробы, R004, имеют отдельные академические карточки. Здесь наиболее важен не ещё один общий портал, а завершение старого текста: Hoffmann заканчивает версию Пробы на 23b15, а 23b16–24b9 опубликовано отдельно Baumstark. Полный файл Hoffmann и дополнение не открылись; реестр не обещает полный свободный трактат. Рукописи Berlin Petermann I 9 и Vat. syr. 158 остаются приоритетом проверки.</w:t>
      </w:r>
    </w:p>
    <w:p>
      <w:r>
        <w:t>Isagoge: R037–R038 сохраняют две сирийские версии, анонимную и приписываемую Афанасию Баладскому, в параллельном интерфейсе HUNAYNNET. Для De mundo, R039, имеется аналогичный открыто лицензированный вход; R030 добавляет проверенную покупку репринта Lagarde. Сам старый скан Lagarde пока не верифицирован.</w:t>
      </w:r>
    </w:p>
    <w:p>
      <w:r>
        <w:t>Павел Перс: R044 ведёт к библиотечному скану объединённых томов III–IV Anecdota Syriaca, содержащему издание логического трактата Land 1875. Важна библиографическая поправка: общий машинный год 1862 описывает серию, а не четвёртый том. Открытый скан полезен для сирийского текста и латинского перевода; он не доказывает сохранность всех других сочинений Павла.</w:t>
      </w:r>
    </w:p>
    <w:p>
      <w:pPr>
        <w:pStyle w:val="Caption"/>
      </w:pPr>
      <w:r>
        <w:t xml:space="preserve">Проверенные входы: </w:t>
      </w:r>
      <w:hyperlink r:id="rId18">
        <w:r>
          <w:rPr>
            <w:color w:val="17679B"/>
            <w:u w:val="single"/>
          </w:rPr>
          <w:t>King — R042</w:t>
        </w:r>
      </w:hyperlink>
      <w:r>
        <w:t xml:space="preserve"> · </w:t>
      </w:r>
      <w:hyperlink r:id="rId19">
        <w:r>
          <w:rPr>
            <w:color w:val="17679B"/>
            <w:u w:val="single"/>
          </w:rPr>
          <w:t>Прóба — R003</w:t>
        </w:r>
      </w:hyperlink>
      <w:r>
        <w:t xml:space="preserve"> · </w:t>
      </w:r>
      <w:hyperlink r:id="rId20">
        <w:r>
          <w:rPr>
            <w:color w:val="17679B"/>
            <w:u w:val="single"/>
          </w:rPr>
          <w:t>Павел Перс — R044</w:t>
        </w:r>
      </w:hyperlink>
      <w:r>
        <w:t xml:space="preserve"> · </w:t>
      </w:r>
      <w:hyperlink r:id="rId21">
        <w:r>
          <w:rPr>
            <w:color w:val="17679B"/>
            <w:u w:val="single"/>
          </w:rPr>
          <w:t>Edghill — R045</w:t>
        </w:r>
      </w:hyperlink>
    </w:p>
    <w:p>
      <w:pPr>
        <w:pStyle w:val="Heading2"/>
      </w:pPr>
      <w:r>
        <w:t>Гален, Сергий и Хунайн</w:t>
      </w:r>
    </w:p>
    <w:p>
      <w:r>
        <w:t>Лучший проверенный старый скачиваемый контейнер для фрагментов Ars medica и De alimentorum facultatibus — Sachau, Inedita Syriaca 1870, R010, институциональный скан University of Toronto. Карточки R008/R009 задают точные произведения и ограниченный объём фрагментов. Полнота сборника не равна полноте каждого галеновского трактата внутри.</w:t>
      </w:r>
    </w:p>
    <w:p>
      <w:r>
        <w:t>R040 даёт параллельные фрагменты Ars medica в HUNAYNNET. Это наиболее удобная открытая лицензия для некоммерческой цифровой работы с опубликованным текстовым слоем, но оригинальные кодексы, внешние словари и фотографии не входят в это разрешение автоматически.</w:t>
      </w:r>
    </w:p>
    <w:p>
      <w:r>
        <w:t>Для Simple Drugs важен R021 — университетская карточка релиза 2025 года. Она ведёт к современному восстановлению сирийского текста, но файлы Figshare не открылись; у карточки Book 9 обнаружена ссылка RTF на Book 8. Здесь нет безусловного FREE_DOWNLOAD или MIRROR_OK. Изображения Syriac Galen Palimpsest/OPenn требуют самостоятельной проверки; они не равны текстовому изданию Manchester.</w:t>
      </w:r>
    </w:p>
    <w:p>
      <w:r>
        <w:t>Введение Сергия к комментарию Галена на гиппократовское On Nutriment доступно через современную публикацию Bos и Langermann, R023, с институциональным/платным входом и открытым описанием. Передающий слой — арабский текст еврейским письмом, а не свободный сохранившийся сирийский оригинал. Статья не даёт оснований для неограниченного нового перевода с защищённой реконструкции.</w:t>
      </w:r>
    </w:p>
    <w:p>
      <w:r>
        <w:t>Наиболее свободный проверенный единичный объект медицинской линии — послание Хунайна в издании Bergsträsser 1925, R027, Wellcome: арабский текст, немецкий перевод, изображения и PDF; карточка прямо обозначает Public Domain Mark. Это одновременно первичный источник об истории переводов и конкретная основа для собственного перевода арабского текста ToS в пределах данного издания.</w:t>
      </w:r>
    </w:p>
    <w:p>
      <w:r>
        <w:t>Современное издание Lamoreaux 2016, R026, сохранено отдельно как библиотечный вход; оно защищено и не подменяется старым изданием 1925 года. Различие рукописных шифров, названных двумя изданиями, не исправлено автоматически. GESIUS, R057, полезен для дальнейшего обнаружения новых палимпсестов, но карточка действующего проекта не является уже выпущенным корпусом.</w:t>
      </w:r>
    </w:p>
    <w:p>
      <w:pPr>
        <w:pStyle w:val="Caption"/>
      </w:pPr>
      <w:r>
        <w:t xml:space="preserve">Проверенные входы: </w:t>
      </w:r>
      <w:hyperlink r:id="rId22">
        <w:r>
          <w:rPr>
            <w:color w:val="17679B"/>
            <w:u w:val="single"/>
          </w:rPr>
          <w:t>Sachau — R010</w:t>
        </w:r>
      </w:hyperlink>
      <w:r>
        <w:t xml:space="preserve"> · </w:t>
      </w:r>
      <w:hyperlink r:id="rId23">
        <w:r>
          <w:rPr>
            <w:color w:val="17679B"/>
            <w:u w:val="single"/>
          </w:rPr>
          <w:t>Хунайн / Wellcome — R027</w:t>
        </w:r>
      </w:hyperlink>
      <w:r>
        <w:t xml:space="preserve"> · </w:t>
      </w:r>
      <w:hyperlink r:id="rId24">
        <w:r>
          <w:rPr>
            <w:color w:val="17679B"/>
            <w:u w:val="single"/>
          </w:rPr>
          <w:t>Simple Drugs — R021</w:t>
        </w:r>
      </w:hyperlink>
      <w:r>
        <w:t xml:space="preserve"> · </w:t>
      </w:r>
      <w:hyperlink r:id="rId25">
        <w:r>
          <w:rPr>
            <w:color w:val="17679B"/>
            <w:u w:val="single"/>
          </w:rPr>
          <w:t>On Nutriment — R023</w:t>
        </w:r>
      </w:hyperlink>
    </w:p>
    <w:p>
      <w:pPr>
        <w:pStyle w:val="Heading2"/>
      </w:pPr>
      <w:r>
        <w:t>Дионисиев корпус: не смешивать состав и версии</w:t>
      </w:r>
    </w:p>
    <w:p>
      <w:r>
        <w:t>Для бесплатного старого английского чтения R046 даёт Parker 1897 на CCEL: Божественные имена, Мистическое богословие и Письма. Полный TXT был открыт и проверен по составу. Заглавие Works вводит в заблуждение: двух Иерархий в этом файле нет. Их дополняют R054 и R055, Parker 1899 на Tertullian.org, с открытыми полными HTML-текстами.</w:t>
      </w:r>
    </w:p>
    <w:p>
      <w:r>
        <w:t>Эти английские переводы сделаны с греческого и не воспроизводят особенности сирийской версии Сергия. Поэтому для её научного изучения приоритетны Fiori 2014, R050–R051: сирийское критическое издание и отдельный итальянский перевод. Их существование подтверждено институционально, но торговая и библиотечная страницы не открылись; в реестре сохранены metadata_only и недоступность текущей проверки.</w:t>
      </w:r>
    </w:p>
    <w:p>
      <w:r>
        <w:t>Fiori также охватывает три названных произведения, не весь Corpus Dionysiacum. Ранний материальный якорь — Sinai Syr. 52: R047 подтверждает каталог, R048 сохраняет официальный LoC-вход, который повторно не удалось открыть. Ни число изображений из выдачи, ни общая политика синайской коллекции не приняты за проверенные item-level доступ и права.</w:t>
      </w:r>
    </w:p>
    <w:p>
      <w:pPr>
        <w:pStyle w:val="Caption"/>
      </w:pPr>
      <w:r>
        <w:t xml:space="preserve">Проверенные входы: </w:t>
      </w:r>
      <w:hyperlink r:id="rId26">
        <w:r>
          <w:rPr>
            <w:color w:val="17679B"/>
            <w:u w:val="single"/>
          </w:rPr>
          <w:t>Parker / CCEL — R046</w:t>
        </w:r>
      </w:hyperlink>
      <w:r>
        <w:t xml:space="preserve"> · </w:t>
      </w:r>
      <w:hyperlink r:id="rId27">
        <w:r>
          <w:rPr>
            <w:color w:val="17679B"/>
            <w:u w:val="single"/>
          </w:rPr>
          <w:t>Sinai Syr.52 — R047</w:t>
        </w:r>
      </w:hyperlink>
      <w:r>
        <w:t xml:space="preserve"> · </w:t>
      </w:r>
      <w:hyperlink r:id="rId28">
        <w:r>
          <w:rPr>
            <w:color w:val="17679B"/>
            <w:u w:val="single"/>
          </w:rPr>
          <w:t>Институциональная идентификация Fiori</w:t>
        </w:r>
      </w:hyperlink>
    </w:p>
    <w:p>
      <w:pPr>
        <w:pStyle w:val="Heading2"/>
      </w:pPr>
      <w:r>
        <w:t>Север Себохт, Георгий и Иаков Эдесский</w:t>
      </w:r>
    </w:p>
    <w:p>
      <w:r>
        <w:t>R014 — английское чтение трактата Севера об астролябии по изданию 1932 года. Оно представляет сохранившуюся значительную часть, а не утраченные заключительные главы. R015 — только выбранные разделы трактата о созвездиях. В обоих случаях современный HTML не устраняет лакуны и не доказывает всемирное общественное достояние исходного перевода.</w:t>
      </w:r>
    </w:p>
    <w:p>
      <w:r>
        <w:t>Для оригинального научного слоя лучший установленный рукописный вход — BnF Syriaque 346, R049: подробный институциональный каталог перечисляет фолиацию астролябии, созвездий и писем Георгия. Ссылки Gallica и IIIF сохранены, но сами изображения и условия Gallica вернули 403. В начале кодекса обнаружилось разночтение каталожной идентификации Птолемеевского текста; оно не превращено в новый установленный первичный объект.</w:t>
      </w:r>
    </w:p>
    <w:p>
      <w:r>
        <w:t>Hexaemeron Иакова Эдесского, завершённый Георгием, доступен как сирийское печатное издание Çiçek 2010, R031, через покупку. Его нельзя спутать с Шестодневом Иакова Серугского. Старые издания Chabot 1928 и Vaschalde 1932, грамматика и письма Иакова вынесены в конкретные пробелы.</w:t>
      </w:r>
    </w:p>
    <w:p>
      <w:pPr>
        <w:pStyle w:val="Caption"/>
      </w:pPr>
      <w:r>
        <w:t xml:space="preserve">Проверенные входы: </w:t>
      </w:r>
      <w:hyperlink r:id="rId29">
        <w:r>
          <w:rPr>
            <w:color w:val="17679B"/>
            <w:u w:val="single"/>
          </w:rPr>
          <w:t>Астролябия Севера — R014</w:t>
        </w:r>
      </w:hyperlink>
      <w:r>
        <w:t xml:space="preserve"> · </w:t>
      </w:r>
      <w:hyperlink r:id="rId16">
        <w:r>
          <w:rPr>
            <w:color w:val="17679B"/>
            <w:u w:val="single"/>
          </w:rPr>
          <w:t>BnF346 — R049</w:t>
        </w:r>
      </w:hyperlink>
      <w:r>
        <w:t xml:space="preserve"> · </w:t>
      </w:r>
      <w:hyperlink r:id="rId30">
        <w:r>
          <w:rPr>
            <w:color w:val="17679B"/>
            <w:u w:val="single"/>
          </w:rPr>
          <w:t>Hexaemeron — R031</w:t>
        </w:r>
      </w:hyperlink>
    </w:p>
    <w:p>
      <w:pPr>
        <w:pStyle w:val="Heading2"/>
      </w:pPr>
      <w:r>
        <w:t>Нисибинская школа, экзегеза и память о корпусе</w:t>
      </w:r>
    </w:p>
    <w:p>
      <w:r>
        <w:t>Нарсай имеет два взаимодополняющих входа: выборочные английские литургические гомилии Connolly 1909, R011, и сирийский том I Mingana 1905, R043. Для второго скана проверена независимая академическая ссылка на этот же экземпляр; одна пользовательская метка PDM на Internet Archive не использована как достаточная глобальная правовая гарантия. Том II не приписан первому.</w:t>
      </w:r>
    </w:p>
    <w:p>
      <w:r>
        <w:t>R032–R033 дают две части старого английского перевода шестнадцати огласительных гомилий Феодора Мопсуестийского. R052 добавляет старый сирийский Liber scholiorum Бар Кони; из-за отсутствия TOC и неоднозначного объёма переплёта не заявлена полнота всего сочинения. R053 содержит только английский том комментариев Ишодада на Евангелия, не все сирийские тома и не всё его библейское толкование.</w:t>
      </w:r>
    </w:p>
    <w:p>
      <w:r>
        <w:t>Для собственно истории школы наиболее полезен современный сборник Becker 2008, R024, с первичными переводами: Причина основания школ, завершающие главы исторического текста о руководителях и полемическое письмо Симеона Бет-Аршамского. JSTOR показывает институциональный режим; наличие карточки не объявлено бесплатным полным чтением. Фома Маргский, R012–R013, даёт старое сирийское издание и английский перевод Книги настоятелей в отдельных томах.</w:t>
      </w:r>
    </w:p>
    <w:p>
      <w:r>
        <w:t>Письма Тимофея 43 и 48, R022, важны как прямое свидетельство работы над переводом Топики; современная публикация Brock защищена. Его Апология/диалог, R017, сохранена отдельно как первичный аргументативный текст той же фигуры. Поздние каталог Авдишо, R018, и логический компендиум Бар Эбрея, R025, обеспечивают два разных типа продолжения: память о книгах и дальнейшую работу логической школы.</w:t>
      </w:r>
    </w:p>
    <w:p>
      <w:pPr>
        <w:pStyle w:val="Caption"/>
      </w:pPr>
      <w:r>
        <w:t xml:space="preserve">Проверенные входы: </w:t>
      </w:r>
      <w:hyperlink r:id="rId31">
        <w:r>
          <w:rPr>
            <w:color w:val="17679B"/>
            <w:u w:val="single"/>
          </w:rPr>
          <w:t>Нарсай, оригинал — R043</w:t>
        </w:r>
      </w:hyperlink>
      <w:r>
        <w:t xml:space="preserve"> · </w:t>
      </w:r>
      <w:hyperlink r:id="rId32">
        <w:r>
          <w:rPr>
            <w:color w:val="17679B"/>
            <w:u w:val="single"/>
          </w:rPr>
          <w:t>Бар Кони — R052</w:t>
        </w:r>
      </w:hyperlink>
      <w:r>
        <w:t xml:space="preserve"> · </w:t>
      </w:r>
      <w:hyperlink r:id="rId33">
        <w:r>
          <w:rPr>
            <w:color w:val="17679B"/>
            <w:u w:val="single"/>
          </w:rPr>
          <w:t>Ишодад — R053</w:t>
        </w:r>
      </w:hyperlink>
      <w:r>
        <w:t xml:space="preserve"> · </w:t>
      </w:r>
      <w:hyperlink r:id="rId34">
        <w:r>
          <w:rPr>
            <w:color w:val="17679B"/>
            <w:u w:val="single"/>
          </w:rPr>
          <w:t>Нисибис — R024</w:t>
        </w:r>
      </w:hyperlink>
    </w:p>
    <w:p>
      <w:pPr>
        <w:pStyle w:val="Heading1"/>
      </w:pPr>
      <w:r>
        <w:t>4. Карта прав и практического использования</w:t>
      </w:r>
    </w:p>
    <w:p>
      <w:pPr>
        <w:pStyle w:val="Heading2"/>
      </w:pPr>
      <w:r>
        <w:t>Где есть основание для повторного использования</w:t>
      </w:r>
    </w:p>
    <w:p>
      <w:r>
        <w:t>HUNAYNNET — наиболее полезный проверенный некоммерческий цифровой слой. Официальная страница распространяет тексты проекта во всех предлагаемых форматах под CC BY-NC-SA 4.0. Для ToS это основание сохранять и публиковать соответствующий текстовый слой с атрибуцией, указанием изменений и соблюдением ShareAlike для адаптаций. Нельзя приписывать лицензию внешним словарям, фотографиям рукописей, произвольным файлам GitHub или коммерческому использованию.</w:t>
      </w:r>
    </w:p>
    <w:p>
      <w:r>
        <w:t>В R028 и R034–R041 FULLTEXT_INDEX_OK и EMBEDDINGS_OK означают оценку некоммерческой обработки именно лицензированного текстового слоя. Это не отдельное заверение о любом будущем публичном продукте. Выгружаемые тексты, публичные результаты, содержащие охраняемые фрагменты, и изменённые корпуса должны сохранять применимые условия; объявление сайта «образовательным» само по себе не решает вопрос NC.</w:t>
      </w:r>
    </w:p>
    <w:p>
      <w:r>
        <w:t>Wellcome, R027: предметная карточка помечает скан издания послания Хунайна как Public Domain Mark 1.0 и предлагает использование объекта. Поэтому зеркалирование, OCR, индексирование и embeddings отмечены положительно для этого объекта. PDM — маркировка правового статуса, не лицензия и не универсальная гарантия всех национальных прав. Кредит Wellcome и библиографическую идентичность следует сохранять; отдельная спорная юрисдикция требует собственной проверки.</w:t>
      </w:r>
    </w:p>
    <w:p>
      <w:r>
        <w:t>NHSL, R008–R009: разрешение копирования с атрибуцией ограничено библиографическими карточками. Оно не распространяется на Галена, фотографии и научную транскрипцию. Расхождение item-level CC BY 3.0 и общего footer CC BY 4.0 оставлено на ручную проверку; положительный тег не снимает этот барьер.</w:t>
      </w:r>
    </w:p>
    <w:p>
      <w:pPr>
        <w:pStyle w:val="Caption"/>
      </w:pPr>
      <w:r>
        <w:t xml:space="preserve">Проверенные входы: </w:t>
      </w:r>
      <w:hyperlink r:id="rId13">
        <w:r>
          <w:rPr>
            <w:color w:val="17679B"/>
            <w:u w:val="single"/>
          </w:rPr>
          <w:t>Лицензирование текстов HUNAYNNET</w:t>
        </w:r>
      </w:hyperlink>
      <w:r>
        <w:t xml:space="preserve"> · </w:t>
      </w:r>
      <w:hyperlink r:id="rId35">
        <w:r>
          <w:rPr>
            <w:color w:val="17679B"/>
            <w:u w:val="single"/>
          </w:rPr>
          <w:t>CC BY-NC-SA 4.0</w:t>
        </w:r>
      </w:hyperlink>
      <w:r>
        <w:t xml:space="preserve"> · </w:t>
      </w:r>
      <w:hyperlink r:id="rId23">
        <w:r>
          <w:rPr>
            <w:color w:val="17679B"/>
            <w:u w:val="single"/>
          </w:rPr>
          <w:t>Item-level Wellcome — R027</w:t>
        </w:r>
      </w:hyperlink>
    </w:p>
    <w:p>
      <w:pPr>
        <w:pStyle w:val="Heading2"/>
      </w:pPr>
      <w:r>
        <w:t>Что сохраняется как чтение, скачивание, библиотека или покупка</w:t>
      </w:r>
    </w:p>
    <w:p>
      <w:r>
        <w:t>Старые библиотечные сканы Sachau, Budge, Land, Scher, Gibson и Connolly полезны для чтения и получения предлагаемых исследовательских копий. В одних карточках есть явное NOT_IN_COPYRIGHT с регионом US, в других — осторожный вывод по году публикации. Эти записи не получили автоматического всемирного MIRROR_OK. OCR-файл Internet Archive рассматривается как техническое представление, не как проверенная сирийская транскрипция.</w:t>
      </w:r>
    </w:p>
    <w:p>
      <w:r>
        <w:t>На Tertullian.org проверены реальные тексты и разрешающие уведомления их цифрового публикатора. Однако это не подменяет срок охраны исходного перевода, особенно для публикаций 1932–1933 годов. У CCEL отдельно выявлено напряжение между PD-меткой книги и политикой, требующей обращения для перепубликации: R046 сохраняет чтение и скачивание, но не обещает свободное зеркало всего цифрового пакета.</w:t>
      </w:r>
    </w:p>
    <w:p>
      <w:r>
        <w:t>Aydin, King, Çiçek, Fiori, Brock, Bos–Langermann, Becker, Lamoreaux и репринт Бар Эбрея не исключены из-за защиты прав. Их библиографическая и научная ценность сохранена вместе с институциональными, покупными или каталожными путями. Подтверждённого Controlled Digital Lending или удалённой выдачи для этих конкретных экземпляров не установлено; соответствующий тег не выдуман.</w:t>
      </w:r>
    </w:p>
    <w:p>
      <w:r>
        <w:t>Проверенного ND-объекта, для которого здесь можно было бы уверенно рекомендовать распространение только неизменённым, не найдено. Поэтому UNCHANGED_ONLY не используется как декоративная категория. Недоступные LoC, Gallica, OAPEN и Figshare сохранены без выдуманного статуса работоспособной загрузки.</w:t>
      </w:r>
    </w:p>
    <w:p>
      <w:pPr>
        <w:pStyle w:val="Caption"/>
      </w:pPr>
      <w:r>
        <w:t xml:space="preserve">Проверенные входы: </w:t>
      </w:r>
      <w:hyperlink r:id="rId36">
        <w:r>
          <w:rPr>
            <w:color w:val="17679B"/>
            <w:u w:val="single"/>
          </w:rPr>
          <w:t>Политика CCEL</w:t>
        </w:r>
      </w:hyperlink>
      <w:r>
        <w:t xml:space="preserve"> · </w:t>
      </w:r>
      <w:hyperlink r:id="rId37">
        <w:r>
          <w:rPr>
            <w:color w:val="17679B"/>
            <w:u w:val="single"/>
          </w:rPr>
          <w:t>Срок охраны в США: §§304–305</w:t>
        </w:r>
      </w:hyperlink>
    </w:p>
    <w:p>
      <w:pPr>
        <w:pStyle w:val="Heading2"/>
      </w:pPr>
      <w:r>
        <w:t>Собственный перевод ToS</w:t>
      </w:r>
    </w:p>
    <w:p>
      <w:r>
        <w:t>Безусловный в пределах указанного объекта OWN_TRANSLATION_POSSIBLE присвоен только R027: конкретному историческому арабскому тексту послания Хунайна в отмеченном Wellcome издании. Он не разрешает копировать перевод Lamoreaux, расширять состав послания по защищённому современному аппарату или переводить весь сирийский Гален.</w:t>
      </w:r>
    </w:p>
    <w:p>
      <w:r>
        <w:t>HUNAYNNET предоставляет перспективную открытую основу, но до извлечения файлов, проверки редакторского слоя и объёма нужной версии OWN_TRANSLATION_POSSIBLE не поставлен. Старые оригиналы в сканах могут стать альтернативной основой после юрисдикционной проверки. Защищённые критические реконструкции и английские переводы-посредники не объявлены автоматически чистым исходным слоем.</w:t>
      </w:r>
    </w:p>
    <w:p>
      <w:r>
        <w:t>Практически самый безопасный первый шаг ToS — библиографические карточки и внешние ссылки. Следующий — ограниченный пилот на конкретном открытом тексте, где сохранены и содержание, и применимая лицензия. Полная массовая публикация по одному положительному тегу без rights_scope, coverage и notes этим пакетом не разрешается.</w:t>
      </w:r>
    </w:p>
    <w:p>
      <w:pPr>
        <w:pStyle w:val="Heading1"/>
      </w:pPr>
      <w:r>
        <w:t>5. Характерные правовые и текстологические тонкости</w:t>
      </w:r>
    </w:p>
    <w:p>
      <w:pPr>
        <w:pStyle w:val="Heading2"/>
      </w:pPr>
      <w:r>
        <w:t>Древний текст и современная реконструкция — разные объекты</w:t>
      </w:r>
    </w:p>
    <w:p>
      <w:r>
        <w:t>Сирийский Гален может быть древним по содержанию, но его чтение из палимпсеста, научная транскрипция, аппарат и фотографии — самостоятельные современные слои. Открытая университетская аннотация не даёт права на файл Figshare, а разрешение на текст не даёт права на спектральные снимки. Для R021 эти различия сохранены прямо в строке.</w:t>
      </w:r>
    </w:p>
    <w:p>
      <w:pPr>
        <w:pStyle w:val="Heading2"/>
      </w:pPr>
      <w:r>
        <w:t>Каталог и текст в TEI — не одно и то же</w:t>
      </w:r>
    </w:p>
    <w:p>
      <w:r>
        <w:t>NHSL поставляет идентичность произведения, версии, рукописи и издания. Даже когда карточка выгружается в TEI, это ещё не XML-содержимое исторического произведения. В HUNAYNNET, напротив, заявлены параллельные тексты и выгрузки, но в этой сессии извлечение JS-тела и списка файлов ограничено. Высокая уверенность в лицензии не означает высокой уверенности в полноте текста.</w:t>
      </w:r>
    </w:p>
    <w:p>
      <w:pPr>
        <w:pStyle w:val="Heading2"/>
      </w:pPr>
      <w:r>
        <w:t>Полный файл не обязательно содержит полный корпус</w:t>
      </w:r>
    </w:p>
    <w:p>
      <w:r>
        <w:t>Sachau целиком не делает полными галеновские фрагменты. Том I Нарсая не является двумя томами. Английский Ишодад не включает все сирийские комментарии. Parker 1897 не включает обе Иерархии. Fiori 2014 также издаёт только три части Дионисиева корпуса. Поздний кодекс может быть целым физическим свидетелем и одновременно хранить лишь часть большого сочинения.</w:t>
      </w:r>
    </w:p>
    <w:p>
      <w:pPr>
        <w:pStyle w:val="Heading2"/>
      </w:pPr>
      <w:r>
        <w:t>Раннее издание не обязательно свободно во всех странах</w:t>
      </w:r>
    </w:p>
    <w:p>
      <w:r>
        <w:t>Для старых опубликованных книг американский вывод основан на соответствующих правилах срока и окончании охраны в конце календарного года; он не перенесён на все юрисдикции. Особенно важно не объявлять перевод 1932 года общественным достоянием США в 2026 году только из-за его возраста. Утверждение цифрового публикатора и применимое право на старый перевод записаны раздельно.</w:t>
      </w:r>
    </w:p>
    <w:p>
      <w:r>
        <w:t>Год релиза файла, публикации статьи online, начала серии и выхода конкретного тома также различены. Для Land это 1862 против 1875; для Brock — публикация 1999 года против более позднего размещения online. DOI и ISBN служат для идентификации, а не сами по себе для вывода об открытой лицензии.</w:t>
      </w:r>
    </w:p>
    <w:p>
      <w:pPr>
        <w:pStyle w:val="Heading2"/>
      </w:pPr>
      <w:r>
        <w:t>Рукописные и библиографические расхождения не исправлены молча</w:t>
      </w:r>
    </w:p>
    <w:p>
      <w:r>
        <w:t>У Пробы проверке подлежат окончание трактата и шифр 2812; у BnF 346 — идентификация начального Птолемеевского текста и изъятые части; у Manchester — файл Book 8 внутри карточки Book 9. У Сергия необходимо сохранять различие адресатов Филофея и Феодора. Эти расхождения влияют на состав корпуса и выбор правовой основы; поэтому они вынесены в notes и gaps.</w:t>
      </w:r>
    </w:p>
    <w:p>
      <w:pPr>
        <w:pStyle w:val="Caption"/>
      </w:pPr>
      <w:r>
        <w:t xml:space="preserve">Проверенные входы: </w:t>
      </w:r>
      <w:hyperlink r:id="rId19">
        <w:r>
          <w:rPr>
            <w:color w:val="17679B"/>
            <w:u w:val="single"/>
          </w:rPr>
          <w:t>Прóба и границы текста — R003</w:t>
        </w:r>
      </w:hyperlink>
      <w:r>
        <w:t xml:space="preserve"> · </w:t>
      </w:r>
      <w:hyperlink r:id="rId24">
        <w:r>
          <w:rPr>
            <w:color w:val="17679B"/>
            <w:u w:val="single"/>
          </w:rPr>
          <w:t>Manchester: Book9 — R021</w:t>
        </w:r>
      </w:hyperlink>
      <w:r>
        <w:t xml:space="preserve"> · </w:t>
      </w:r>
      <w:hyperlink r:id="rId37">
        <w:r>
          <w:rPr>
            <w:color w:val="17679B"/>
            <w:u w:val="single"/>
          </w:rPr>
          <w:t>US Copyright Office</w:t>
        </w:r>
      </w:hyperlink>
    </w:p>
    <w:p>
      <w:pPr>
        <w:pStyle w:val="Heading1"/>
      </w:pPr>
      <w:r>
        <w:t>6. Пробелы и дальнейший поиск</w:t>
      </w:r>
    </w:p>
    <w:p>
      <w:r>
        <w:t>Лист gaps содержит 40 адресных задач. Это не 40 «отсутствующих произведений»: среди них непроверенные лицензии уже найденных книг, недоступные свидетели, пропущенные тома, конфликт метаданных и гипотезы связи. Поиск не достиг полного исчерпания области. Реестр фиксирует достигнутую проверку; новые находки ещё возможны и ожидаемы.</w:t>
      </w:r>
    </w:p>
    <w:p>
      <w:r>
        <w:t>Наиболее существенные ограничения инструментов — повторные отказы/403/timeout у отдельных библиотечных и издательских страниц, недоступные файлы OAPEN/Figshare и неполное извлечение динамических интерфейсов HUNAYNNET. Эти ограничения не превращены в утверждение, что текста, лицензии или цифровой копии не существует. Поисковые описания не засчитаны как проверенное полное чтение.</w:t>
      </w:r>
    </w:p>
    <w:p>
      <w:pPr>
        <w:pStyle w:val="Heading2"/>
      </w:pPr>
      <w:r>
        <w:t>Что не получило полного проверенного цифрового входа</w:t>
      </w:r>
    </w:p>
    <w:p>
      <w:r>
        <w:t>Краткий Сергий Aydin 2016 и большой комментарий Arzhanov 2024; полный старый De interpretatione Пробы с дополнением; отдельные логические редакции Георгия; полный сирийский Дионисий и редакция Фоки; исходные изображения синайского и галеновского палимпсестов; современные файлы Simple Drugs; старые оригиналы писем Тимофея43/48; ряд грамматических текстов Иакова. Наличие карточек или платных изданий для них сохранено, но не приравнено к открытым файлам.</w:t>
      </w:r>
    </w:p>
    <w:p>
      <w:r>
        <w:t>Дополнительные корпусные кандидаты — Ишо бар Нун, поздняя логика Иоанна бар Зоби и Дионисия бар Салиби, другие части философского свода Бар Эбрея, флорилегии Дионисия, свидетельство Мискавайха о Павле. Эти объекты не исключены из-за даты. Степень подтверждения конкретной связи и доступа различается и обозначена для каждой задачи.</w:t>
      </w:r>
    </w:p>
    <w:p>
      <w:r>
        <w:t>У Елисея бар Кузбайе и Авраама Бет-Раббана нельзя подменять институциональное свидетельство предположением о доступной авторской книге. У армянских, грузинских и славянских линий нужен конкретный текстовый мост, а не общая культурная близость. До этого они остаются boundary/relation_not_established, не отдельной доказанной ветвью реестра.</w:t>
      </w:r>
    </w:p>
    <w:p>
      <w:pPr>
        <w:pStyle w:val="Heading2"/>
      </w:pPr>
      <w:r>
        <w:t>Восемь приоритетных направлений</w:t>
      </w:r>
    </w:p>
    <w:p>
      <w:pPr>
        <w:pStyle w:val="Heading3"/>
      </w:pPr>
      <w:r>
        <w:t>1. Закрыть первичные тексты сирийского Organon</w:t>
      </w:r>
    </w:p>
    <w:p>
      <w:r>
        <w:t>Berlin Petermann I 9, Vat. syr.158, BL Add.14658–14660; Hoffmann 1873 плюс Baumstark1898. Сначала установить версию, точный диапазон и конец текста; затем файл и права. Это повысит содержательную полноту центрального ядра сильнее, чем добавление ещё одного общего каталога.</w:t>
      </w:r>
    </w:p>
    <w:p>
      <w:pPr>
        <w:pStyle w:val="Heading3"/>
      </w:pPr>
      <w:r>
        <w:t>2. Проверить редакции Сергия и лицензии новых изданий</w:t>
      </w:r>
    </w:p>
    <w:p>
      <w:r>
        <w:t>Для Aydin 2016 найти реальный библиотечный/покупной вход к цифровой или печатной книге; для Arzhanov 2024 и Divisions and Definitions2026 открыть copyright page и файлы. Не переносить OA-маркер из каталога на все компоненты издания.</w:t>
      </w:r>
    </w:p>
    <w:p>
      <w:pPr>
        <w:pStyle w:val="Heading3"/>
      </w:pPr>
      <w:r>
        <w:t>3. Разобрать HUNAYNNET на уровне опубликованного пакета</w:t>
      </w:r>
    </w:p>
    <w:p>
      <w:r>
        <w:t>Получить официальный пакет, прочитать TEI-header, установить версии, редакторскую основу и полноту. Дополнительно открыть конкретные De interpretatione, Analytica priora, Aphorismi, Prognosticon и заявленные фрагменты. Книги Simple Drugs, помеченные coming soon, не засчитывать как доступные.</w:t>
      </w:r>
    </w:p>
    <w:p>
      <w:pPr>
        <w:pStyle w:val="Heading3"/>
      </w:pPr>
      <w:r>
        <w:t>4. Развести медицинский текст и изображения</w:t>
      </w:r>
    </w:p>
    <w:p>
      <w:r>
        <w:t>Проверить релиз Manchester/Figshare и OPenn отдельно; разрешить несоответствие Book 8/Book 9. Для введения On Nutriment нужен JTS 2761 с фолиацией и условиями изображений. GESIUS проверять по новым конкретным публикациям, не только по карточке гранта.</w:t>
      </w:r>
    </w:p>
    <w:p>
      <w:pPr>
        <w:pStyle w:val="Heading3"/>
      </w:pPr>
      <w:r>
        <w:t>5. Довести сирийский Дионисиев корпус</w:t>
      </w:r>
    </w:p>
    <w:p>
      <w:r>
        <w:t>Sinai 52; два тома Fiori; редакция Фоки и схолии; духовное введение Сергия; конкретные флорилегии. Установить, какие части корпуса, переводы и комментарии содержатся в каждом объекте. Русский Прохоров/ISBN9785893294187 требует сильного каталожного подтверждения и законного доступа.</w:t>
      </w:r>
    </w:p>
    <w:p>
      <w:pPr>
        <w:pStyle w:val="Heading3"/>
      </w:pPr>
      <w:r>
        <w:t>6. Закрыть научный корпус Севера и Иакова</w:t>
      </w:r>
    </w:p>
    <w:p>
      <w:r>
        <w:t>Открыть BnF 346 и Syriaque 392 с IIIF/rights; сверить каталожное разночтение Птолемея. Проверить On Deductions, King2024, старые Hexaemeron CSCO 92/97, грамматику и письма Иакова. Для новых книг с годом 2026 проверять фактическую дату выхода.</w:t>
      </w:r>
    </w:p>
    <w:p>
      <w:pPr>
        <w:pStyle w:val="Heading3"/>
      </w:pPr>
      <w:r>
        <w:t>7. Добрать школьную экзегезу по томам</w:t>
      </w:r>
    </w:p>
    <w:p>
      <w:r>
        <w:t>Нарсай II; остальные тома Ишодада; состав Liber scholiorum; сирийский Cause of Schools; Ишо бар Нун; старые издания писем Тимофея. Современные защищённые переводы сохранять параллельно со старыми, а не заменять ими друг друга.</w:t>
      </w:r>
    </w:p>
    <w:p>
      <w:pPr>
        <w:pStyle w:val="Heading3"/>
      </w:pPr>
      <w:r>
        <w:t>8. Проверить поздние тексты сохранения и слабые кандидаты</w:t>
      </w:r>
    </w:p>
    <w:p>
      <w:r>
        <w:t>Арабский Tartīb al-saʿādāt Мискавайха, поздние логические руководства и полные каталожные свидетельства. Отдельно верифицировать подсказки об Александре Афродисийском, малых текстах Inedita Syriaca и Myron-Weihe по критическим изданиям. Ни один такой кандидат не следует автоматически импортировать из gaps как установленный work.</w:t>
      </w:r>
    </w:p>
    <w:p>
      <w:pPr>
        <w:pStyle w:val="Heading1"/>
      </w:pPr>
      <w:r>
        <w:t>7. Итоговая оценка</w:t>
      </w:r>
    </w:p>
    <w:p>
      <w:r>
        <w:t>Пакет покрывает все основные тематические блоки исходного DR, но неодинаково по глубине доступа. Сильнее всего проверены библиографическая идентичность логических версий, старые библиотечные сканы, английское ознакомительное чтение и официальные условия некоммерческого текстового слоя HUNAYNNET. Слабее — полные оригиналы отдельных центральных трактатов, прямые рукописные изображения, современные OA-файлы и русские переводы.</w:t>
      </w:r>
    </w:p>
    <w:p>
      <w:r>
        <w:t>Оригинальные сирийские тексты доступны через несколько старых изданий и современные печатные/корпусные входы; однако наличие открытого интерфейса не всегда позволило подтвердить содержимое каждой версии. Переводы доступны шире: английские старые, современные английские научные, латинские и немецкие, а для Fiori — идентифицированный итальянский. Современная научная ценность и свобода повторного использования в этом поле часто находятся в разных объектах.</w:t>
      </w:r>
    </w:p>
    <w:p>
      <w:r>
        <w:t>Наиболее ясный разрешающий слой — конкретный PDM-объект Wellcome и CC BY-NC-SA 4.0-тексты HUNAYNNET в границах их фактического состава. Основные ограничения сосредоточены в современной реконструкции, аппарате, переводах, фотографиях и недоступных для проверки файлах. Некоммерческий характер ToS учтён как полезный режим лицензирования, но не как самостоятельное разрешение копировать.</w:t>
      </w:r>
    </w:p>
    <w:p>
      <w:r>
        <w:t>Результат пригоден для передачи Codex как исследовательский пакет: 32 поля registry, простые идентификаторы, самостоятельные способы доступа, раздельные правовые слои, адресные gaps и объяснённые ограничения. Это не разрешение на автоматическое зеркалирование всех 57 записей и не закрытый инвентарь всей сирийской учёности.</w:t>
      </w:r>
    </w:p>
    <w:p>
      <w:r>
        <w:t>Рекомендуемый порядок использования пакета: сначала внешние ссылки и проверенные библиографические карточки; затем адресная проверка наиболее ценных открытых файлов; после неё — разрешённая локальная обработка, перевод или публикация в доказанном объёме. Переход от research к ingestion должен сохранять notes, rights_scope, coverage и verification_status, а не только короткий tos_use.</w:t>
      </w:r>
    </w:p>
    <w:p>
      <w:pPr>
        <w:pStyle w:val="Caption"/>
      </w:pPr>
      <w:r>
        <w:t>Статус T2-01: A. Исторические границы мастер-строки сохранены. Более ранние и поздние тексты включены по конкретной корпусной или передающей связи. Исходный DR не изменён.</w:t>
      </w:r>
    </w:p>
    <w:sectPr w:rsidR="00FC693F" w:rsidRPr="0006063C" w:rsidSect="00034616">
      <w:headerReference w:type="default" r:id="rId9"/>
      <w:footerReference w:type="default" r:id="rId10"/>
      <w:pgSz w:w="11906" w:h="16838"/>
      <w:pgMar w:top="1020" w:right="1049" w:bottom="964" w:left="1049"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Проверка: 04.09.2026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ToS / Древо Софии                         CORPUS &amp; RIGHTS · T2-01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Calibri" w:hAnsi="Calibri"/>
      <w:color w:val="20334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120"/>
      <w:outlineLvl w:val="0"/>
    </w:pPr>
    <w:rPr>
      <w:rFonts w:asciiTheme="majorHAnsi" w:eastAsiaTheme="majorEastAsia" w:hAnsiTheme="majorHAnsi" w:cstheme="majorBidi" w:ascii="Calibri" w:hAnsi="Calibri"/>
      <w:b/>
      <w:bCs/>
      <w:color w:val="173548"/>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46170"/>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71533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Calibri" w:hAnsi="Calibri"/>
      <w:color w:val="173548"/>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20"/>
    </w:pPr>
    <w:rPr>
      <w:rFonts w:asciiTheme="majorHAnsi" w:eastAsiaTheme="majorEastAsia" w:hAnsiTheme="majorHAnsi" w:cstheme="majorBidi" w:ascii="Calibri" w:hAnsi="Calibri"/>
      <w:i/>
      <w:iCs/>
      <w:color w:val="42616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5266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atalogue.bnf.fr/ark:/12148/cb45063263k" TargetMode="External"/><Relationship Id="rId12" Type="http://schemas.openxmlformats.org/officeDocument/2006/relationships/hyperlink" Target="https://mpipsyl.disco.mpg.de/Record/E-Books.EB002300968/DetailsIndex?sid=4710150" TargetMode="External"/><Relationship Id="rId13" Type="http://schemas.openxmlformats.org/officeDocument/2006/relationships/hyperlink" Target="https://hunaynnet.oeaw.ac.at/index.html" TargetMode="External"/><Relationship Id="rId14" Type="http://schemas.openxmlformats.org/officeDocument/2006/relationships/hyperlink" Target="https://www.tertullian.org/fathers/abdisho_bar_brika_syriac_writers_01_text.htm" TargetMode="External"/><Relationship Id="rId15" Type="http://schemas.openxmlformats.org/officeDocument/2006/relationships/hyperlink" Target="https://www.gorgiaspress.com/barhebraeus-book-of-the-pupils-of-the-eye" TargetMode="External"/><Relationship Id="rId16" Type="http://schemas.openxmlformats.org/officeDocument/2006/relationships/hyperlink" Target="https://iiif.biblissima.fr/collections/manifest/dfe8e5ee5be0c3449fd3b1844186f8302f3b1e31" TargetMode="External"/><Relationship Id="rId17" Type="http://schemas.openxmlformats.org/officeDocument/2006/relationships/hyperlink" Target="https://www.iranicaonline.org/articles/paul-the-persian/" TargetMode="External"/><Relationship Id="rId18" Type="http://schemas.openxmlformats.org/officeDocument/2006/relationships/hyperlink" Target="https://mitpressbookstore.mit.edu/book/9789004186606" TargetMode="External"/><Relationship Id="rId19" Type="http://schemas.openxmlformats.org/officeDocument/2006/relationships/hyperlink" Target="https://syriaca.org/work/9728" TargetMode="External"/><Relationship Id="rId20" Type="http://schemas.openxmlformats.org/officeDocument/2006/relationships/hyperlink" Target="https://archive.org/details/anecdotasyriaca0304land" TargetMode="External"/><Relationship Id="rId21" Type="http://schemas.openxmlformats.org/officeDocument/2006/relationships/hyperlink" Target="https://www.gutenberg.org/ebooks/2412" TargetMode="External"/><Relationship Id="rId22" Type="http://schemas.openxmlformats.org/officeDocument/2006/relationships/hyperlink" Target="https://archive.org/details/ineditasyriacaei00sachuoft" TargetMode="External"/><Relationship Id="rId23" Type="http://schemas.openxmlformats.org/officeDocument/2006/relationships/hyperlink" Target="https://wellcomecollection.org/works/j357bdwz" TargetMode="External"/><Relationship Id="rId24" Type="http://schemas.openxmlformats.org/officeDocument/2006/relationships/hyperlink" Target="https://research.manchester.ac.uk/en/publications/galen-simple-drugs-in-syriac-book-9/" TargetMode="External"/><Relationship Id="rId25" Type="http://schemas.openxmlformats.org/officeDocument/2006/relationships/hyperlink" Target="https://academic.oup.com/jss/article-abstract/54/1/179/1707293" TargetMode="External"/><Relationship Id="rId26" Type="http://schemas.openxmlformats.org/officeDocument/2006/relationships/hyperlink" Target="https://www.ccel.org/ccel/dionysius/works.html" TargetMode="External"/><Relationship Id="rId27" Type="http://schemas.openxmlformats.org/officeDocument/2006/relationships/hyperlink" Target="https://syri.ac/sinai-syr-52" TargetMode="External"/><Relationship Id="rId28" Type="http://schemas.openxmlformats.org/officeDocument/2006/relationships/hyperlink" Target="https://www.unive.it/pag/40665/" TargetMode="External"/><Relationship Id="rId29" Type="http://schemas.openxmlformats.org/officeDocument/2006/relationships/hyperlink" Target="https://www.tertullian.org/fathers/severus_sebokht_astrolabe_01_trans.htm" TargetMode="External"/><Relationship Id="rId30" Type="http://schemas.openxmlformats.org/officeDocument/2006/relationships/hyperlink" Target="https://www.gorgiaspress.com/hexaemeron" TargetMode="External"/><Relationship Id="rId31" Type="http://schemas.openxmlformats.org/officeDocument/2006/relationships/hyperlink" Target="https://archive.org/details/narsaihomiliaeetcarmina1" TargetMode="External"/><Relationship Id="rId32" Type="http://schemas.openxmlformats.org/officeDocument/2006/relationships/hyperlink" Target="https://archive.org/details/liberscholiorumt00theo" TargetMode="External"/><Relationship Id="rId33" Type="http://schemas.openxmlformats.org/officeDocument/2006/relationships/hyperlink" Target="https://archive.org/details/commentariesofis01gibs" TargetMode="External"/><Relationship Id="rId34" Type="http://schemas.openxmlformats.org/officeDocument/2006/relationships/hyperlink" Target="https://www.jstor.org/stable/jj.38238601" TargetMode="External"/><Relationship Id="rId35" Type="http://schemas.openxmlformats.org/officeDocument/2006/relationships/hyperlink" Target="https://creativecommons.org/licenses/by-nc-sa/4.0/legalcode" TargetMode="External"/><Relationship Id="rId36" Type="http://schemas.openxmlformats.org/officeDocument/2006/relationships/hyperlink" Target="https://www.ccel.org/about/copyright.html" TargetMode="External"/><Relationship Id="rId37" Type="http://schemas.openxmlformats.org/officeDocument/2006/relationships/hyperlink" Target="https://www.copyright.gov/title17/92chap3.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ToS Corpus &amp; Rights Registry — T2-01</dc:title>
  <dc:subject>Сирийские переводческие и богословско-философские школы: корпус, доступ, права</dc:subject>
  <dc:creator>ToS / Древо Софии</dc:creator>
  <cp:keywords>T2-01, Syriac, corpus, rights, research-first v4.3.1</cp:keywords>
  <dc:description>generated by python-docx</dc:description>
  <cp:lastModifiedBy/>
  <cp:revision>1</cp:revision>
  <dcterms:created xsi:type="dcterms:W3CDTF">2013-12-23T23:15:00Z</dcterms:created>
  <dcterms:modified xsi:type="dcterms:W3CDTF">2013-12-23T23:15:00Z</dcterms:modified>
  <cp:category/>
</cp:coreProperties>
</file>