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erif" w:hAnsi="Noto Serif"/>
          <w:b/>
          <w:color w:val="163A4A"/>
          <w:sz w:val="50"/>
        </w:rPr>
        <w:t>ToS Corpus &amp; Rights Registry</w:t>
      </w:r>
    </w:p>
    <w:p>
      <w:pPr>
        <w:jc w:val="center"/>
      </w:pPr>
      <w:r>
        <w:rPr>
          <w:rFonts w:ascii="Noto Serif" w:hAnsi="Noto Serif"/>
          <w:b/>
          <w:color w:val="1F6B7A"/>
          <w:sz w:val="32"/>
        </w:rPr>
        <w:t>A48 — Океания / khipu / rongorongo as frontier seed</w:t>
      </w:r>
    </w:p>
    <w:p>
      <w:pPr>
        <w:spacing w:before="360"/>
        <w:jc w:val="center"/>
      </w:pPr>
      <w:r>
        <w:rPr>
          <w:rFonts w:ascii="Noto Sans" w:hAnsi="Noto Sans"/>
          <w:color w:val="475569"/>
          <w:sz w:val="22"/>
        </w:rPr>
        <w:t>Исследовательский отчёт по корпусу и законным путям доступа</w:t>
      </w:r>
    </w:p>
    <w:p>
      <w:pPr>
        <w:spacing w:before="520"/>
        <w:jc w:val="center"/>
      </w:pPr>
      <w:r>
        <w:rPr>
          <w:rFonts w:ascii="Noto Sans" w:hAnsi="Noto Sans"/>
          <w:b/>
          <w:sz w:val="20"/>
        </w:rPr>
        <w:t>Статус мастер-строки: C  |  Исходная уверенность: 2</w:t>
      </w:r>
    </w:p>
    <w:p>
      <w:pPr>
        <w:jc w:val="center"/>
      </w:pPr>
      <w:r>
        <w:rPr>
          <w:rFonts w:ascii="Noto Sans" w:hAnsi="Noto Sans"/>
          <w:sz w:val="19"/>
        </w:rPr>
        <w:t>Проверено: 4 сентября 2026</w:t>
      </w:r>
    </w:p>
    <w:p>
      <w:pPr>
        <w:spacing w:before="400"/>
        <w:jc w:val="center"/>
      </w:pPr>
      <w:r>
        <w:rPr>
          <w:rFonts w:ascii="Noto Sans" w:hAnsi="Noto Sans"/>
          <w:sz w:val="18"/>
        </w:rPr>
        <w:t>Сопутствующий реестр: ToS_Corpus_Rights_A48_registry.xlsx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4F8"/>
            <w:tcBorders>
              <w:top w:val="single" w:sz="8" w:color="1F6B7A"/>
              <w:left w:val="single" w:sz="14" w:color="1F6B7A"/>
              <w:bottom w:val="single" w:sz="8" w:color="1F6B7A"/>
              <w:right w:val="single" w:sz="8" w:color="1F6B7A"/>
            </w:tcBorders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43A4A"/>
                <w:sz w:val="20"/>
              </w:rPr>
              <w:t>Эпистемическая оговорка</w:t>
            </w:r>
          </w:p>
          <w:p>
            <w:pPr>
              <w:spacing w:after="0"/>
            </w:pPr>
            <w:r>
              <w:rPr>
                <w:rFonts w:ascii="Noto Sans" w:hAnsi="Noto Sans"/>
                <w:sz w:val="18"/>
              </w:rPr>
              <w:t>A48 — композитный frontier-узел, а не единая географическая традиция: khipu относится к Центральным Андам, а rongorongo — к Рапа-Нуи. Наличие материального корпуса не превращено здесь в утверждение о доказанном философском тексте или завершённой дешифровке.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left="227"/>
      </w:pPr>
      <w:r>
        <w:t>1. Паспорт</w:t>
      </w:r>
    </w:p>
    <w:p>
      <w:pPr>
        <w:spacing w:after="40"/>
        <w:ind w:left="227"/>
      </w:pPr>
      <w:r>
        <w:t>2. Охват корпуса</w:t>
      </w:r>
    </w:p>
    <w:p>
      <w:pPr>
        <w:spacing w:after="40"/>
        <w:ind w:left="227"/>
      </w:pPr>
      <w:r>
        <w:t>3. Лучшие пути доступа</w:t>
      </w:r>
    </w:p>
    <w:p>
      <w:pPr>
        <w:spacing w:after="40"/>
        <w:ind w:left="227"/>
      </w:pPr>
      <w:r>
        <w:t>4. Карта прав и практического использования</w:t>
      </w:r>
    </w:p>
    <w:p>
      <w:pPr>
        <w:spacing w:after="40"/>
        <w:ind w:left="227"/>
      </w:pPr>
      <w:r>
        <w:t>5. Характерные правовые тонкости</w:t>
      </w:r>
    </w:p>
    <w:p>
      <w:pPr>
        <w:spacing w:after="40"/>
        <w:ind w:left="227"/>
      </w:pPr>
      <w:r>
        <w:t>6. Пробелы и дальнейший поиск</w:t>
      </w:r>
    </w:p>
    <w:p>
      <w:pPr>
        <w:spacing w:after="40"/>
        <w:ind w:left="227"/>
      </w:pPr>
      <w:r>
        <w:t>7. Итоговая оценка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87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ID и название</w:t>
            </w:r>
          </w:p>
        </w:tc>
        <w:tc>
          <w:tcPr>
            <w:tcW w:type="dxa" w:w="708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A48 — Океания / khipu / rongorongo as frontier seed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Исходный статус</w:t>
            </w:r>
          </w:p>
        </w:tc>
        <w:tc>
          <w:tcPr>
            <w:tcW w:type="dxa" w:w="708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C; уверенность 2. ID, статус и исторические границы мастер-строки не изменялись.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Исходный DR</w:t>
            </w:r>
          </w:p>
        </w:tc>
        <w:tc>
          <w:tcPr>
            <w:tcW w:type="dxa" w:w="708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ToS Deep Research_ A48 — Океания _ khipu _ rongorongo as frontier seed(1).docx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Дата проверки</w:t>
            </w:r>
          </w:p>
        </w:tc>
        <w:tc>
          <w:tcPr>
            <w:tcW w:type="dxa" w:w="708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2026-09-04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Языки поиска</w:t>
            </w:r>
          </w:p>
        </w:tc>
        <w:tc>
          <w:tcPr>
            <w:tcW w:type="dxa" w:w="708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Русский для проектной рамки; английский, испанский, французский и немецкий для источников; точечно итальянский, кечуанские варианты khipu/quipu и рапа-нуйские/музейные идентификаторы.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Ядро корпуса</w:t>
            </w:r>
          </w:p>
        </w:tc>
        <w:tc>
          <w:tcPr>
            <w:tcW w:type="dxa" w:w="708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Сохранившиеся khipu как андские узелково-шнуровые носители; сохранившиеся объекты rongorongo как малый нерасшифрованный глифический корпус Рапа-Нуи.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Искомые типы объектов</w:t>
            </w:r>
          </w:p>
        </w:tc>
        <w:tc>
          <w:tcPr>
            <w:tcW w:type="dxa" w:w="708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Корпусы, отдельные физические свидетели, цифровые изображения и 3D-модели, транскрипции, исторические свидетельства, старые и современные издания, библиотечные и покупные пути, datasets/API, музейные каталоги.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Источники доступа</w:t>
            </w:r>
          </w:p>
        </w:tc>
        <w:tc>
          <w:tcPr>
            <w:tcW w:type="dxa" w:w="708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Официальные музейные карточки, институциональные репозитории, национальные библиотеки, издатели, Project Gutenberg, Internet Archive, HathiTrust, GitHub, Zenodo, университетские журналы и 3D-платформы учреждений.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Источники идентификации</w:t>
            </w:r>
          </w:p>
        </w:tc>
        <w:tc>
          <w:tcPr>
            <w:tcW w:type="dxa" w:w="708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Item-level музейные записи, DOI/ISBN/Handle/ARK, критические и корпусные издания, национальные каталоги и специализированные академические публикации.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Источники прав</w:t>
            </w:r>
          </w:p>
        </w:tc>
        <w:tc>
          <w:tcPr>
            <w:tcW w:type="dxa" w:w="708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Item-level лицензии, LICENSE-файлы, официальные Open Access policies, права на странице объекта, условия репозитория и осторожные выводы по сроку охраны.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Слабые навигационные источники</w:t>
            </w:r>
          </w:p>
        </w:tc>
        <w:tc>
          <w:tcPr>
            <w:tcW w:type="dxa" w:w="708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Wikipedia не использована как итоговый источник. Кандидаты без достаточного институционального или академического подтверждения вынесены на лист gaps как unverified_candidate или иной тип пробела.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4F8"/>
            <w:tcBorders>
              <w:top w:val="single" w:sz="8" w:color="1F6B7A"/>
              <w:left w:val="single" w:sz="14" w:color="1F6B7A"/>
              <w:bottom w:val="single" w:sz="8" w:color="1F6B7A"/>
              <w:right w:val="single" w:sz="8" w:color="1F6B7A"/>
            </w:tcBorders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43A4A"/>
                <w:sz w:val="20"/>
              </w:rPr>
              <w:t>Правовой статус отчёта</w:t>
            </w:r>
          </w:p>
          <w:p>
            <w:pPr>
              <w:spacing w:after="0"/>
            </w:pPr>
            <w:r>
              <w:rPr>
                <w:rFonts w:ascii="Noto Sans" w:hAnsi="Noto Sans"/>
                <w:sz w:val="18"/>
              </w:rPr>
              <w:t>Это исследовательская карта доступа и правовых сигналов, а не юридическое заключение. Любой массовый импорт, публичное зеркалирование или повторная публикация должны оставаться ограничены указанными scope/coverage и перепроверяться перед выпуском.</w:t>
            </w:r>
          </w:p>
        </w:tc>
      </w:tr>
    </w:tbl>
    <w:p>
      <w:pPr>
        <w:spacing w:after="0"/>
      </w:pPr>
    </w:p>
    <w:p>
      <w:pPr>
        <w:pStyle w:val="Heading1"/>
      </w:pPr>
      <w:r>
        <w:t>2. Охват корпуса</w:t>
      </w:r>
    </w:p>
    <w:p>
      <w:r>
        <w:t>Реестр построен концентрическими кругами: сначала центральные материальные корпусы, затем прямые члены тех же традиций, более ранние источники и входящие трансмиссии, после них — поздняя каталогизация, комментарии, 3D-реконструкции и современные издания. Датировка не использовалась как повод исключить релевантный объект.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6123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701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Итог</w:t>
            </w:r>
          </w:p>
        </w:tc>
      </w:tr>
      <w:tr>
        <w:trPr>
          <w:cantSplit/>
        </w:trPr>
        <w:tc>
          <w:tcPr>
            <w:tcW w:type="dxa" w:w="612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Пути доступа в registry</w:t>
            </w:r>
          </w:p>
        </w:tc>
        <w:tc>
          <w:tcPr>
            <w:tcW w:type="dxa" w:w="170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612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Различимые произведения / корпуса / свидетели / цифровые пакеты</w:t>
            </w:r>
          </w:p>
        </w:tc>
        <w:tc>
          <w:tcPr>
            <w:tcW w:type="dxa" w:w="170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612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Записи khipu</w:t>
            </w:r>
          </w:p>
        </w:tc>
        <w:tc>
          <w:tcPr>
            <w:tcW w:type="dxa" w:w="170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59</w:t>
            </w:r>
          </w:p>
        </w:tc>
      </w:tr>
      <w:tr>
        <w:trPr>
          <w:cantSplit/>
        </w:trPr>
        <w:tc>
          <w:tcPr>
            <w:tcW w:type="dxa" w:w="612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Записи rongorongo</w:t>
            </w:r>
          </w:p>
        </w:tc>
        <w:tc>
          <w:tcPr>
            <w:tcW w:type="dxa" w:w="170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612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Core-записи</w:t>
            </w:r>
          </w:p>
        </w:tc>
        <w:tc>
          <w:tcPr>
            <w:tcW w:type="dxa" w:w="170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612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Физические свидетели</w:t>
            </w:r>
          </w:p>
        </w:tc>
        <w:tc>
          <w:tcPr>
            <w:tcW w:type="dxa" w:w="170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612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Dataset/API-записи</w:t>
            </w:r>
          </w:p>
        </w:tc>
        <w:tc>
          <w:tcPr>
            <w:tcW w:type="dxa" w:w="170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612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Пути с бесплатным скачиванием</w:t>
            </w:r>
          </w:p>
        </w:tc>
        <w:tc>
          <w:tcPr>
            <w:tcW w:type="dxa" w:w="170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612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Пробелы / кандидаты на листе gaps</w:t>
            </w:r>
          </w:p>
        </w:tc>
        <w:tc>
          <w:tcPr>
            <w:tcW w:type="dxa" w:w="170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18</w:t>
            </w:r>
          </w:p>
        </w:tc>
      </w:tr>
    </w:tbl>
    <w:p>
      <w:pPr>
        <w:pStyle w:val="Heading2"/>
      </w:pPr>
      <w:r>
        <w:t>2.1. Центральное ядро</w:t>
      </w:r>
    </w:p>
    <w:p>
      <w:pPr>
        <w:pStyle w:val="ListBullet"/>
        <w:spacing w:after="40"/>
      </w:pPr>
      <w:r>
        <w:t>Khipu: корпус представлен открытыми данными OKR, Khipu Field Guide и выборкой официальных музейных свидетелей — от Museo Larco и Cleveland Museum of Art до British Museum, NMAI, Peabody и Penn Museum. Это 30 core-записей вместе с объектами rongorongo.</w:t>
      </w:r>
    </w:p>
    <w:p>
      <w:pPr>
        <w:pStyle w:val="ListBullet"/>
        <w:spacing w:after="40"/>
      </w:pPr>
      <w:r>
        <w:t>Rongorongo: в ядро включены официальные или институциональные страницы отдельных табличек, 3D-модели INSCRIBE и MNHN Chile, а также музейные записи Berlin, British Museum и Smithsonian.</w:t>
      </w:r>
    </w:p>
    <w:p>
      <w:pPr>
        <w:pStyle w:val="ListBullet"/>
        <w:spacing w:after="40"/>
      </w:pPr>
      <w:r>
        <w:t>Материальная сохранность и доступ к изображению не приравниваются к чтению. Для khipu реестр различает подтверждённую структуру данных и спорную вербализацию; для rongorongo — глифическую фиксацию и отсутствие общепринятой дешифровки.</w:t>
      </w:r>
    </w:p>
    <w:p>
      <w:pPr>
        <w:pStyle w:val="Heading2"/>
      </w:pPr>
      <w:r>
        <w:t>2.2. Поиск назад во времени</w:t>
      </w:r>
    </w:p>
    <w:p>
      <w:pPr>
        <w:pStyle w:val="ListBullet"/>
        <w:spacing w:after="40"/>
      </w:pPr>
      <w:r>
        <w:t>Единственный объект, повышенный до antecedent в основном реестре, — Wari khipu / доинкская традиция шнуровой записи (A48-R031). Его связь конкретна: он показывает предысторию материала и техники, из которых развился поздний инкский корпус.</w:t>
      </w:r>
    </w:p>
    <w:p>
      <w:pPr>
        <w:pStyle w:val="ListBullet"/>
        <w:spacing w:after="40"/>
      </w:pPr>
      <w:r>
        <w:t>Для rongorongo прямой предшественник не установлен. Рапа-нуйские петроглифы оставлены в gaps: формальное сходство само по себе не доказывает генетическую линию письма.</w:t>
      </w:r>
    </w:p>
    <w:p>
      <w:pPr>
        <w:pStyle w:val="ListBullet"/>
        <w:spacing w:after="40"/>
      </w:pPr>
      <w:r>
        <w:t>Заявления о доколумбовом полном слоговом чтении khipu через спорные Miccinelli-документы не включены в основной registry: происхождение и подлинность требуют отдельной проверки.</w:t>
      </w:r>
    </w:p>
    <w:p>
      <w:pPr>
        <w:pStyle w:val="Heading2"/>
      </w:pPr>
      <w:r>
        <w:t>2.3. Поиск вперёд во времени</w:t>
      </w:r>
    </w:p>
    <w:p>
      <w:pPr>
        <w:pStyle w:val="ListBullet"/>
        <w:spacing w:after="40"/>
      </w:pPr>
      <w:r>
        <w:t>Раннеколониальные хроники — Guaman Poma, Garcilaso de la Vega, Acosta, Cieza de León, Betanzos, Molina и Murúa — включены как transmission_or_preservation. Они сохраняют описания использования khipu, но не превращены в «переводы» самих шнуров.</w:t>
      </w:r>
    </w:p>
    <w:p>
      <w:pPr>
        <w:pStyle w:val="ListBullet"/>
        <w:spacing w:after="40"/>
      </w:pPr>
      <w:r>
        <w:t>Поздняя линия khipu включает Locke, Nordenskiöld, Ascher &amp; Ascher, Urton, Salomon, цифровые базы и современную художественную рецепцию Cecilia Vicuña.</w:t>
      </w:r>
    </w:p>
    <w:p>
      <w:pPr>
        <w:pStyle w:val="ListBullet"/>
        <w:spacing w:after="40"/>
      </w:pPr>
      <w:r>
        <w:t>Линия rongorongo проходит от Jaussen, Thomson и Routledge через Barthel и Fischer к Horley, 3D-проекту INSCRIBE, новым транскрипциям Échancrée/Mamari и радиоуглеродному исследованию 2024 года.</w:t>
      </w:r>
    </w:p>
    <w:p>
      <w:pPr>
        <w:pStyle w:val="ListBullet"/>
        <w:spacing w:after="40"/>
      </w:pPr>
      <w:r>
        <w:t>Индивидуальные музейные объекты остаются core даже тогда, когда их цифровые модели или научные издания созданы столетиями позже: поздний цифровой слой — канал доступа и сохранения, а не новая дата древнего объекта.</w:t>
      </w:r>
    </w:p>
    <w:p>
      <w:pPr>
        <w:pStyle w:val="Heading2"/>
      </w:pPr>
      <w:r>
        <w:t>2.4. Распределение по ролям</w:t>
      </w:r>
    </w:p>
    <w:p>
      <w:pPr>
        <w:pStyle w:val="ListBullet"/>
        <w:spacing w:after="40"/>
      </w:pPr>
      <w:r>
        <w:t>core: 30 записей.</w:t>
      </w:r>
    </w:p>
    <w:p>
      <w:pPr>
        <w:pStyle w:val="ListBullet"/>
        <w:spacing w:after="40"/>
      </w:pPr>
      <w:r>
        <w:t>infrastructure: 17 записей.</w:t>
      </w:r>
    </w:p>
    <w:p>
      <w:pPr>
        <w:pStyle w:val="ListBullet"/>
        <w:spacing w:after="40"/>
      </w:pPr>
      <w:r>
        <w:t>transmission_or_preservation: 23 записей.</w:t>
      </w:r>
    </w:p>
    <w:p>
      <w:pPr>
        <w:pStyle w:val="ListBullet"/>
        <w:spacing w:after="40"/>
      </w:pPr>
      <w:r>
        <w:t>commentary_or_reception: 24 записей.</w:t>
      </w:r>
    </w:p>
    <w:p>
      <w:pPr>
        <w:pStyle w:val="ListBullet"/>
        <w:spacing w:after="40"/>
      </w:pPr>
      <w:r>
        <w:t>continuation: 2 записей.</w:t>
      </w:r>
    </w:p>
    <w:p>
      <w:pPr>
        <w:pStyle w:val="ListBullet"/>
        <w:spacing w:after="40"/>
      </w:pPr>
      <w:r>
        <w:t>antecedent: 1 записей.</w:t>
      </w:r>
    </w:p>
    <w:p>
      <w:pPr>
        <w:pStyle w:val="ListBullet"/>
        <w:spacing w:after="40"/>
      </w:pPr>
      <w:r>
        <w:t>supporting: 1 записей.</w:t>
      </w:r>
    </w:p>
    <w:p>
      <w:pPr>
        <w:pStyle w:val="ListBullet"/>
        <w:spacing w:after="40"/>
      </w:pPr>
      <w:r>
        <w:t>secondary_navigation: 2 записей.</w:t>
      </w:r>
    </w:p>
    <w:p>
      <w:r>
        <w:t>Категории same_corpus_or_tradition и boundary не использованы как запасные ярлыки: прямые физические члены корпусов были помечены core, а пограничные кандидаты с недостаточно доказанной связью оставлены в gaps.</w:t>
      </w:r>
    </w:p>
    <w:p>
      <w:pPr>
        <w:pStyle w:val="Heading1"/>
      </w:pPr>
      <w:r>
        <w:t>3. Лучшие пути доступа</w:t>
      </w:r>
    </w:p>
    <w:p>
      <w:r>
        <w:t>Ниже названы рекомендуемые входы. Номера в скобках — record_id в XLSX; полная детализация форматов, прав и ограничений находится в registry.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928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2381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Рекомендуемый вход</w:t>
            </w:r>
          </w:p>
        </w:tc>
        <w:tc>
          <w:tcPr>
            <w:tcW w:type="dxa" w:w="4025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Почему он лучший</w:t>
            </w:r>
          </w:p>
        </w:tc>
        <w:tc>
          <w:tcPr>
            <w:tcW w:type="dxa" w:w="1134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Registry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Khipu — машиночитаемый корпус</w:t>
            </w:r>
          </w:p>
        </w:tc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Open Khipu Repository</w:t>
            </w:r>
          </w:p>
        </w:tc>
        <w:tc>
          <w:tcPr>
            <w:tcW w:type="dxa" w:w="4025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SQLite/CSV/код; MIT в пределах репозитория; лучший старт для вычислительного анализа.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R001–R004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Khipu — визуальное исследование</w:t>
            </w:r>
          </w:p>
        </w:tc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Khipu Field Guide</w:t>
            </w:r>
          </w:p>
        </w:tc>
        <w:tc>
          <w:tcPr>
            <w:tcW w:type="dxa" w:w="4025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Интерактивные схемы, поиск, image quilt и отдельные XLSX; права на повторное использование не установлены.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R005–R011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Khipu — наиболее свободный музейный свидетель</w:t>
            </w:r>
          </w:p>
        </w:tc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Cleveland Museum of Art 1940.469</w:t>
            </w:r>
          </w:p>
        </w:tc>
        <w:tc>
          <w:tcPr>
            <w:tcW w:type="dxa" w:w="4025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Высококачественное изображение и метаданные CC0; чистый слой для собственного анализа одного объекта.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R013, R017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Khipu — детальная музейная карточка</w:t>
            </w:r>
          </w:p>
        </w:tc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Museo Larco ML600004</w:t>
            </w:r>
          </w:p>
        </w:tc>
        <w:tc>
          <w:tcPr>
            <w:tcW w:type="dxa" w:w="4025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Изображение CC BY-NC-ND: допустимо некоммерческое неизменённое размещение с атрибуцией.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R016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Khipu — старый публичнодоменный текст</w:t>
            </w:r>
          </w:p>
        </w:tc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Guaman Poma; Acosta; Cieza; Betanzos</w:t>
            </w:r>
          </w:p>
        </w:tc>
        <w:tc>
          <w:tcPr>
            <w:tcW w:type="dxa" w:w="4025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Полные цифровые версии и факсимиле; полезны как исторические свидетельства, а не как чтение узлов.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R033, R037–R046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Khipu — классический обзор и современные монографии</w:t>
            </w:r>
          </w:p>
        </w:tc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Locke; Ascher &amp; Ascher; Urton; Salomon</w:t>
            </w:r>
          </w:p>
        </w:tc>
        <w:tc>
          <w:tcPr>
            <w:tcW w:type="dxa" w:w="4025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От свободного старого издания до CDL, институционального доступа и покупки.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R048–R056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Rongorongo — лучший открытый 2D-свидетель</w:t>
            </w:r>
          </w:p>
        </w:tc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Berlin tablet VI 4878</w:t>
            </w:r>
          </w:p>
        </w:tc>
        <w:tc>
          <w:tcPr>
            <w:tcW w:type="dxa" w:w="4025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Item-level CC BY-NC-SA 4.0; фотография одного ключевого объекта.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R070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Rongorongo — лучшие 3D-свидетели</w:t>
            </w:r>
          </w:p>
        </w:tc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Vienna M/N; Santiago Tablet 1; Santiago Staff</w:t>
            </w:r>
          </w:p>
        </w:tc>
        <w:tc>
          <w:tcPr>
            <w:tcW w:type="dxa" w:w="4025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CC BY-NC-SA или CC BY-SA на конкретных моделях; лицензии не переносятся на соседние объекты.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R067–R068, R075, R077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Rongorongo — современная датировка</w:t>
            </w:r>
          </w:p>
        </w:tc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Scientific Reports 2024</w:t>
            </w:r>
          </w:p>
        </w:tc>
        <w:tc>
          <w:tcPr>
            <w:tcW w:type="dxa" w:w="4025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Полный текст и PDF CC BY 4.0; лучший открытый вход к новым радиоуглеродным данным.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R080–R081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Rongorongo — 3D и транскрипция</w:t>
            </w:r>
          </w:p>
        </w:tc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Échancrée D + Mamari C</w:t>
            </w:r>
          </w:p>
        </w:tc>
        <w:tc>
          <w:tcPr>
            <w:tcW w:type="dxa" w:w="4025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OUP CC BY-NC и ISPRS CC BY; статьи открыты, но музейные модели/фото могут иметь отдельные права.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R082–R083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Rongorongo — современный корпусный справочник</w:t>
            </w:r>
          </w:p>
        </w:tc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Paul Horley, 2021</w:t>
            </w:r>
          </w:p>
        </w:tc>
        <w:tc>
          <w:tcPr>
            <w:tcW w:type="dxa" w:w="4025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Официальная покупка печатного корпуса; открытая электронная версия не найдена.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R092–R093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Rongorongo — ранние свидетельства</w:t>
            </w:r>
          </w:p>
        </w:tc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Thomson; Routledge; Jaussen</w:t>
            </w:r>
          </w:p>
        </w:tc>
        <w:tc>
          <w:tcPr>
            <w:tcW w:type="dxa" w:w="4025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Свободные исторические тексты/сканы с разным уровнем цифровых прав; не являются доказанной дешифровкой.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R096–R099</w:t>
            </w:r>
          </w:p>
        </w:tc>
      </w:tr>
    </w:tbl>
    <w:p>
      <w:pPr>
        <w:pStyle w:val="Heading2"/>
      </w:pPr>
      <w:r>
        <w:t>3.1. Прямые ссылки на ключевые входы</w:t>
      </w:r>
    </w:p>
    <w:p>
      <w:pPr>
        <w:pStyle w:val="ListBullet"/>
        <w:spacing w:after="40"/>
      </w:pPr>
      <w:hyperlink r:id="rId11">
        <w:r>
          <w:rPr>
            <w:color w:val="0B63A5"/>
            <w:u w:val="single"/>
          </w:rPr>
          <w:t>Open Khipu Repository</w:t>
        </w:r>
      </w:hyperlink>
    </w:p>
    <w:p>
      <w:pPr>
        <w:pStyle w:val="ListBullet"/>
        <w:spacing w:after="40"/>
      </w:pPr>
      <w:hyperlink r:id="rId12">
        <w:r>
          <w:rPr>
            <w:color w:val="0B63A5"/>
            <w:u w:val="single"/>
          </w:rPr>
          <w:t>Khipu Field Guide</w:t>
        </w:r>
      </w:hyperlink>
    </w:p>
    <w:p>
      <w:pPr>
        <w:pStyle w:val="ListBullet"/>
        <w:spacing w:after="40"/>
      </w:pPr>
      <w:hyperlink r:id="rId13">
        <w:r>
          <w:rPr>
            <w:color w:val="0B63A5"/>
            <w:u w:val="single"/>
          </w:rPr>
          <w:t>Cleveland khipu 1940.469</w:t>
        </w:r>
      </w:hyperlink>
    </w:p>
    <w:p>
      <w:pPr>
        <w:pStyle w:val="ListBullet"/>
        <w:spacing w:after="40"/>
      </w:pPr>
      <w:hyperlink r:id="rId14">
        <w:r>
          <w:rPr>
            <w:color w:val="0B63A5"/>
            <w:u w:val="single"/>
          </w:rPr>
          <w:t>Guaman Poma digital manuscript</w:t>
        </w:r>
      </w:hyperlink>
    </w:p>
    <w:p>
      <w:pPr>
        <w:pStyle w:val="ListBullet"/>
        <w:spacing w:after="40"/>
      </w:pPr>
      <w:hyperlink r:id="rId15">
        <w:r>
          <w:rPr>
            <w:color w:val="0B63A5"/>
            <w:u w:val="single"/>
          </w:rPr>
          <w:t>INSCRIBE Rongorongo collection</w:t>
        </w:r>
      </w:hyperlink>
    </w:p>
    <w:p>
      <w:pPr>
        <w:pStyle w:val="ListBullet"/>
        <w:spacing w:after="40"/>
      </w:pPr>
      <w:hyperlink r:id="rId16">
        <w:r>
          <w:rPr>
            <w:color w:val="0B63A5"/>
            <w:u w:val="single"/>
          </w:rPr>
          <w:t>Berlin tablet VI 4878</w:t>
        </w:r>
      </w:hyperlink>
    </w:p>
    <w:p>
      <w:pPr>
        <w:pStyle w:val="ListBullet"/>
        <w:spacing w:after="40"/>
      </w:pPr>
      <w:hyperlink r:id="rId17">
        <w:r>
          <w:rPr>
            <w:color w:val="0B63A5"/>
            <w:u w:val="single"/>
          </w:rPr>
          <w:t>Scientific Reports 2024</w:t>
        </w:r>
      </w:hyperlink>
    </w:p>
    <w:p>
      <w:pPr>
        <w:pStyle w:val="ListBullet"/>
        <w:spacing w:after="40"/>
      </w:pPr>
      <w:hyperlink r:id="rId18">
        <w:r>
          <w:rPr>
            <w:color w:val="0B63A5"/>
            <w:u w:val="single"/>
          </w:rPr>
          <w:t>Horley corpus, Rapanui Press</w:t>
        </w:r>
      </w:hyperlink>
    </w:p>
    <w:p>
      <w:pPr>
        <w:pStyle w:val="ListBullet"/>
        <w:spacing w:after="40"/>
      </w:pPr>
      <w:hyperlink r:id="rId19">
        <w:r>
          <w:rPr>
            <w:color w:val="0B63A5"/>
            <w:u w:val="single"/>
          </w:rPr>
          <w:t>Thomson, Te Pito te Henua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r>
        <w:t>Теги в XLSX действуют только в пределах rights_scope и coverage конкретной строки. Положительный тег рядом с RIGHTS_REVIEW_REQUIRED не снимает ограничение: он разрешает только доказанный компонент и только описанное действие.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24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6009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Что входит</w:t>
            </w:r>
          </w:p>
        </w:tc>
        <w:tc>
          <w:tcPr>
            <w:tcW w:type="dxa" w:w="1134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Registry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Потенциально зеркалируемо</w:t>
            </w:r>
          </w:p>
        </w:tc>
        <w:tc>
          <w:tcPr>
            <w:tcW w:type="dxa" w:w="6009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OKR MIT; Cleveland CC0; CC BY-статьи; отдельные CC BY/CC BY-SA модели; публичнодоменные тексты при соблюдении юрисдикции.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R001–R003, R013, R017, R075, R080, R083, R096–R098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Некоммерчески с условиями</w:t>
            </w:r>
          </w:p>
        </w:tc>
        <w:tc>
          <w:tcPr>
            <w:tcW w:type="dxa" w:w="6009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Companion data CC BY-NC; Museo Larco CC BY-NC-ND; Vienna/Berlin/Staff CC BY-NC-SA; OUP article CC BY-NC; Smarthistory-owned text CC BY-NC-SA.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R015–R016, R058, R067–R070, R077, R082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Только неизменённо</w:t>
            </w:r>
          </w:p>
        </w:tc>
        <w:tc>
          <w:tcPr>
            <w:tcW w:type="dxa" w:w="6009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Museo Larco image: ND означает отсутствие публичного распространения производных версий; хранить атрибуцию и лицензию.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R016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Бесплатно читать/скачать, но не зеркалировать автоматически</w:t>
            </w:r>
          </w:p>
        </w:tc>
        <w:tc>
          <w:tcPr>
            <w:tcW w:type="dxa" w:w="6009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Khipu Field Guide; многие музейные каталоги; OpenEdition/eVols; institutional scans без ясного item-level reuse statement.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R005–R012, R018–R032, R084–R087, R099–R100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Link-only / borrow / preview / purchase</w:t>
            </w:r>
          </w:p>
        </w:tc>
        <w:tc>
          <w:tcPr>
            <w:tcW w:type="dxa" w:w="6009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Ascher CDL; Urton, Salomon, Fischer, Horley, Barthel, Orliac и другие защищённые современные издания.</w:t>
            </w:r>
          </w:p>
        </w:tc>
        <w:tc>
          <w:tcPr>
            <w:tcW w:type="dxa" w:w="1134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R051–R056, R088, R091–R095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Смешанные права</w:t>
            </w:r>
          </w:p>
        </w:tc>
        <w:tc>
          <w:tcPr>
            <w:tcW w:type="dxa" w:w="6009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Smithsonian: CC0 может покрывать метаданные, но не изображение; GitHub-лицензия может покрывать код, но не заимствованный корпус; статья может быть CC, а фото/3D — нет.</w:t>
            </w:r>
          </w:p>
        </w:tc>
        <w:tc>
          <w:tcPr>
            <w:tcW w:type="dxa" w:w="1134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R021–R028, R071–R074, R079–R083, R089–R090</w:t>
            </w:r>
          </w:p>
        </w:tc>
      </w:tr>
    </w:tbl>
    <w:p>
      <w:pPr>
        <w:pStyle w:val="Heading2"/>
      </w:pPr>
      <w:r>
        <w:t>4.1. Собственный перевод ToS</w:t>
      </w:r>
    </w:p>
    <w:p>
      <w:pPr>
        <w:pStyle w:val="ListBullet"/>
        <w:spacing w:after="40"/>
      </w:pPr>
      <w:r>
        <w:t>Чистая основа найдена для перевода публичнодоменных исторических текстов: Guaman Poma, Garcilaso, Acosta, Cieza, Betanzos, Molina, Thomson, Routledge и Jaussen — только в объёме конкретного издания/факсимиле и с учётом цифровых условий.</w:t>
      </w:r>
    </w:p>
    <w:p>
      <w:pPr>
        <w:pStyle w:val="ListBullet"/>
        <w:spacing w:after="40"/>
      </w:pPr>
      <w:r>
        <w:t>Открытая фотография или 3D-модель одного khipu/rongorongo-свидетеля может служить основой для собственной визуальной транскрипции этого свидетеля. Это не означает право заявить семантический перевод всего корпуса.</w:t>
      </w:r>
    </w:p>
    <w:p>
      <w:pPr>
        <w:pStyle w:val="ListBullet"/>
        <w:spacing w:after="40"/>
      </w:pPr>
      <w:r>
        <w:t>Защищённые реконструкции Barthel, Fischer, Horley и современные транскрипции нельзя автоматически превращать в свободный перевод ToS. Для них действует PERMISSION_REQUIRED или RIGHTS_REVIEW_REQUIRED.</w:t>
      </w:r>
    </w:p>
    <w:p>
      <w:pPr>
        <w:pStyle w:val="ListBullet"/>
        <w:spacing w:after="40"/>
      </w:pPr>
      <w:r>
        <w:t>Для rongorongo безусловный OWN_TRANSLATION_POSSIBLE не означает «расшифровку»: в notes он ограничен созданием независимой транскрипции по открытому изображению/модели.</w:t>
      </w:r>
    </w:p>
    <w:p>
      <w:pPr>
        <w:pStyle w:val="Heading1"/>
      </w:pPr>
      <w:r>
        <w:t>5. Характерные правовые тонкости</w:t>
      </w:r>
    </w:p>
    <w:p>
      <w:pPr>
        <w:spacing w:after="60"/>
      </w:pPr>
      <w:r>
        <w:rPr>
          <w:b/>
          <w:color w:val="1F6B7A"/>
        </w:rPr>
        <w:t xml:space="preserve">Древний объект ≠ свободная фотография. </w:t>
      </w:r>
      <w:r>
        <w:t>Возраст khipu или таблички не освобождает современную музейную фотографию, 3D-модель, трассировку, реставрацию или описательный текст.</w:t>
      </w:r>
    </w:p>
    <w:p>
      <w:pPr>
        <w:spacing w:after="60"/>
      </w:pPr>
      <w:r>
        <w:rPr>
          <w:b/>
          <w:color w:val="1F6B7A"/>
        </w:rPr>
        <w:t xml:space="preserve">Открытые метаданные ≠ открытые изображения. </w:t>
      </w:r>
      <w:r>
        <w:t>На Smithsonian CC0 применимо к обозначенному Open Access-слою, тогда как конкретное медиа может иметь Usage Conditions Apply или быть скрыто.</w:t>
      </w:r>
    </w:p>
    <w:p>
      <w:pPr>
        <w:spacing w:after="60"/>
      </w:pPr>
      <w:r>
        <w:rPr>
          <w:b/>
          <w:color w:val="1F6B7A"/>
        </w:rPr>
        <w:t xml:space="preserve">Лицензия одной части не охватывает соседние. </w:t>
      </w:r>
      <w:r>
        <w:t>CC BY-NC-SA для Berlin/Vienna или конкретной модели MNHN не переносится на другие таблички, снимки, сайт целиком или сторонние модели.</w:t>
      </w:r>
    </w:p>
    <w:p>
      <w:pPr>
        <w:spacing w:after="60"/>
      </w:pPr>
      <w:r>
        <w:rPr>
          <w:b/>
          <w:color w:val="1F6B7A"/>
        </w:rPr>
        <w:t xml:space="preserve">Download ≠ разрешение на повторное размещение. </w:t>
      </w:r>
      <w:r>
        <w:t>Khipu Field Guide, Memoria Chilena, eVols и институциональные сканы могут позволять скачивание для исследования, но не давать права на публичное зеркало.</w:t>
      </w:r>
    </w:p>
    <w:p>
      <w:pPr>
        <w:spacing w:after="60"/>
      </w:pPr>
      <w:r>
        <w:rPr>
          <w:b/>
          <w:color w:val="1F6B7A"/>
        </w:rPr>
        <w:t xml:space="preserve">Public Domain в США не универсален. </w:t>
      </w:r>
      <w:r>
        <w:t>Project Gutenberg и старые американские издания требуют проверки страны публикации ToS и срока охраны; упаковка Gutenberg также имеет собственные условия.</w:t>
      </w:r>
    </w:p>
    <w:p>
      <w:pPr>
        <w:spacing w:after="60"/>
      </w:pPr>
      <w:r>
        <w:rPr>
          <w:b/>
          <w:color w:val="1F6B7A"/>
        </w:rPr>
        <w:t xml:space="preserve">Код и dataset могут иметь разные права. </w:t>
      </w:r>
      <w:r>
        <w:t>MIT/GPL в GitHub гарантирует только заявленный scope. Импортированные транскрипции, музейные изображения или исходные таблицы требуют отдельного provenance-аудита.</w:t>
      </w:r>
    </w:p>
    <w:p>
      <w:pPr>
        <w:spacing w:after="60"/>
      </w:pPr>
      <w:r>
        <w:rPr>
          <w:b/>
          <w:color w:val="1F6B7A"/>
        </w:rPr>
        <w:t xml:space="preserve">NoDerivatives особенно важно для изображений. </w:t>
      </w:r>
      <w:r>
        <w:t>CC BY-NC-ND позволяет некоммерчески распространять неизменённый файл с атрибуцией, но не публиковать обработанный crop, реконструкцию или цветокоррекцию как производное произведение без разрешения.</w:t>
      </w:r>
    </w:p>
    <w:p>
      <w:pPr>
        <w:spacing w:after="60"/>
      </w:pPr>
      <w:r>
        <w:rPr>
          <w:b/>
          <w:color w:val="1F6B7A"/>
        </w:rPr>
        <w:t xml:space="preserve">Нерасшифрованный корпус не становится переводом. </w:t>
      </w:r>
      <w:r>
        <w:t>Исторические «чтения», recitations и дешифровочные гипотезы каталогизируются как свидетельства/комментарии, а не как доказанный первичный текст.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18 приоритетных пробелов. Они не были повышены в registry без item-level подтверждения, ясного доступа или достаточной доказательности связи.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907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3458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Пробел</w:t>
            </w:r>
          </w:p>
        </w:tc>
        <w:tc>
          <w:tcPr>
            <w:tcW w:type="dxa" w:w="5102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Khipu Field Guide: component-level license</w:t>
            </w:r>
          </w:p>
        </w:tc>
        <w:tc>
          <w:tcPr>
            <w:tcW w:type="dxa" w:w="5102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Письменно развести права на код, базу, схемы, XLSX и музейные фото.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2</w:t>
            </w:r>
          </w:p>
        </w:tc>
        <w:tc>
          <w:tcPr>
            <w:tcW w:type="dxa" w:w="345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Harvard Khipu Database / Khipu Archives</w:t>
            </w:r>
          </w:p>
        </w:tc>
        <w:tc>
          <w:tcPr>
            <w:tcW w:type="dxa" w:w="5102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Найти поддерживаемый официальный endpoint, архивный export и формальную лицензию данных.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Перуанские национальные коллекции khipu</w:t>
            </w:r>
          </w:p>
        </w:tc>
        <w:tc>
          <w:tcPr>
            <w:tcW w:type="dxa" w:w="5102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Добрать item-level карточки MNAAHP/MALI/Министерства культуры и инвентарные номера.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4</w:t>
            </w:r>
          </w:p>
        </w:tc>
        <w:tc>
          <w:tcPr>
            <w:tcW w:type="dxa" w:w="345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Textos Andinos и колониальные visitas</w:t>
            </w:r>
          </w:p>
        </w:tc>
        <w:tc>
          <w:tcPr>
            <w:tcW w:type="dxa" w:w="5102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Найти ISBN/OCLC, издательские страницы, библиотечную выдачу и авторские OA-копии.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5</w:t>
            </w:r>
          </w:p>
        </w:tc>
        <w:tc>
          <w:tcPr>
            <w:tcW w:type="dxa" w:w="345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St Petersburg P/Q</w:t>
            </w:r>
          </w:p>
        </w:tc>
        <w:tc>
          <w:tcPr>
            <w:tcW w:type="dxa" w:w="5102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Найти карточки Kunstkamera/МАЭ РАН, изображения и права.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6</w:t>
            </w:r>
          </w:p>
        </w:tc>
        <w:tc>
          <w:tcPr>
            <w:tcW w:type="dxa" w:w="345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Bishop Museum T/U/V/W</w:t>
            </w:r>
          </w:p>
        </w:tc>
        <w:tc>
          <w:tcPr>
            <w:tcW w:type="dxa" w:w="5102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Получить accession numbers, исследовательский доступ и image-use policy.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7</w:t>
            </w:r>
          </w:p>
        </w:tc>
        <w:tc>
          <w:tcPr>
            <w:tcW w:type="dxa" w:w="345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SSCC Rome A–D</w:t>
            </w:r>
          </w:p>
        </w:tc>
        <w:tc>
          <w:tcPr>
            <w:tcW w:type="dxa" w:w="5102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Зафиксировать официальные shelfmarks/owner pages и разрешения независимо от INSCRIBE.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8</w:t>
            </w:r>
          </w:p>
        </w:tc>
        <w:tc>
          <w:tcPr>
            <w:tcW w:type="dxa" w:w="345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Eyraud 1864/1866</w:t>
            </w:r>
          </w:p>
        </w:tc>
        <w:tc>
          <w:tcPr>
            <w:tcW w:type="dxa" w:w="5102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Найти точный том/страницы первого сообщения в Gallica или миссионерском архиве.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9</w:t>
            </w:r>
          </w:p>
        </w:tc>
        <w:tc>
          <w:tcPr>
            <w:tcW w:type="dxa" w:w="3458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Métraux 1940</w:t>
            </w:r>
          </w:p>
        </w:tc>
        <w:tc>
          <w:tcPr>
            <w:tcW w:type="dxa" w:w="5102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Найти официальную полную цифровую копию с rights statement.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10</w:t>
            </w:r>
          </w:p>
        </w:tc>
        <w:tc>
          <w:tcPr>
            <w:tcW w:type="dxa" w:w="3458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Исторические публикации Philippi/Haberlandt/Cooke/Corney</w:t>
            </w:r>
          </w:p>
        </w:tc>
        <w:tc>
          <w:tcPr>
            <w:tcW w:type="dxa" w:w="5102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Поднять точные библиографические записи и публичнодоменные сканы.</w:t>
            </w:r>
          </w:p>
        </w:tc>
      </w:tr>
    </w:tbl>
    <w:p>
      <w:pPr>
        <w:pStyle w:val="Heading2"/>
      </w:pPr>
      <w:r>
        <w:t>6.1. Остальные зафиксированные пробелы</w:t>
      </w:r>
    </w:p>
    <w:p>
      <w:pPr>
        <w:pStyle w:val="ListBullet"/>
        <w:spacing w:after="40"/>
      </w:pPr>
      <w:r>
        <w:t>Полный законный цифровой доступ к Barthel 1958; ebook/библиотечный путь к Horley 2021; ручной ключ для Tahua A в INSCRIBE.</w:t>
      </w:r>
    </w:p>
    <w:p>
      <w:pPr>
        <w:pStyle w:val="ListBullet"/>
        <w:spacing w:after="40"/>
      </w:pPr>
      <w:r>
        <w:t>Точная лицензия для MNHN Chile Tablet 2; связь петроглифов с rongorongo как предшествующей линией; подлинность Miccinelli-документов.</w:t>
      </w:r>
    </w:p>
    <w:p>
      <w:pPr>
        <w:pStyle w:val="ListBullet"/>
        <w:spacing w:after="40"/>
      </w:pPr>
      <w:r>
        <w:t>Для каждого такого кандидата следующий цикл должен начинаться с официального каталога, DOI/ISBN/OCLC/инвентарного номера или письменного ответа правообладателя, а не с поискового сниппета.</w:t>
      </w:r>
    </w:p>
    <w:p>
      <w:pPr>
        <w:pStyle w:val="Heading1"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7143"/>
            <w:vAlign w:val="top"/>
            <w:shd w:fill="163A4A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color w:val="FFFFFF"/>
                <w:sz w:val="17"/>
              </w:rPr>
              <w:t>Оценка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Покрытие ядра</w:t>
            </w:r>
          </w:p>
        </w:tc>
        <w:tc>
          <w:tcPr>
            <w:tcW w:type="dxa" w:w="714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Высокое для цифровой инфраструктуры, представительных khipu-свидетелей и главных доступных rongorongo-объектов; неполное для всех музейных экземпляров.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Доступность оригиналов</w:t>
            </w:r>
          </w:p>
        </w:tc>
        <w:tc>
          <w:tcPr>
            <w:tcW w:type="dxa" w:w="714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Khipu — хорошая через OKR/KFG и выборку музеев; rongorongo — неоднородная, но усилена 2D/3D-объектами Berlin, Vienna, Santiago и Smithsonian.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Доступность переводов</w:t>
            </w:r>
          </w:p>
        </w:tc>
        <w:tc>
          <w:tcPr>
            <w:tcW w:type="dxa" w:w="714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Для самих систем почти неприменима: khipu не имеет общепринятого полного вербального чтения, rongorongo не расшифрован. Доступны переводы/издания исторических свидетельств и современная аналитика.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Наиболее свободный слой</w:t>
            </w:r>
          </w:p>
        </w:tc>
        <w:tc>
          <w:tcPr>
            <w:tcW w:type="dxa" w:w="714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MIT/CC0/CC BY данные и изображения, отдельные CC BY-SA/CC BY-NC-SA 3D-модели, публичнодоменные хроники и ранние отчёты.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Главные ограничения</w:t>
            </w:r>
          </w:p>
        </w:tc>
        <w:tc>
          <w:tcPr>
            <w:tcW w:type="dxa" w:w="7143"/>
            <w:vAlign w:val="top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Неясная лицензия Khipu Field Guide, смешанные музейные права, защищённые современные критические издания, закрытые item-level страницы части rongorongo-корпуса.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b/>
                <w:sz w:val="17"/>
              </w:rPr>
              <w:t>Готовность для Codex</w:t>
            </w:r>
          </w:p>
        </w:tc>
        <w:tc>
          <w:tcPr>
            <w:tcW w:type="dxa" w:w="7143"/>
            <w:vAlign w:val="top"/>
            <w:shd w:fill="EAF4F8"/>
            <w:tcBorders>
              <w:top w:val="single" w:sz="4" w:color="CBD5E1"/>
              <w:left w:val="single" w:sz="4" w:color="E2E8F0"/>
              <w:bottom w:val="single" w:sz="4" w:color="CBD5E1"/>
              <w:right w:val="single" w:sz="4" w:color="E2E8F0"/>
            </w:tcBorders>
          </w:tcPr>
          <w:p>
            <w:pPr>
              <w:spacing w:after="30"/>
            </w:pPr>
            <w:r>
              <w:rPr>
                <w:rFonts w:ascii="Noto Sans" w:hAnsi="Noto Sans"/>
                <w:sz w:val="17"/>
              </w:rPr>
              <w:t>Да. Реестр имеет стабильные простые ID, ровно 32 требуемых поля, отделённый gaps-лист и явные scope/coverage. Codex может выполнять дедупликацию, нормализацию и графовое связывание без изменения статуса A48.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4F8"/>
            <w:tcBorders>
              <w:top w:val="single" w:sz="8" w:color="1F6B7A"/>
              <w:left w:val="single" w:sz="14" w:color="1F6B7A"/>
              <w:bottom w:val="single" w:sz="8" w:color="1F6B7A"/>
              <w:right w:val="single" w:sz="8" w:color="1F6B7A"/>
            </w:tcBorders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43A4A"/>
                <w:sz w:val="20"/>
              </w:rPr>
              <w:t>Финальный вывод</w:t>
            </w:r>
          </w:p>
          <w:p>
            <w:pPr>
              <w:spacing w:after="0"/>
            </w:pPr>
            <w:r>
              <w:rPr>
                <w:rFonts w:ascii="Noto Sans" w:hAnsi="Noto Sans"/>
                <w:sz w:val="18"/>
              </w:rPr>
              <w:t>Пакет пригоден как исследовательский вход для следующего цикла ToS. Самый сильный слой — машиночитаемые данные khipu, открытые музейные изображения отдельных свидетелей, CC-лицензированные 3D/научные материалы и публичнодоменные исторические описания. Самый слабый — полный item-level охват rongorongo и доказанные права на отдельные музейные изображения. Статус C остаётся неизменным и содержательно оправданным.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5B6B76"/>
        <w:sz w:val="16"/>
      </w:rPr>
      <w:t xml:space="preserve">A48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B6B76"/>
        <w:sz w:val="16"/>
      </w:rPr>
      <w:t>ToS Corpus &amp; Rights Registry  |  A48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erif" w:hAnsi="Noto Serif"/>
      <w:b/>
      <w:bCs/>
      <w:color w:val="16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erif" w:hAnsi="Noto Serif"/>
      <w:b/>
      <w:bCs/>
      <w:color w:val="1F6B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" w:hAnsi="Noto Serif"/>
      <w:b/>
      <w:bCs/>
      <w:color w:val="1F6B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" w:hAnsi="Noto Serif"/>
      <w:b/>
      <w:color w:val="163A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hipulab/open-khipu-repository" TargetMode="External"/><Relationship Id="rId12" Type="http://schemas.openxmlformats.org/officeDocument/2006/relationships/hyperlink" Target="https://www.khipufieldguide.com/" TargetMode="External"/><Relationship Id="rId13" Type="http://schemas.openxmlformats.org/officeDocument/2006/relationships/hyperlink" Target="https://www.clevelandart.org/art/1940.469" TargetMode="External"/><Relationship Id="rId14" Type="http://schemas.openxmlformats.org/officeDocument/2006/relationships/hyperlink" Target="https://poma.kb.dk/permalink/2006/poma/1/en/text/?open=idm46287307441072" TargetMode="External"/><Relationship Id="rId15" Type="http://schemas.openxmlformats.org/officeDocument/2006/relationships/hyperlink" Target="https://inscribercproject.com/Rongorongo.php" TargetMode="External"/><Relationship Id="rId16" Type="http://schemas.openxmlformats.org/officeDocument/2006/relationships/hyperlink" Target="https://recherche.smb.museum/detail/2590233" TargetMode="External"/><Relationship Id="rId17" Type="http://schemas.openxmlformats.org/officeDocument/2006/relationships/hyperlink" Target="https://www.nature.com/articles/s41598-024-53063-7" TargetMode="External"/><Relationship Id="rId18" Type="http://schemas.openxmlformats.org/officeDocument/2006/relationships/hyperlink" Target="https://rapanuipress.com/producto/rongorongo-2" TargetMode="External"/><Relationship Id="rId19" Type="http://schemas.openxmlformats.org/officeDocument/2006/relationships/hyperlink" Target="https://repository.si.edu/handle/10088/299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