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T2-48 · Япония: буддийские школы</w:t>
        <w:br/>
        <w:t>и kanbun-культура до 1500</w:t>
      </w:r>
    </w:p>
    <w:p>
      <w:pPr>
        <w:pStyle w:val="Caption"/>
      </w:pPr>
      <w:r>
        <w:t>Исследовательский отчёт · 5 сентября 2026 года</w:t>
      </w:r>
    </w:p>
    <w:p>
      <w:pPr>
        <w:pStyle w:val="Heading3"/>
      </w:pPr>
      <w:r>
        <w:t>132 записи о доступе  /  порядка 100 именованных текстовых и корпусных единиц  /  30 пробелов для адресной проверки</w:t>
      </w:r>
    </w:p>
    <w:p>
      <w:r>
        <w:t>Главный результат — широкий законный вход в корпус, но не единое разрешение на его публикацию. Современные переводы хорошо доступны для чтения; наиболее чистый повторно используемый слой образуют конкретные исторические факсимиле и лицензированные изображения. Японский авторский текст, его поздняя редакция, современный перевод и цифровая копия в реестре разведены.</w:t>
      </w:r>
    </w:p>
    <w:p>
      <w:pPr>
        <w:pStyle w:val="Heading1"/>
      </w:pPr>
      <w:r>
        <w:t>1. Паспорт</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2268"/>
            <w:vAlign w:val="top"/>
            <w:tcMar>
              <w:top w:w="85" w:type="dxa"/>
              <w:left w:w="85" w:type="dxa"/>
              <w:bottom w:w="85" w:type="dxa"/>
              <w:right w:w="85" w:type="dxa"/>
            </w:tcMar>
            <w:shd w:fill="183D4D"/>
          </w:tcPr>
          <w:p>
            <w:pPr>
              <w:spacing w:after="60" w:line="252" w:lineRule="auto"/>
            </w:pPr>
            <w:r>
              <w:rPr>
                <w:b/>
                <w:color w:val="FFFFFF"/>
                <w:sz w:val="19"/>
              </w:rPr>
              <w:t>Поле</w:t>
            </w:r>
          </w:p>
        </w:tc>
        <w:tc>
          <w:tcPr>
            <w:tcW w:type="dxa" w:w="7483"/>
            <w:vAlign w:val="top"/>
            <w:tcMar>
              <w:top w:w="85" w:type="dxa"/>
              <w:left w:w="85" w:type="dxa"/>
              <w:bottom w:w="85" w:type="dxa"/>
              <w:right w:w="85" w:type="dxa"/>
            </w:tcMar>
            <w:shd w:fill="183D4D"/>
          </w:tcPr>
          <w:p>
            <w:pPr>
              <w:spacing w:after="60" w:line="252" w:lineRule="auto"/>
            </w:pPr>
            <w:r>
              <w:rPr>
                <w:b/>
                <w:color w:val="FFFFFF"/>
                <w:sz w:val="19"/>
              </w:rPr>
              <w:t>Значение</w:t>
            </w:r>
          </w:p>
        </w:tc>
      </w:tr>
      <w:tr>
        <w:trPr>
          <w:cantSplit/>
        </w:trPr>
        <w:tc>
          <w:tcPr>
            <w:tcW w:type="dxa" w:w="2268"/>
            <w:vAlign w:val="top"/>
            <w:tcMar>
              <w:top w:w="85" w:type="dxa"/>
              <w:left w:w="85" w:type="dxa"/>
              <w:bottom w:w="85" w:type="dxa"/>
              <w:right w:w="85" w:type="dxa"/>
            </w:tcMar>
            <w:shd w:fill="F0F5F6"/>
          </w:tcPr>
          <w:p>
            <w:pPr>
              <w:spacing w:after="60" w:line="252" w:lineRule="auto"/>
            </w:pPr>
            <w:r>
              <w:rPr>
                <w:sz w:val="19"/>
              </w:rPr>
              <w:t>Мастер-строка</w:t>
            </w:r>
          </w:p>
        </w:tc>
        <w:tc>
          <w:tcPr>
            <w:tcW w:type="dxa" w:w="7483"/>
            <w:vAlign w:val="top"/>
            <w:tcMar>
              <w:top w:w="85" w:type="dxa"/>
              <w:left w:w="85" w:type="dxa"/>
              <w:bottom w:w="85" w:type="dxa"/>
              <w:right w:w="85" w:type="dxa"/>
            </w:tcMar>
            <w:shd w:fill="F0F5F6"/>
          </w:tcPr>
          <w:p>
            <w:pPr>
              <w:spacing w:after="60" w:line="252" w:lineRule="auto"/>
            </w:pPr>
            <w:r>
              <w:rPr>
                <w:sz w:val="19"/>
              </w:rPr>
              <w:t>T2-48 — «Япония: буддийские школы и kanbun-культура до 1500»</w:t>
            </w:r>
          </w:p>
        </w:tc>
      </w:tr>
      <w:tr>
        <w:trPr>
          <w:cantSplit/>
        </w:trPr>
        <w:tc>
          <w:tcPr>
            <w:tcW w:type="dxa" w:w="2268"/>
            <w:vAlign w:val="top"/>
            <w:tcMar>
              <w:top w:w="85" w:type="dxa"/>
              <w:left w:w="85" w:type="dxa"/>
              <w:bottom w:w="85" w:type="dxa"/>
              <w:right w:w="85" w:type="dxa"/>
            </w:tcMar>
            <w:shd w:fill="FFFFFF"/>
          </w:tcPr>
          <w:p>
            <w:pPr>
              <w:spacing w:after="60" w:line="252" w:lineRule="auto"/>
            </w:pPr>
            <w:r>
              <w:rPr>
                <w:sz w:val="19"/>
              </w:rPr>
              <w:t>Исходный статус</w:t>
            </w:r>
          </w:p>
        </w:tc>
        <w:tc>
          <w:tcPr>
            <w:tcW w:type="dxa" w:w="7483"/>
            <w:vAlign w:val="top"/>
            <w:tcMar>
              <w:top w:w="85" w:type="dxa"/>
              <w:left w:w="85" w:type="dxa"/>
              <w:bottom w:w="85" w:type="dxa"/>
              <w:right w:w="85" w:type="dxa"/>
            </w:tcMar>
            <w:shd w:fill="FFFFFF"/>
          </w:tcPr>
          <w:p>
            <w:pPr>
              <w:spacing w:after="60" w:line="252" w:lineRule="auto"/>
            </w:pPr>
            <w:r>
              <w:rPr>
                <w:sz w:val="19"/>
              </w:rPr>
              <w:t>B; исходная уверенность 4/5. ID, статус и границы строки сохранены.</w:t>
            </w:r>
          </w:p>
        </w:tc>
      </w:tr>
      <w:tr>
        <w:trPr>
          <w:cantSplit/>
        </w:trPr>
        <w:tc>
          <w:tcPr>
            <w:tcW w:type="dxa" w:w="2268"/>
            <w:vAlign w:val="top"/>
            <w:tcMar>
              <w:top w:w="85" w:type="dxa"/>
              <w:left w:w="85" w:type="dxa"/>
              <w:bottom w:w="85" w:type="dxa"/>
              <w:right w:w="85" w:type="dxa"/>
            </w:tcMar>
            <w:shd w:fill="F0F5F6"/>
          </w:tcPr>
          <w:p>
            <w:pPr>
              <w:spacing w:after="60" w:line="252" w:lineRule="auto"/>
            </w:pPr>
            <w:r>
              <w:rPr>
                <w:sz w:val="19"/>
              </w:rPr>
              <w:t>Исторические границы</w:t>
            </w:r>
          </w:p>
        </w:tc>
        <w:tc>
          <w:tcPr>
            <w:tcW w:type="dxa" w:w="7483"/>
            <w:vAlign w:val="top"/>
            <w:tcMar>
              <w:top w:w="85" w:type="dxa"/>
              <w:left w:w="85" w:type="dxa"/>
              <w:bottom w:w="85" w:type="dxa"/>
              <w:right w:w="85" w:type="dxa"/>
            </w:tcMar>
            <w:shd w:fill="F0F5F6"/>
          </w:tcPr>
          <w:p>
            <w:pPr>
              <w:spacing w:after="60" w:line="252" w:lineRule="auto"/>
            </w:pPr>
            <w:r>
              <w:rPr>
                <w:sz w:val="19"/>
              </w:rPr>
              <w:t>Формирование: VIII–XV вв.; письменная фиксация: IX–XV вв.; канонизация и комментарий: XII–XV вв.</w:t>
            </w:r>
          </w:p>
        </w:tc>
      </w:tr>
      <w:tr>
        <w:trPr>
          <w:cantSplit/>
        </w:trPr>
        <w:tc>
          <w:tcPr>
            <w:tcW w:type="dxa" w:w="2268"/>
            <w:vAlign w:val="top"/>
            <w:tcMar>
              <w:top w:w="85" w:type="dxa"/>
              <w:left w:w="85" w:type="dxa"/>
              <w:bottom w:w="85" w:type="dxa"/>
              <w:right w:w="85" w:type="dxa"/>
            </w:tcMar>
            <w:shd w:fill="FFFFFF"/>
          </w:tcPr>
          <w:p>
            <w:pPr>
              <w:spacing w:after="60" w:line="252" w:lineRule="auto"/>
            </w:pPr>
            <w:r>
              <w:rPr>
                <w:sz w:val="19"/>
              </w:rPr>
              <w:t>Основание</w:t>
            </w:r>
          </w:p>
        </w:tc>
        <w:tc>
          <w:tcPr>
            <w:tcW w:type="dxa" w:w="7483"/>
            <w:vAlign w:val="top"/>
            <w:tcMar>
              <w:top w:w="85" w:type="dxa"/>
              <w:left w:w="85" w:type="dxa"/>
              <w:bottom w:w="85" w:type="dxa"/>
              <w:right w:w="85" w:type="dxa"/>
            </w:tcMar>
            <w:shd w:fill="FFFFFF"/>
          </w:tcPr>
          <w:p>
            <w:pPr>
              <w:spacing w:after="60" w:line="252" w:lineRule="auto"/>
            </w:pPr>
            <w:r>
              <w:rPr>
                <w:sz w:val="19"/>
              </w:rPr>
              <w:t>ToS Deep Research_ T2-48 — Япония_ буддийские школы и kanbun-культура до 1500(1).docx. Использованы прежде всего разделы 6–7, 12–16 и библиография; исходный документ не изменён.</w:t>
            </w:r>
          </w:p>
        </w:tc>
      </w:tr>
      <w:tr>
        <w:trPr>
          <w:cantSplit/>
        </w:trPr>
        <w:tc>
          <w:tcPr>
            <w:tcW w:type="dxa" w:w="2268"/>
            <w:vAlign w:val="top"/>
            <w:tcMar>
              <w:top w:w="85" w:type="dxa"/>
              <w:left w:w="85" w:type="dxa"/>
              <w:bottom w:w="85" w:type="dxa"/>
              <w:right w:w="85" w:type="dxa"/>
            </w:tcMar>
            <w:shd w:fill="F0F5F6"/>
          </w:tcPr>
          <w:p>
            <w:pPr>
              <w:spacing w:after="60" w:line="252" w:lineRule="auto"/>
            </w:pPr>
            <w:r>
              <w:rPr>
                <w:sz w:val="19"/>
              </w:rPr>
              <w:t>Дата и языки поиска</w:t>
            </w:r>
          </w:p>
        </w:tc>
        <w:tc>
          <w:tcPr>
            <w:tcW w:type="dxa" w:w="7483"/>
            <w:vAlign w:val="top"/>
            <w:tcMar>
              <w:top w:w="85" w:type="dxa"/>
              <w:left w:w="85" w:type="dxa"/>
              <w:bottom w:w="85" w:type="dxa"/>
              <w:right w:w="85" w:type="dxa"/>
            </w:tcMar>
            <w:shd w:fill="F0F5F6"/>
          </w:tcPr>
          <w:p>
            <w:pPr>
              <w:spacing w:after="60" w:line="252" w:lineRule="auto"/>
            </w:pPr>
            <w:r>
              <w:rPr>
                <w:sz w:val="19"/>
              </w:rPr>
              <w:t>05.09.2026. Русский, английский, японский, китайский; оригинальные иероглифические названия, латинские транслитерации, T-номера, ISBN, shelfmarks, DOI и идентификаторы библиотек.</w:t>
            </w:r>
          </w:p>
        </w:tc>
      </w:tr>
      <w:tr>
        <w:trPr>
          <w:cantSplit/>
        </w:trPr>
        <w:tc>
          <w:tcPr>
            <w:tcW w:type="dxa" w:w="2268"/>
            <w:vAlign w:val="top"/>
            <w:tcMar>
              <w:top w:w="85" w:type="dxa"/>
              <w:left w:w="85" w:type="dxa"/>
              <w:bottom w:w="85" w:type="dxa"/>
              <w:right w:w="85" w:type="dxa"/>
            </w:tcMar>
            <w:shd w:fill="FFFFFF"/>
          </w:tcPr>
          <w:p>
            <w:pPr>
              <w:spacing w:after="60" w:line="252" w:lineRule="auto"/>
            </w:pPr>
            <w:r>
              <w:rPr>
                <w:sz w:val="19"/>
              </w:rPr>
              <w:t>Файлы пакета</w:t>
            </w:r>
          </w:p>
        </w:tc>
        <w:tc>
          <w:tcPr>
            <w:tcW w:type="dxa" w:w="7483"/>
            <w:vAlign w:val="top"/>
            <w:tcMar>
              <w:top w:w="85" w:type="dxa"/>
              <w:left w:w="85" w:type="dxa"/>
              <w:bottom w:w="85" w:type="dxa"/>
              <w:right w:w="85" w:type="dxa"/>
            </w:tcMar>
            <w:shd w:fill="FFFFFF"/>
          </w:tcPr>
          <w:p>
            <w:pPr>
              <w:spacing w:after="60" w:line="252" w:lineRule="auto"/>
            </w:pPr>
            <w:r>
              <w:rPr>
                <w:sz w:val="19"/>
              </w:rPr>
              <w:t>ToS_Corpus_Rights_T2-48_registry.xlsx — листы registry и gaps; данный DOCX — объяснение покрытия и практических ограничений.</w:t>
            </w:r>
          </w:p>
        </w:tc>
      </w:tr>
    </w:tbl>
    <w:p>
      <w:pPr>
        <w:spacing w:after="0"/>
      </w:pPr>
    </w:p>
    <w:p>
      <w:r>
        <w:t>Ядром считались не только сочинения основателей школ, но и их текстовая среда: Tendai и Shingon, Pure Land, Sōtō и Rinzai/Gozan, Nichiren, монастырская дисциплина, kanbun/kundoku, Siddhaṃ, ритуальные руководства и храмовые архивы. Из DR извлечены произведения и фигуры; конкретные цифровые свидетели, лицензии и доступные издания устанавливались отдельным веб-поиском. Графы, подузлы и YAML из DR не выполнялись.</w:t>
      </w:r>
    </w:p>
    <w:p>
      <w:r>
        <w:t>Искались произведения, собрания, отдельные исторические свидетели, переводы и издания, цифровые тексты и факсимиле, данные/API, каталоги и один вспомогательный библиографический указатель. Для доступа преимущество отдавалось правообладателям и хранителям: BDK, SOTOZEN, Hongwanji-ha, Nichiren Library, SAT, Kyoto University, University of Tokyo, NINJAL, NDL, Met, университетским издательствам и официальному CBETA GitHub. Для идентификации использовались их item-level карточки, издательские оглавления и Stanford bibliography; для прав — лицензии объекта, применимые условия проекта или учреждения, а не поисковые сниппеты.</w:t>
      </w:r>
      <w:r>
        <w:t xml:space="preserve">  </w:t>
      </w:r>
      <w:hyperlink r:id="rId11">
        <w:r>
          <w:rPr>
            <w:color w:val="226B88"/>
            <w:sz w:val="18"/>
          </w:rPr>
          <w:t>[R115]</w:t>
        </w:r>
      </w:hyperlink>
      <w:r>
        <w:t xml:space="preserve"> </w:t>
      </w:r>
      <w:hyperlink r:id="rId12">
        <w:r>
          <w:rPr>
            <w:color w:val="226B88"/>
            <w:sz w:val="18"/>
          </w:rPr>
          <w:t>[R116]</w:t>
        </w:r>
      </w:hyperlink>
      <w:r>
        <w:t xml:space="preserve"> </w:t>
      </w:r>
      <w:hyperlink r:id="rId13">
        <w:r>
          <w:rPr>
            <w:color w:val="226B88"/>
            <w:sz w:val="18"/>
          </w:rPr>
          <w:t>[R119]</w:t>
        </w:r>
      </w:hyperlink>
      <w:r>
        <w:t xml:space="preserve"> </w:t>
      </w:r>
      <w:hyperlink r:id="rId14">
        <w:r>
          <w:rPr>
            <w:color w:val="226B88"/>
            <w:sz w:val="18"/>
          </w:rPr>
          <w:t>[R120]</w:t>
        </w:r>
      </w:hyperlink>
      <w:r>
        <w:t xml:space="preserve"> </w:t>
      </w:r>
      <w:hyperlink r:id="rId15">
        <w:r>
          <w:rPr>
            <w:color w:val="226B88"/>
            <w:sz w:val="18"/>
          </w:rPr>
          <w:t>[R122]</w:t>
        </w:r>
      </w:hyperlink>
      <w:r>
        <w:t xml:space="preserve"> </w:t>
      </w:r>
      <w:hyperlink r:id="rId16">
        <w:r>
          <w:rPr>
            <w:color w:val="226B88"/>
            <w:sz w:val="18"/>
          </w:rPr>
          <w:t>[R125]</w:t>
        </w:r>
      </w:hyperlink>
      <w:r>
        <w:t xml:space="preserve"> </w:t>
      </w:r>
      <w:hyperlink r:id="rId17">
        <w:r>
          <w:rPr>
            <w:color w:val="226B88"/>
            <w:sz w:val="18"/>
          </w:rPr>
          <w:t>[R132]</w:t>
        </w:r>
      </w:hyperlink>
    </w:p>
    <w:p>
      <w:r>
        <w:t>R001–R132 в отчёте — сокращения record_id из XLSX; кликабельные обозначения ведут на использованные страницы доступа. Отдельные ссылки с названием учреждения ведут на доказательства прав. Поле verification_status различает прочитанную карточку, предложенный download, открытый файл и технический сбой. Пустой direct_download_url означает, что устойчивый прямой файл не был подтверждён, а не что объекта не существует.</w:t>
      </w:r>
    </w:p>
    <w:p>
      <w:r>
        <w:t>Слабая навигация не стала основанием основных записей. Кандидаты Bunkyō hifuron / Shōryōshū и часть hongaku-линии оставлены в G005/G007 до проверки конкретных изданий и атрибуций; для Shinnyokan встречалась форумная подсказка. Неоткрывшиеся IRIZ, отдельные NDL, OAPEN и другие входы тоже сохранены в gaps. В поставке нет ссылок на Wikipedia и неавторизованные зеркала.</w:t>
      </w:r>
    </w:p>
    <w:p>
      <w:pPr>
        <w:pStyle w:val="Heading1"/>
      </w:pPr>
      <w:r>
        <w:t>2. Охват корпуса</w:t>
      </w:r>
    </w:p>
    <w:p>
      <w:pPr>
        <w:pStyle w:val="Heading2"/>
      </w:pPr>
      <w:r>
        <w:t>2.1. Что перешло из DR и чем расширено</w:t>
      </w:r>
    </w:p>
    <w:p>
      <w:r>
        <w:t>Из исходной карты сохранены Saichō и его тексты о посвящении; трактаты Kūkai; Ōjōyōshū Genshin; Senchakushū Hōnen; Kyōgyōshinshō, гимны и письма Shinran; Kōzen gokokuron Eisai; Shōbōgenzō, Eihei kōroku, Eihei shingi и Zuimonki Dōgen; Gukanshō Jien; Risshō ankoku ron и gosho Nichiren; Denkōroku Keizan; Gozan, Ikkyū и Ofumi Rennyo. Материальные якоря — Jingoji, Chūsonji, Zuzōshō, Scroll of Mudras, Hyakumantō и Hiuchi shidai. Для каждого крупного блока получен хотя бы один конкретный вход; неполнота внутри больших собраний не скрыта.</w:t>
      </w:r>
      <w:r>
        <w:t xml:space="preserve">  </w:t>
      </w:r>
      <w:hyperlink r:id="rId18">
        <w:r>
          <w:rPr>
            <w:color w:val="226B88"/>
            <w:sz w:val="18"/>
          </w:rPr>
          <w:t>[R001]</w:t>
        </w:r>
      </w:hyperlink>
      <w:r>
        <w:t xml:space="preserve"> </w:t>
      </w:r>
      <w:hyperlink r:id="rId19">
        <w:r>
          <w:rPr>
            <w:color w:val="226B88"/>
            <w:sz w:val="18"/>
          </w:rPr>
          <w:t>[R016]</w:t>
        </w:r>
      </w:hyperlink>
      <w:r>
        <w:t xml:space="preserve"> </w:t>
      </w:r>
      <w:hyperlink r:id="rId20">
        <w:r>
          <w:rPr>
            <w:color w:val="226B88"/>
            <w:sz w:val="18"/>
          </w:rPr>
          <w:t>[R019]</w:t>
        </w:r>
      </w:hyperlink>
      <w:r>
        <w:t xml:space="preserve"> </w:t>
      </w:r>
      <w:hyperlink r:id="rId21">
        <w:r>
          <w:rPr>
            <w:color w:val="226B88"/>
            <w:sz w:val="18"/>
          </w:rPr>
          <w:t>[R022]</w:t>
        </w:r>
      </w:hyperlink>
      <w:r>
        <w:t xml:space="preserve"> </w:t>
      </w:r>
      <w:hyperlink r:id="rId22">
        <w:r>
          <w:rPr>
            <w:color w:val="226B88"/>
            <w:sz w:val="18"/>
          </w:rPr>
          <w:t>[R023]</w:t>
        </w:r>
      </w:hyperlink>
      <w:r>
        <w:t xml:space="preserve"> </w:t>
      </w:r>
      <w:hyperlink r:id="rId23">
        <w:r>
          <w:rPr>
            <w:color w:val="226B88"/>
            <w:sz w:val="18"/>
          </w:rPr>
          <w:t>[R036]</w:t>
        </w:r>
      </w:hyperlink>
      <w:r>
        <w:t xml:space="preserve"> </w:t>
      </w:r>
      <w:hyperlink r:id="rId24">
        <w:r>
          <w:rPr>
            <w:color w:val="226B88"/>
            <w:sz w:val="18"/>
          </w:rPr>
          <w:t>[R047]</w:t>
        </w:r>
      </w:hyperlink>
      <w:r>
        <w:t xml:space="preserve"> </w:t>
      </w:r>
      <w:hyperlink r:id="rId25">
        <w:r>
          <w:rPr>
            <w:color w:val="226B88"/>
            <w:sz w:val="18"/>
          </w:rPr>
          <w:t>[R049]</w:t>
        </w:r>
      </w:hyperlink>
      <w:r>
        <w:t xml:space="preserve"> </w:t>
      </w:r>
      <w:hyperlink r:id="rId26">
        <w:r>
          <w:rPr>
            <w:color w:val="226B88"/>
            <w:sz w:val="18"/>
          </w:rPr>
          <w:t>[R051]</w:t>
        </w:r>
      </w:hyperlink>
      <w:r>
        <w:t xml:space="preserve"> </w:t>
      </w:r>
      <w:hyperlink r:id="rId27">
        <w:r>
          <w:rPr>
            <w:color w:val="226B88"/>
            <w:sz w:val="18"/>
          </w:rPr>
          <w:t>[R055]</w:t>
        </w:r>
      </w:hyperlink>
      <w:r>
        <w:t xml:space="preserve"> </w:t>
      </w:r>
      <w:hyperlink r:id="rId28">
        <w:r>
          <w:rPr>
            <w:color w:val="226B88"/>
            <w:sz w:val="18"/>
          </w:rPr>
          <w:t>[R061]</w:t>
        </w:r>
      </w:hyperlink>
      <w:r>
        <w:t xml:space="preserve"> </w:t>
      </w:r>
      <w:hyperlink r:id="rId29">
        <w:r>
          <w:rPr>
            <w:color w:val="226B88"/>
            <w:sz w:val="18"/>
          </w:rPr>
          <w:t>[R073]</w:t>
        </w:r>
      </w:hyperlink>
      <w:r>
        <w:t xml:space="preserve"> </w:t>
      </w:r>
      <w:hyperlink r:id="rId30">
        <w:r>
          <w:rPr>
            <w:color w:val="226B88"/>
            <w:sz w:val="18"/>
          </w:rPr>
          <w:t>[R095]</w:t>
        </w:r>
      </w:hyperlink>
      <w:r>
        <w:t xml:space="preserve"> </w:t>
      </w:r>
      <w:hyperlink r:id="rId31">
        <w:r>
          <w:rPr>
            <w:color w:val="226B88"/>
            <w:sz w:val="18"/>
          </w:rPr>
          <w:t>[R101]</w:t>
        </w:r>
      </w:hyperlink>
      <w:r>
        <w:t xml:space="preserve"> </w:t>
      </w:r>
      <w:hyperlink r:id="rId32">
        <w:r>
          <w:rPr>
            <w:color w:val="226B88"/>
            <w:sz w:val="18"/>
          </w:rPr>
          <w:t>[R103]</w:t>
        </w:r>
      </w:hyperlink>
    </w:p>
    <w:p>
      <w:r>
        <w:t>Поиск добавил именованные сочинения Annen о доктрине, bodhicitta и посвящении; ритуальные материалы Ennin и Enchin; Shittanzō в издании 1672 года и в средневековых рукописях; Ichijō yōketsu Genshin; Kanjin kakumushō Ryōhen; Shasekishū Mujū; Muchū mondōshū и goroku Musō. В Shin-круге отдельно различены Yuishinshō Seikaku и Ichinen tanen funbetsu no koto Ryūkan, а также толкования Shinran на эти тексты. Это расширение по авторству, школе и прямой комментарийной связи, а не по одному религиозному сходству.</w:t>
      </w:r>
      <w:r>
        <w:t xml:space="preserve">  </w:t>
      </w:r>
      <w:hyperlink r:id="rId33">
        <w:r>
          <w:rPr>
            <w:color w:val="226B88"/>
            <w:sz w:val="18"/>
          </w:rPr>
          <w:t>[R015]</w:t>
        </w:r>
      </w:hyperlink>
      <w:r>
        <w:t xml:space="preserve"> </w:t>
      </w:r>
      <w:hyperlink r:id="rId34">
        <w:r>
          <w:rPr>
            <w:color w:val="226B88"/>
            <w:sz w:val="18"/>
          </w:rPr>
          <w:t>[R020]</w:t>
        </w:r>
      </w:hyperlink>
      <w:r>
        <w:t xml:space="preserve"> </w:t>
      </w:r>
      <w:hyperlink r:id="rId35">
        <w:r>
          <w:rPr>
            <w:color w:val="226B88"/>
            <w:sz w:val="18"/>
          </w:rPr>
          <w:t>[R021]</w:t>
        </w:r>
      </w:hyperlink>
      <w:r>
        <w:t xml:space="preserve"> </w:t>
      </w:r>
      <w:hyperlink r:id="rId36">
        <w:r>
          <w:rPr>
            <w:color w:val="226B88"/>
            <w:sz w:val="18"/>
          </w:rPr>
          <w:t>[R039]</w:t>
        </w:r>
      </w:hyperlink>
      <w:r>
        <w:t xml:space="preserve"> </w:t>
      </w:r>
      <w:hyperlink r:id="rId37">
        <w:r>
          <w:rPr>
            <w:color w:val="226B88"/>
            <w:sz w:val="18"/>
          </w:rPr>
          <w:t>[R040]</w:t>
        </w:r>
      </w:hyperlink>
      <w:r>
        <w:t xml:space="preserve"> </w:t>
      </w:r>
      <w:hyperlink r:id="rId38">
        <w:r>
          <w:rPr>
            <w:color w:val="226B88"/>
            <w:sz w:val="18"/>
          </w:rPr>
          <w:t>[R044]</w:t>
        </w:r>
      </w:hyperlink>
      <w:r>
        <w:t xml:space="preserve"> </w:t>
      </w:r>
      <w:hyperlink r:id="rId39">
        <w:r>
          <w:rPr>
            <w:color w:val="226B88"/>
            <w:sz w:val="18"/>
          </w:rPr>
          <w:t>[R045]</w:t>
        </w:r>
      </w:hyperlink>
      <w:r>
        <w:t xml:space="preserve"> </w:t>
      </w:r>
      <w:hyperlink r:id="rId40">
        <w:r>
          <w:rPr>
            <w:color w:val="226B88"/>
            <w:sz w:val="18"/>
          </w:rPr>
          <w:t>[R083]</w:t>
        </w:r>
      </w:hyperlink>
      <w:r>
        <w:t xml:space="preserve"> </w:t>
      </w:r>
      <w:hyperlink r:id="rId41">
        <w:r>
          <w:rPr>
            <w:color w:val="226B88"/>
            <w:sz w:val="18"/>
          </w:rPr>
          <w:t>[R084]</w:t>
        </w:r>
      </w:hyperlink>
      <w:r>
        <w:t xml:space="preserve"> </w:t>
      </w:r>
      <w:hyperlink r:id="rId42">
        <w:r>
          <w:rPr>
            <w:color w:val="226B88"/>
            <w:sz w:val="18"/>
          </w:rPr>
          <w:t>[R085]</w:t>
        </w:r>
      </w:hyperlink>
      <w:r>
        <w:t xml:space="preserve"> </w:t>
      </w:r>
      <w:hyperlink r:id="rId43">
        <w:r>
          <w:rPr>
            <w:color w:val="226B88"/>
            <w:sz w:val="18"/>
          </w:rPr>
          <w:t>[R088]</w:t>
        </w:r>
      </w:hyperlink>
      <w:r>
        <w:t xml:space="preserve"> </w:t>
      </w:r>
      <w:hyperlink r:id="rId44">
        <w:r>
          <w:rPr>
            <w:color w:val="226B88"/>
            <w:sz w:val="18"/>
          </w:rPr>
          <w:t>[R089]</w:t>
        </w:r>
      </w:hyperlink>
      <w:r>
        <w:t xml:space="preserve"> </w:t>
      </w:r>
      <w:hyperlink r:id="rId45">
        <w:r>
          <w:rPr>
            <w:color w:val="226B88"/>
            <w:sz w:val="18"/>
          </w:rPr>
          <w:t>[R090]</w:t>
        </w:r>
      </w:hyperlink>
      <w:r>
        <w:t xml:space="preserve"> </w:t>
      </w:r>
      <w:hyperlink r:id="rId46">
        <w:r>
          <w:rPr>
            <w:color w:val="226B88"/>
            <w:sz w:val="18"/>
          </w:rPr>
          <w:t>[R098]</w:t>
        </w:r>
      </w:hyperlink>
      <w:r>
        <w:t xml:space="preserve"> </w:t>
      </w:r>
      <w:hyperlink r:id="rId47">
        <w:r>
          <w:rPr>
            <w:color w:val="226B88"/>
            <w:sz w:val="18"/>
          </w:rPr>
          <w:t>[R099]</w:t>
        </w:r>
      </w:hyperlink>
      <w:r>
        <w:t xml:space="preserve"> </w:t>
      </w:r>
      <w:hyperlink r:id="rId48">
        <w:r>
          <w:rPr>
            <w:color w:val="226B88"/>
            <w:sz w:val="18"/>
          </w:rPr>
          <w:t>[R124]</w:t>
        </w:r>
      </w:hyperlink>
      <w:r>
        <w:t xml:space="preserve"> </w:t>
      </w:r>
      <w:hyperlink r:id="rId16">
        <w:r>
          <w:rPr>
            <w:color w:val="226B88"/>
            <w:sz w:val="18"/>
          </w:rPr>
          <w:t>[R125]</w:t>
        </w:r>
      </w:hyperlink>
    </w:p>
    <w:p>
      <w:r>
        <w:t>Для kanbun-культуры найдены не абстрактные «китайские классики», а японские свидетели: Rongo с kunten линии Kiyohara; неполный Rongo giso; Kobun kōkyō с датированным колофоном; поздний оттиск Nanshūji-издания Rongo. Два конкретных документа Tōji — 1030 и 1102 годов — показывают ритуально-организационную письменность; общий архивный вход оставлен отдельно.</w:t>
      </w:r>
      <w:r>
        <w:t xml:space="preserve">  </w:t>
      </w:r>
      <w:hyperlink r:id="rId49">
        <w:r>
          <w:rPr>
            <w:color w:val="226B88"/>
            <w:sz w:val="18"/>
          </w:rPr>
          <w:t>[R091]</w:t>
        </w:r>
      </w:hyperlink>
      <w:r>
        <w:t xml:space="preserve"> </w:t>
      </w:r>
      <w:hyperlink r:id="rId50">
        <w:r>
          <w:rPr>
            <w:color w:val="226B88"/>
            <w:sz w:val="18"/>
          </w:rPr>
          <w:t>[R092]</w:t>
        </w:r>
      </w:hyperlink>
      <w:r>
        <w:t xml:space="preserve"> </w:t>
      </w:r>
      <w:hyperlink r:id="rId51">
        <w:r>
          <w:rPr>
            <w:color w:val="226B88"/>
            <w:sz w:val="18"/>
          </w:rPr>
          <w:t>[R093]</w:t>
        </w:r>
      </w:hyperlink>
      <w:r>
        <w:t xml:space="preserve"> </w:t>
      </w:r>
      <w:hyperlink r:id="rId52">
        <w:r>
          <w:rPr>
            <w:color w:val="226B88"/>
            <w:sz w:val="18"/>
          </w:rPr>
          <w:t>[R094]</w:t>
        </w:r>
      </w:hyperlink>
      <w:r>
        <w:t xml:space="preserve"> </w:t>
      </w:r>
      <w:hyperlink r:id="rId53">
        <w:r>
          <w:rPr>
            <w:color w:val="226B88"/>
            <w:sz w:val="18"/>
          </w:rPr>
          <w:t>[R096]</w:t>
        </w:r>
      </w:hyperlink>
      <w:r>
        <w:t xml:space="preserve"> </w:t>
      </w:r>
      <w:hyperlink r:id="rId54">
        <w:r>
          <w:rPr>
            <w:color w:val="226B88"/>
            <w:sz w:val="18"/>
          </w:rPr>
          <w:t>[R097]</w:t>
        </w:r>
      </w:hyperlink>
      <w:r>
        <w:t xml:space="preserve"> </w:t>
      </w:r>
      <w:hyperlink r:id="rId55">
        <w:r>
          <w:rPr>
            <w:color w:val="226B88"/>
            <w:sz w:val="18"/>
          </w:rPr>
          <w:t>[R121]</w:t>
        </w:r>
      </w:hyperlink>
    </w:p>
    <w:p>
      <w:pPr>
        <w:pStyle w:val="Heading2"/>
      </w:pPr>
      <w:r>
        <w:t>2.2. Поиск назад во времени</w:t>
      </w:r>
    </w:p>
    <w:p>
      <w:r>
        <w:t>Ранний контур сосредоточен на источниках, без которых непонятны уже названные японские произведения. Lotus Sutra и связанные с ней тексты включены для Tendai и Nichiren; Mohe zhiguan — для медитационно-комментарийной линии Tiantai/Tendai; Brahmā’s Net Sutra — для bodhisattva precepts. Mahāvairocana, Vajraśekhara и Susiddhikara представляют конкретную эзотерическую входящую литературу, а не весь индийский буддийский канон.</w:t>
      </w:r>
      <w:r>
        <w:t xml:space="preserve">  </w:t>
      </w:r>
      <w:hyperlink r:id="rId56">
        <w:r>
          <w:rPr>
            <w:color w:val="226B88"/>
            <w:sz w:val="18"/>
          </w:rPr>
          <w:t>[R063]</w:t>
        </w:r>
      </w:hyperlink>
      <w:r>
        <w:t xml:space="preserve"> </w:t>
      </w:r>
      <w:hyperlink r:id="rId57">
        <w:r>
          <w:rPr>
            <w:color w:val="226B88"/>
            <w:sz w:val="18"/>
          </w:rPr>
          <w:t>[R064]</w:t>
        </w:r>
      </w:hyperlink>
      <w:r>
        <w:t xml:space="preserve"> </w:t>
      </w:r>
      <w:hyperlink r:id="rId58">
        <w:r>
          <w:rPr>
            <w:color w:val="226B88"/>
            <w:sz w:val="18"/>
          </w:rPr>
          <w:t>[R065]</w:t>
        </w:r>
      </w:hyperlink>
      <w:r>
        <w:t xml:space="preserve"> </w:t>
      </w:r>
      <w:hyperlink r:id="rId59">
        <w:r>
          <w:rPr>
            <w:color w:val="226B88"/>
            <w:sz w:val="18"/>
          </w:rPr>
          <w:t>[R066]</w:t>
        </w:r>
      </w:hyperlink>
      <w:r>
        <w:t xml:space="preserve"> </w:t>
      </w:r>
      <w:hyperlink r:id="rId60">
        <w:r>
          <w:rPr>
            <w:color w:val="226B88"/>
            <w:sz w:val="18"/>
          </w:rPr>
          <w:t>[R067]</w:t>
        </w:r>
      </w:hyperlink>
      <w:r>
        <w:t xml:space="preserve"> </w:t>
      </w:r>
      <w:hyperlink r:id="rId61">
        <w:r>
          <w:rPr>
            <w:color w:val="226B88"/>
            <w:sz w:val="18"/>
          </w:rPr>
          <w:t>[R070]</w:t>
        </w:r>
      </w:hyperlink>
      <w:r>
        <w:t xml:space="preserve"> </w:t>
      </w:r>
      <w:hyperlink r:id="rId62">
        <w:r>
          <w:rPr>
            <w:color w:val="226B88"/>
            <w:sz w:val="18"/>
          </w:rPr>
          <w:t>[R071]</w:t>
        </w:r>
      </w:hyperlink>
    </w:p>
    <w:p>
      <w:r>
        <w:t>Для Genshin, Hōnen и Shinran найдены три основные Pure Land сутры и отдельные китайские трактаты/комментарии: Wangsheng lun, Guan Wuliangshou jing shu Shandao, Anle ji Daochuo. Машиночитаемый комментарий Tanluan к Wangsheng lun проверен внутри CBETA-пакета. Эти тексты включены как элементы цитатной и экзегетической семьи; их древняя дата не делает современные английские переводы свободными.</w:t>
      </w:r>
      <w:r>
        <w:t xml:space="preserve">  </w:t>
      </w:r>
      <w:hyperlink r:id="rId63">
        <w:r>
          <w:rPr>
            <w:color w:val="226B88"/>
            <w:sz w:val="18"/>
          </w:rPr>
          <w:t>[R062]</w:t>
        </w:r>
      </w:hyperlink>
      <w:r>
        <w:t xml:space="preserve"> </w:t>
      </w:r>
      <w:hyperlink r:id="rId64">
        <w:r>
          <w:rPr>
            <w:color w:val="226B88"/>
            <w:sz w:val="18"/>
          </w:rPr>
          <w:t>[R112]</w:t>
        </w:r>
      </w:hyperlink>
      <w:r>
        <w:t xml:space="preserve"> </w:t>
      </w:r>
      <w:hyperlink r:id="rId65">
        <w:r>
          <w:rPr>
            <w:color w:val="226B88"/>
            <w:sz w:val="18"/>
          </w:rPr>
          <w:t>[R113]</w:t>
        </w:r>
      </w:hyperlink>
      <w:r>
        <w:t xml:space="preserve"> </w:t>
      </w:r>
      <w:hyperlink r:id="rId66">
        <w:r>
          <w:rPr>
            <w:color w:val="226B88"/>
            <w:sz w:val="18"/>
          </w:rPr>
          <w:t>[R114]</w:t>
        </w:r>
      </w:hyperlink>
      <w:r>
        <w:t xml:space="preserve"> </w:t>
      </w:r>
      <w:hyperlink r:id="rId11">
        <w:r>
          <w:rPr>
            <w:color w:val="226B88"/>
            <w:sz w:val="18"/>
          </w:rPr>
          <w:t>[R115]</w:t>
        </w:r>
      </w:hyperlink>
    </w:p>
    <w:p>
      <w:r>
        <w:t>Shōmangyō gisho, традиционно приписываемый Shōtoku, представляет ранний японский комментарий и пример цифровой разметки kunten. Hyakumantō 764–770 годов оставлен пограничным материальным якорем: это один печатный объект, не полный корпус ранней японской печати. Для Chan включены Huangbo и Blue Cliff Record; Chixiu Baizhang qinggui отмечен как поздний член той же семьи монастырских правил, а не как неизменный кодекс, которым пользовался Dōgen.</w:t>
      </w:r>
      <w:r>
        <w:t xml:space="preserve">  </w:t>
      </w:r>
      <w:hyperlink r:id="rId67">
        <w:r>
          <w:rPr>
            <w:color w:val="226B88"/>
            <w:sz w:val="18"/>
          </w:rPr>
          <w:t>[R005]</w:t>
        </w:r>
      </w:hyperlink>
      <w:r>
        <w:t xml:space="preserve"> </w:t>
      </w:r>
      <w:hyperlink r:id="rId26">
        <w:r>
          <w:rPr>
            <w:color w:val="226B88"/>
            <w:sz w:val="18"/>
          </w:rPr>
          <w:t>[R051]</w:t>
        </w:r>
      </w:hyperlink>
      <w:r>
        <w:t xml:space="preserve"> </w:t>
      </w:r>
      <w:hyperlink r:id="rId68">
        <w:r>
          <w:rPr>
            <w:color w:val="226B88"/>
            <w:sz w:val="18"/>
          </w:rPr>
          <w:t>[R068]</w:t>
        </w:r>
      </w:hyperlink>
      <w:r>
        <w:t xml:space="preserve"> </w:t>
      </w:r>
      <w:hyperlink r:id="rId69">
        <w:r>
          <w:rPr>
            <w:color w:val="226B88"/>
            <w:sz w:val="18"/>
          </w:rPr>
          <w:t>[R069]</w:t>
        </w:r>
      </w:hyperlink>
      <w:r>
        <w:t xml:space="preserve"> </w:t>
      </w:r>
      <w:hyperlink r:id="rId70">
        <w:r>
          <w:rPr>
            <w:color w:val="226B88"/>
            <w:sz w:val="18"/>
          </w:rPr>
          <w:t>[R072]</w:t>
        </w:r>
      </w:hyperlink>
      <w:r>
        <w:t xml:space="preserve"> </w:t>
      </w:r>
      <w:hyperlink r:id="rId71">
        <w:r>
          <w:rPr>
            <w:color w:val="226B88"/>
            <w:sz w:val="18"/>
          </w:rPr>
          <w:t>[R118]</w:t>
        </w:r>
      </w:hyperlink>
    </w:p>
    <w:p>
      <w:pPr>
        <w:pStyle w:val="Heading2"/>
      </w:pPr>
      <w:r>
        <w:t>2.3. Поиск вперёд во времени</w:t>
      </w:r>
    </w:p>
    <w:p>
      <w:r>
        <w:t>Поздний контур особенно силён в текстах сохранения и комментариях. Ōjōyōshū shō Ryōchū доступен в печати 1628 года; Ōjōyōshū tōgeroku Chidō — в копии с датированным слоем 1816 года. Они относятся к реестру именно как комментарии к центральному сочинению Genshin. Редакции Menzan и Gentō, печать Gyōji, Chū Hokekyō 1681 года и модерное Gozan-собрание — конкретные ступени передачи средневекового материала.</w:t>
      </w:r>
      <w:r>
        <w:t xml:space="preserve">  </w:t>
      </w:r>
      <w:hyperlink r:id="rId72">
        <w:r>
          <w:rPr>
            <w:color w:val="226B88"/>
            <w:sz w:val="18"/>
          </w:rPr>
          <w:t>[R034]</w:t>
        </w:r>
      </w:hyperlink>
      <w:r>
        <w:t xml:space="preserve"> </w:t>
      </w:r>
      <w:hyperlink r:id="rId73">
        <w:r>
          <w:rPr>
            <w:color w:val="226B88"/>
            <w:sz w:val="18"/>
          </w:rPr>
          <w:t>[R035]</w:t>
        </w:r>
      </w:hyperlink>
      <w:r>
        <w:t xml:space="preserve"> </w:t>
      </w:r>
      <w:hyperlink r:id="rId74">
        <w:r>
          <w:rPr>
            <w:color w:val="226B88"/>
            <w:sz w:val="18"/>
          </w:rPr>
          <w:t>[R052]</w:t>
        </w:r>
      </w:hyperlink>
      <w:r>
        <w:t xml:space="preserve"> </w:t>
      </w:r>
      <w:hyperlink r:id="rId75">
        <w:r>
          <w:rPr>
            <w:color w:val="226B88"/>
            <w:sz w:val="18"/>
          </w:rPr>
          <w:t>[R053]</w:t>
        </w:r>
      </w:hyperlink>
      <w:r>
        <w:t xml:space="preserve"> </w:t>
      </w:r>
      <w:hyperlink r:id="rId76">
        <w:r>
          <w:rPr>
            <w:color w:val="226B88"/>
            <w:sz w:val="18"/>
          </w:rPr>
          <w:t>[R054]</w:t>
        </w:r>
      </w:hyperlink>
      <w:r>
        <w:t xml:space="preserve"> </w:t>
      </w:r>
      <w:hyperlink r:id="rId77">
        <w:r>
          <w:rPr>
            <w:color w:val="226B88"/>
            <w:sz w:val="18"/>
          </w:rPr>
          <w:t>[R060]</w:t>
        </w:r>
      </w:hyperlink>
      <w:r>
        <w:t xml:space="preserve"> </w:t>
      </w:r>
      <w:hyperlink r:id="rId78">
        <w:r>
          <w:rPr>
            <w:color w:val="226B88"/>
            <w:sz w:val="18"/>
          </w:rPr>
          <w:t>[R127]</w:t>
        </w:r>
      </w:hyperlink>
    </w:p>
    <w:p>
      <w:r>
        <w:t>Поздние издания Annen, Ennin и Enchin, восьмитомный Shittanzō 1672 года, печатные Muchū mondōshū и Musō Kokushi goroku, дневник Ennin в издании 1926 года, переводы XIX–XXI веков включены независимо от даты носителя. Rongo с блоков 1533 года представлен поздним оттиском: дата резьбы блоков не подменяет дату конкретного экземпляра. У архива Tōji верхняя граница достигает около 1600 года потому, что это целостный архив того же института.</w:t>
      </w:r>
      <w:r>
        <w:t xml:space="preserve">  </w:t>
      </w:r>
      <w:hyperlink r:id="rId40">
        <w:r>
          <w:rPr>
            <w:color w:val="226B88"/>
            <w:sz w:val="18"/>
          </w:rPr>
          <w:t>[R083]</w:t>
        </w:r>
      </w:hyperlink>
      <w:r>
        <w:t xml:space="preserve"> </w:t>
      </w:r>
      <w:hyperlink r:id="rId42">
        <w:r>
          <w:rPr>
            <w:color w:val="226B88"/>
            <w:sz w:val="18"/>
          </w:rPr>
          <w:t>[R085]</w:t>
        </w:r>
      </w:hyperlink>
      <w:r>
        <w:t xml:space="preserve"> </w:t>
      </w:r>
      <w:hyperlink r:id="rId43">
        <w:r>
          <w:rPr>
            <w:color w:val="226B88"/>
            <w:sz w:val="18"/>
          </w:rPr>
          <w:t>[R088]</w:t>
        </w:r>
      </w:hyperlink>
      <w:r>
        <w:t xml:space="preserve"> </w:t>
      </w:r>
      <w:hyperlink r:id="rId44">
        <w:r>
          <w:rPr>
            <w:color w:val="226B88"/>
            <w:sz w:val="18"/>
          </w:rPr>
          <w:t>[R089]</w:t>
        </w:r>
      </w:hyperlink>
      <w:r>
        <w:t xml:space="preserve"> </w:t>
      </w:r>
      <w:hyperlink r:id="rId52">
        <w:r>
          <w:rPr>
            <w:color w:val="226B88"/>
            <w:sz w:val="18"/>
          </w:rPr>
          <w:t>[R094]</w:t>
        </w:r>
      </w:hyperlink>
      <w:r>
        <w:t xml:space="preserve"> </w:t>
      </w:r>
      <w:hyperlink r:id="rId46">
        <w:r>
          <w:rPr>
            <w:color w:val="226B88"/>
            <w:sz w:val="18"/>
          </w:rPr>
          <w:t>[R098]</w:t>
        </w:r>
      </w:hyperlink>
      <w:r>
        <w:t xml:space="preserve"> </w:t>
      </w:r>
      <w:hyperlink r:id="rId47">
        <w:r>
          <w:rPr>
            <w:color w:val="226B88"/>
            <w:sz w:val="18"/>
          </w:rPr>
          <w:t>[R099]</w:t>
        </w:r>
      </w:hyperlink>
      <w:r>
        <w:t xml:space="preserve"> </w:t>
      </w:r>
      <w:hyperlink r:id="rId48">
        <w:r>
          <w:rPr>
            <w:color w:val="226B88"/>
            <w:sz w:val="18"/>
          </w:rPr>
          <w:t>[R124]</w:t>
        </w:r>
      </w:hyperlink>
      <w:r>
        <w:t xml:space="preserve"> </w:t>
      </w:r>
      <w:hyperlink r:id="rId79">
        <w:r>
          <w:rPr>
            <w:color w:val="226B88"/>
            <w:sz w:val="18"/>
          </w:rPr>
          <w:t>[R126]</w:t>
        </w:r>
      </w:hyperlink>
      <w:r>
        <w:t xml:space="preserve"> </w:t>
      </w:r>
      <w:hyperlink r:id="rId55">
        <w:r>
          <w:rPr>
            <w:color w:val="226B88"/>
            <w:sz w:val="18"/>
          </w:rPr>
          <w:t>[R121]</w:t>
        </w:r>
      </w:hyperlink>
    </w:p>
    <w:p>
      <w:r>
        <w:t>Важнейшая современная передача — восьмитомный перевод Shōbōgenzō 2025 года, полный Eihei kōroku и полный Eihei shingi на английском, новые BDK-издания и академические переводы Kūkai/Nichiren. Отдельные самостоятельные продолжения, прежде всего Keizan shingi, пока оставлены в gaps. Поздний контур реестра не выдаётся за полный обзор Tokugawa Buddhism или неоконфуцианства.</w:t>
      </w:r>
      <w:r>
        <w:t xml:space="preserve">  </w:t>
      </w:r>
      <w:hyperlink r:id="rId80">
        <w:r>
          <w:rPr>
            <w:color w:val="226B88"/>
            <w:sz w:val="18"/>
          </w:rPr>
          <w:t>[R058]</w:t>
        </w:r>
      </w:hyperlink>
      <w:r>
        <w:t xml:space="preserve"> </w:t>
      </w:r>
      <w:hyperlink r:id="rId81">
        <w:r>
          <w:rPr>
            <w:color w:val="226B88"/>
            <w:sz w:val="18"/>
          </w:rPr>
          <w:t>[R059]</w:t>
        </w:r>
      </w:hyperlink>
      <w:r>
        <w:t xml:space="preserve"> </w:t>
      </w:r>
      <w:hyperlink r:id="rId82">
        <w:r>
          <w:rPr>
            <w:color w:val="226B88"/>
            <w:sz w:val="18"/>
          </w:rPr>
          <w:t>[R123]</w:t>
        </w:r>
      </w:hyperlink>
      <w:r>
        <w:t xml:space="preserve"> </w:t>
      </w:r>
      <w:hyperlink r:id="rId83">
        <w:r>
          <w:rPr>
            <w:color w:val="226B88"/>
            <w:sz w:val="18"/>
          </w:rPr>
          <w:t>[R128]</w:t>
        </w:r>
      </w:hyperlink>
      <w:r>
        <w:t xml:space="preserve"> </w:t>
      </w:r>
      <w:hyperlink r:id="rId84">
        <w:r>
          <w:rPr>
            <w:color w:val="226B88"/>
            <w:sz w:val="18"/>
          </w:rPr>
          <w:t>[R131]</w:t>
        </w:r>
      </w:hyperlink>
    </w:p>
    <w:p>
      <w:pPr>
        <w:pStyle w:val="Heading2"/>
      </w:pPr>
      <w:r>
        <w:t>2.4. Как читать количественный результат</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2835"/>
            <w:vAlign w:val="top"/>
            <w:tcMar>
              <w:top w:w="85" w:type="dxa"/>
              <w:left w:w="85" w:type="dxa"/>
              <w:bottom w:w="85" w:type="dxa"/>
              <w:right w:w="85" w:type="dxa"/>
            </w:tcMar>
            <w:shd w:fill="183D4D"/>
          </w:tcPr>
          <w:p>
            <w:pPr>
              <w:spacing w:after="60" w:line="252" w:lineRule="auto"/>
            </w:pPr>
            <w:r>
              <w:rPr>
                <w:b/>
                <w:color w:val="FFFFFF"/>
                <w:sz w:val="19"/>
              </w:rPr>
              <w:t>Показатель</w:t>
            </w:r>
          </w:p>
        </w:tc>
        <w:tc>
          <w:tcPr>
            <w:tcW w:type="dxa" w:w="6917"/>
            <w:vAlign w:val="top"/>
            <w:tcMar>
              <w:top w:w="85" w:type="dxa"/>
              <w:left w:w="85" w:type="dxa"/>
              <w:bottom w:w="85" w:type="dxa"/>
              <w:right w:w="85" w:type="dxa"/>
            </w:tcMar>
            <w:shd w:fill="183D4D"/>
          </w:tcPr>
          <w:p>
            <w:pPr>
              <w:spacing w:after="60" w:line="252" w:lineRule="auto"/>
            </w:pPr>
            <w:r>
              <w:rPr>
                <w:b/>
                <w:color w:val="FFFFFF"/>
                <w:sz w:val="19"/>
              </w:rPr>
              <w:t>Итог и граница подсчёта</w:t>
            </w:r>
          </w:p>
        </w:tc>
      </w:tr>
      <w:tr>
        <w:trPr>
          <w:cantSplit/>
        </w:trPr>
        <w:tc>
          <w:tcPr>
            <w:tcW w:type="dxa" w:w="2835"/>
            <w:vAlign w:val="top"/>
            <w:tcMar>
              <w:top w:w="85" w:type="dxa"/>
              <w:left w:w="85" w:type="dxa"/>
              <w:bottom w:w="85" w:type="dxa"/>
              <w:right w:w="85" w:type="dxa"/>
            </w:tcMar>
            <w:shd w:fill="F0F5F6"/>
          </w:tcPr>
          <w:p>
            <w:pPr>
              <w:spacing w:after="60" w:line="252" w:lineRule="auto"/>
            </w:pPr>
            <w:r>
              <w:rPr>
                <w:sz w:val="19"/>
              </w:rPr>
              <w:t>Практически отличимые входы</w:t>
            </w:r>
          </w:p>
        </w:tc>
        <w:tc>
          <w:tcPr>
            <w:tcW w:type="dxa" w:w="6917"/>
            <w:vAlign w:val="top"/>
            <w:tcMar>
              <w:top w:w="85" w:type="dxa"/>
              <w:left w:w="85" w:type="dxa"/>
              <w:bottom w:w="85" w:type="dxa"/>
              <w:right w:w="85" w:type="dxa"/>
            </w:tcMar>
            <w:shd w:fill="F0F5F6"/>
          </w:tcPr>
          <w:p>
            <w:pPr>
              <w:spacing w:after="60" w:line="252" w:lineRule="auto"/>
            </w:pPr>
            <w:r>
              <w:rPr>
                <w:sz w:val="19"/>
              </w:rPr>
              <w:t>132 записи registry; из них 7 инфраструктурных и 1 secondary_navigation. Оставшиеся 124 — предметные входы к произведениям, версиям, свидетелям и архиву.</w:t>
            </w:r>
          </w:p>
        </w:tc>
      </w:tr>
      <w:tr>
        <w:trPr>
          <w:cantSplit/>
        </w:trPr>
        <w:tc>
          <w:tcPr>
            <w:tcW w:type="dxa" w:w="2835"/>
            <w:vAlign w:val="top"/>
            <w:tcMar>
              <w:top w:w="85" w:type="dxa"/>
              <w:left w:w="85" w:type="dxa"/>
              <w:bottom w:w="85" w:type="dxa"/>
              <w:right w:w="85" w:type="dxa"/>
            </w:tcMar>
            <w:shd w:fill="FFFFFF"/>
          </w:tcPr>
          <w:p>
            <w:pPr>
              <w:spacing w:after="60" w:line="252" w:lineRule="auto"/>
            </w:pPr>
            <w:r>
              <w:rPr>
                <w:sz w:val="19"/>
              </w:rPr>
              <w:t>Произведения и корпусные единицы</w:t>
            </w:r>
          </w:p>
        </w:tc>
        <w:tc>
          <w:tcPr>
            <w:tcW w:type="dxa" w:w="6917"/>
            <w:vAlign w:val="top"/>
            <w:tcMar>
              <w:top w:w="85" w:type="dxa"/>
              <w:left w:w="85" w:type="dxa"/>
              <w:bottom w:w="85" w:type="dxa"/>
              <w:right w:w="85" w:type="dxa"/>
            </w:tcMar>
            <w:shd w:fill="FFFFFF"/>
          </w:tcPr>
          <w:p>
            <w:pPr>
              <w:spacing w:after="60" w:line="252" w:lineRule="auto"/>
            </w:pPr>
            <w:r>
              <w:rPr>
                <w:sz w:val="19"/>
              </w:rPr>
              <w:t>Порядка 100 именованных единиц при укрупнённом подсчёте. Переводы и дубликаты сведены; гимны Shinran, Gozan и архив Tōji учитываются группами. Это не число всех писем, стихов, глав и внутренних XML-файлов.</w:t>
            </w:r>
          </w:p>
        </w:tc>
      </w:tr>
      <w:tr>
        <w:trPr>
          <w:cantSplit/>
        </w:trPr>
        <w:tc>
          <w:tcPr>
            <w:tcW w:type="dxa" w:w="2835"/>
            <w:vAlign w:val="top"/>
            <w:tcMar>
              <w:top w:w="85" w:type="dxa"/>
              <w:left w:w="85" w:type="dxa"/>
              <w:bottom w:w="85" w:type="dxa"/>
              <w:right w:w="85" w:type="dxa"/>
            </w:tcMar>
            <w:shd w:fill="F0F5F6"/>
          </w:tcPr>
          <w:p>
            <w:pPr>
              <w:spacing w:after="60" w:line="252" w:lineRule="auto"/>
            </w:pPr>
            <w:r>
              <w:rPr>
                <w:sz w:val="19"/>
              </w:rPr>
              <w:t>Форма объектов</w:t>
            </w:r>
          </w:p>
        </w:tc>
        <w:tc>
          <w:tcPr>
            <w:tcW w:type="dxa" w:w="6917"/>
            <w:vAlign w:val="top"/>
            <w:tcMar>
              <w:top w:w="85" w:type="dxa"/>
              <w:left w:w="85" w:type="dxa"/>
              <w:bottom w:w="85" w:type="dxa"/>
              <w:right w:w="85" w:type="dxa"/>
            </w:tcMar>
            <w:shd w:fill="F0F5F6"/>
          </w:tcPr>
          <w:p>
            <w:pPr>
              <w:spacing w:after="60" w:line="252" w:lineRule="auto"/>
            </w:pPr>
            <w:r>
              <w:rPr>
                <w:sz w:val="19"/>
              </w:rPr>
              <w:t>61 translation_or_edition, 36 physical_witness, 23 digital_text_or_facsimile, 4 corpus, 4 dataset_or_api, 3 digital_project_or_catalogue, 1 secondary_navigation.</w:t>
            </w:r>
          </w:p>
        </w:tc>
      </w:tr>
      <w:tr>
        <w:trPr>
          <w:cantSplit/>
        </w:trPr>
        <w:tc>
          <w:tcPr>
            <w:tcW w:type="dxa" w:w="2835"/>
            <w:vAlign w:val="top"/>
            <w:tcMar>
              <w:top w:w="85" w:type="dxa"/>
              <w:left w:w="85" w:type="dxa"/>
              <w:bottom w:w="85" w:type="dxa"/>
              <w:right w:w="85" w:type="dxa"/>
            </w:tcMar>
            <w:shd w:fill="FFFFFF"/>
          </w:tcPr>
          <w:p>
            <w:pPr>
              <w:spacing w:after="60" w:line="252" w:lineRule="auto"/>
            </w:pPr>
            <w:r>
              <w:rPr>
                <w:sz w:val="19"/>
              </w:rPr>
              <w:t>Пропуски и неопределённости</w:t>
            </w:r>
          </w:p>
        </w:tc>
        <w:tc>
          <w:tcPr>
            <w:tcW w:type="dxa" w:w="6917"/>
            <w:vAlign w:val="top"/>
            <w:tcMar>
              <w:top w:w="85" w:type="dxa"/>
              <w:left w:w="85" w:type="dxa"/>
              <w:bottom w:w="85" w:type="dxa"/>
              <w:right w:w="85" w:type="dxa"/>
            </w:tcMar>
            <w:shd w:fill="FFFFFF"/>
          </w:tcPr>
          <w:p>
            <w:pPr>
              <w:spacing w:after="60" w:line="252" w:lineRule="auto"/>
            </w:pPr>
            <w:r>
              <w:rPr>
                <w:sz w:val="19"/>
              </w:rPr>
              <w:t>30 записей gaps: отсутствующий полный доступ, неоткрывшиеся страницы, неопределённые права, непроверенная атрибуция или неполный поиск.</w:t>
            </w:r>
          </w:p>
        </w:tc>
      </w:tr>
    </w:tbl>
    <w:p>
      <w:pPr>
        <w:spacing w:after="0"/>
      </w:pPr>
    </w:p>
    <w:p>
      <w:r>
        <w:t>По relevance: 58 core, 29 same_corpus_or_tradition, 13 antecedent, 13 transmission_or_preservation, 5 commentary_or_reception, 3 supporting, 3 boundary, 7 infrastructure и 1 secondary_navigation. Отдельный тег continuation в основной таблице не использован: проверенные поздние объекты точнее описываются как комментарии и передача; самостоятельные продолжения требуют дальнейшего поиска. Эти числа относятся к записям о доступе, а не к взаимоисключающим историческим школам.</w:t>
      </w:r>
    </w:p>
    <w:p>
      <w:pPr>
        <w:pStyle w:val="Heading1"/>
      </w:pPr>
      <w:r>
        <w:t>3. Лучшие пути доступа</w:t>
      </w:r>
    </w:p>
    <w:p>
      <w:pPr>
        <w:pStyle w:val="Heading2"/>
      </w:pPr>
      <w:r>
        <w:t>3.1. Saichō, Annen, Ennin и Enchin</w:t>
      </w:r>
    </w:p>
    <w:p>
      <w:r>
        <w:t>Для Kenkairon и Sange gakushō shiki наиболее прямой проверенный оригинальный текст — SAT с T-номерами. Для более широкой Tendai-учёности полезнее конкретные факсимиле Kyoto: Shingonshū kyōji mondō, Bodaishingi, Sentei kanjō shibun, ритуальные сборники и записи поездок. Неполные книги и поздние копии маркированы в coverage/notes; листы не прошли сплошную палеографическую сверку.</w:t>
      </w:r>
      <w:r>
        <w:t xml:space="preserve">  </w:t>
      </w:r>
      <w:hyperlink r:id="rId19">
        <w:r>
          <w:rPr>
            <w:color w:val="226B88"/>
            <w:sz w:val="18"/>
          </w:rPr>
          <w:t>[R016]</w:t>
        </w:r>
      </w:hyperlink>
      <w:r>
        <w:t xml:space="preserve"> </w:t>
      </w:r>
      <w:hyperlink r:id="rId85">
        <w:r>
          <w:rPr>
            <w:color w:val="226B88"/>
            <w:sz w:val="18"/>
          </w:rPr>
          <w:t>[R017]</w:t>
        </w:r>
      </w:hyperlink>
      <w:r>
        <w:t xml:space="preserve"> </w:t>
      </w:r>
      <w:hyperlink r:id="rId40">
        <w:r>
          <w:rPr>
            <w:color w:val="226B88"/>
            <w:sz w:val="18"/>
          </w:rPr>
          <w:t>[R083]</w:t>
        </w:r>
      </w:hyperlink>
      <w:r>
        <w:t xml:space="preserve"> </w:t>
      </w:r>
      <w:hyperlink r:id="rId41">
        <w:r>
          <w:rPr>
            <w:color w:val="226B88"/>
            <w:sz w:val="18"/>
          </w:rPr>
          <w:t>[R084]</w:t>
        </w:r>
      </w:hyperlink>
      <w:r>
        <w:t xml:space="preserve"> </w:t>
      </w:r>
      <w:hyperlink r:id="rId42">
        <w:r>
          <w:rPr>
            <w:color w:val="226B88"/>
            <w:sz w:val="18"/>
          </w:rPr>
          <w:t>[R085]</w:t>
        </w:r>
      </w:hyperlink>
      <w:r>
        <w:t xml:space="preserve"> </w:t>
      </w:r>
      <w:hyperlink r:id="rId86">
        <w:r>
          <w:rPr>
            <w:color w:val="226B88"/>
            <w:sz w:val="18"/>
          </w:rPr>
          <w:t>[R086]</w:t>
        </w:r>
      </w:hyperlink>
      <w:r>
        <w:t xml:space="preserve"> </w:t>
      </w:r>
      <w:hyperlink r:id="rId87">
        <w:r>
          <w:rPr>
            <w:color w:val="226B88"/>
            <w:sz w:val="18"/>
          </w:rPr>
          <w:t>[R087]</w:t>
        </w:r>
      </w:hyperlink>
      <w:r>
        <w:t xml:space="preserve"> </w:t>
      </w:r>
      <w:hyperlink r:id="rId43">
        <w:r>
          <w:rPr>
            <w:color w:val="226B88"/>
            <w:sz w:val="18"/>
          </w:rPr>
          <w:t>[R088]</w:t>
        </w:r>
      </w:hyperlink>
      <w:r>
        <w:t xml:space="preserve"> </w:t>
      </w:r>
      <w:hyperlink r:id="rId44">
        <w:r>
          <w:rPr>
            <w:color w:val="226B88"/>
            <w:sz w:val="18"/>
          </w:rPr>
          <w:t>[R089]</w:t>
        </w:r>
      </w:hyperlink>
      <w:r>
        <w:t xml:space="preserve"> </w:t>
      </w:r>
      <w:hyperlink r:id="rId45">
        <w:r>
          <w:rPr>
            <w:color w:val="226B88"/>
            <w:sz w:val="18"/>
          </w:rPr>
          <w:t>[R090]</w:t>
        </w:r>
      </w:hyperlink>
      <w:r>
        <w:t xml:space="preserve"> </w:t>
      </w:r>
      <w:hyperlink r:id="rId88">
        <w:r>
          <w:rPr>
            <w:color w:val="226B88"/>
            <w:sz w:val="18"/>
          </w:rPr>
          <w:t>[R111]</w:t>
        </w:r>
      </w:hyperlink>
    </w:p>
    <w:p>
      <w:r>
        <w:t>Для Ennin’s Diary найден полный пятичастный комплект Tōyō Bunko 1926 года в NDL: четыре тома текста и пояснение. Все пять карточек сообщают Internet public access и pdm, однако viewer/IIIF не удалось проверить непосредственно; поэтому автоматического разрешения на перенос современного редакционного слоя здесь нет. Английский перевод Reischauer 1955 года идентифицирован, но актуальная доставка/выдача осталась в G009.</w:t>
      </w:r>
      <w:r>
        <w:t xml:space="preserve">  </w:t>
      </w:r>
      <w:hyperlink r:id="rId79">
        <w:r>
          <w:rPr>
            <w:color w:val="226B88"/>
            <w:sz w:val="18"/>
          </w:rPr>
          <w:t>[R126]</w:t>
        </w:r>
      </w:hyperlink>
      <w:r>
        <w:t xml:space="preserve"> </w:t>
      </w:r>
      <w:hyperlink r:id="rId17">
        <w:r>
          <w:rPr>
            <w:color w:val="226B88"/>
            <w:sz w:val="18"/>
          </w:rPr>
          <w:t>[R132]</w:t>
        </w:r>
      </w:hyperlink>
    </w:p>
    <w:p>
      <w:r>
        <w:t>Для Siddhaṃ предпочтительна пара Shittanzō: Kyoto даёт восьмитомную печать 1672 года, NINJAL — два средневековых тома, включая явно датированный 1297 годом первый. NINJAL прямо применяет CC BY 4.0 к изображениям; первый IIIF manifest открыт. Это один из наиболее свободных и предметно точных входов в языковой слой строки, но лишь два тома из восьми.</w:t>
      </w:r>
      <w:r>
        <w:t xml:space="preserve">  </w:t>
      </w:r>
      <w:hyperlink r:id="rId48">
        <w:r>
          <w:rPr>
            <w:color w:val="226B88"/>
            <w:sz w:val="18"/>
          </w:rPr>
          <w:t>[R124]</w:t>
        </w:r>
      </w:hyperlink>
      <w:r>
        <w:t xml:space="preserve"> </w:t>
      </w:r>
      <w:hyperlink r:id="rId16">
        <w:r>
          <w:rPr>
            <w:color w:val="226B88"/>
            <w:sz w:val="18"/>
          </w:rPr>
          <w:t>[R125]</w:t>
        </w:r>
      </w:hyperlink>
    </w:p>
    <w:p>
      <w:pPr>
        <w:pStyle w:val="Heading2"/>
      </w:pPr>
      <w:r>
        <w:t>3.2. Kūkai и Shingon</w:t>
      </w:r>
    </w:p>
    <w:p>
      <w:r>
        <w:t>Лучший проверенный бесплатный английский вход — BDK Shingon Texts: пять трактатов Kūkai и два текста Kakuban. Для Hannya shingyō hiken есть отдельный новый перевод BDK. Оригинальный текст Jūjūshinron на kanbun читается через SAT T2425, но его цифровой слой не получает разрешения на зеркалирование. Нельзя заменять Jūjūshinron кратким Hizōhōyaku только потому, что последний доступнее.</w:t>
      </w:r>
      <w:r>
        <w:t xml:space="preserve">  </w:t>
      </w:r>
      <w:hyperlink r:id="rId18">
        <w:r>
          <w:rPr>
            <w:color w:val="226B88"/>
            <w:sz w:val="18"/>
          </w:rPr>
          <w:t>[R001]</w:t>
        </w:r>
      </w:hyperlink>
      <w:r>
        <w:t xml:space="preserve"> </w:t>
      </w:r>
      <w:hyperlink r:id="rId89">
        <w:r>
          <w:rPr>
            <w:color w:val="226B88"/>
            <w:sz w:val="18"/>
          </w:rPr>
          <w:t>[R014]</w:t>
        </w:r>
      </w:hyperlink>
      <w:r>
        <w:t xml:space="preserve"> </w:t>
      </w:r>
      <w:hyperlink r:id="rId90">
        <w:r>
          <w:rPr>
            <w:color w:val="226B88"/>
            <w:sz w:val="18"/>
          </w:rPr>
          <w:t>[R018]</w:t>
        </w:r>
      </w:hyperlink>
      <w:r>
        <w:t xml:space="preserve"> </w:t>
      </w:r>
      <w:hyperlink r:id="rId91">
        <w:r>
          <w:rPr>
            <w:color w:val="226B88"/>
            <w:sz w:val="18"/>
          </w:rPr>
          <w:t>[R024]</w:t>
        </w:r>
      </w:hyperlink>
      <w:r>
        <w:t xml:space="preserve"> </w:t>
      </w:r>
      <w:hyperlink r:id="rId92">
        <w:r>
          <w:rPr>
            <w:color w:val="226B88"/>
            <w:sz w:val="18"/>
          </w:rPr>
          <w:t>[R025]</w:t>
        </w:r>
      </w:hyperlink>
      <w:r>
        <w:t xml:space="preserve"> </w:t>
      </w:r>
      <w:hyperlink r:id="rId93">
        <w:r>
          <w:rPr>
            <w:color w:val="226B88"/>
            <w:sz w:val="18"/>
          </w:rPr>
          <w:t>[R026]</w:t>
        </w:r>
      </w:hyperlink>
      <w:r>
        <w:t xml:space="preserve"> </w:t>
      </w:r>
      <w:hyperlink r:id="rId94">
        <w:r>
          <w:rPr>
            <w:color w:val="226B88"/>
            <w:sz w:val="18"/>
          </w:rPr>
          <w:t>[R027]</w:t>
        </w:r>
      </w:hyperlink>
      <w:r>
        <w:t xml:space="preserve"> </w:t>
      </w:r>
      <w:hyperlink r:id="rId95">
        <w:r>
          <w:rPr>
            <w:color w:val="226B88"/>
            <w:sz w:val="18"/>
          </w:rPr>
          <w:t>[R028]</w:t>
        </w:r>
      </w:hyperlink>
    </w:p>
    <w:p>
      <w:r>
        <w:t>Kūkai: Major Works в переводе Hakeda остаётся полезным академическим платным вариантом: издатель перечисляет восемь переводов, включая Sangō shiiki и мемориал о ввезённых книгах и предметах. На текущей странице издание датировано 1984 годом; ранняя публикация 1972 года подтверждена академической библиографией. Общего проверенного публичнодоменного английского перевода всего корпуса Kūkai не найдено. Bunkyō hifuron и Shōryōshū требуют отдельной проверки.</w:t>
      </w:r>
      <w:r>
        <w:t xml:space="preserve">  </w:t>
      </w:r>
      <w:hyperlink r:id="rId82">
        <w:r>
          <w:rPr>
            <w:color w:val="226B88"/>
            <w:sz w:val="18"/>
          </w:rPr>
          <w:t>[R123]</w:t>
        </w:r>
      </w:hyperlink>
      <w:r>
        <w:t xml:space="preserve"> </w:t>
      </w:r>
      <w:hyperlink r:id="rId17">
        <w:r>
          <w:rPr>
            <w:color w:val="226B88"/>
            <w:sz w:val="18"/>
          </w:rPr>
          <w:t>[R132]</w:t>
        </w:r>
      </w:hyperlink>
    </w:p>
    <w:p>
      <w:pPr>
        <w:pStyle w:val="Heading2"/>
      </w:pPr>
      <w:r>
        <w:t>3.3. Genshin → Hōnen → Shinran → Rennyo</w:t>
      </w:r>
    </w:p>
    <w:p>
      <w:r>
        <w:t>Для Ōjōyōshū лучший прямой текстовый вход — SAT; для факсимиле — Kyoto, где доступны и поздние комментарии. Для Senchakushū — BDK-перевод Augustine/Kondō и оригинал SAT. Для Kyōgyōshinshō можно сопоставлять BDK-перевод Inagaki, Collected Works of Shinran и текст SAT. Это разные переводно-редакционные слои, а не три копии одной свободной книги.</w:t>
      </w:r>
      <w:r>
        <w:t xml:space="preserve">  </w:t>
      </w:r>
      <w:hyperlink r:id="rId96">
        <w:r>
          <w:rPr>
            <w:color w:val="226B88"/>
            <w:sz w:val="18"/>
          </w:rPr>
          <w:t>[R002]</w:t>
        </w:r>
      </w:hyperlink>
      <w:r>
        <w:t xml:space="preserve"> </w:t>
      </w:r>
      <w:hyperlink r:id="rId97">
        <w:r>
          <w:rPr>
            <w:color w:val="226B88"/>
            <w:sz w:val="18"/>
          </w:rPr>
          <w:t>[R003]</w:t>
        </w:r>
      </w:hyperlink>
      <w:r>
        <w:t xml:space="preserve"> </w:t>
      </w:r>
      <w:hyperlink r:id="rId20">
        <w:r>
          <w:rPr>
            <w:color w:val="226B88"/>
            <w:sz w:val="18"/>
          </w:rPr>
          <w:t>[R019]</w:t>
        </w:r>
      </w:hyperlink>
      <w:r>
        <w:t xml:space="preserve"> </w:t>
      </w:r>
      <w:hyperlink r:id="rId98">
        <w:r>
          <w:rPr>
            <w:color w:val="226B88"/>
            <w:sz w:val="18"/>
          </w:rPr>
          <w:t>[R033]</w:t>
        </w:r>
      </w:hyperlink>
      <w:r>
        <w:t xml:space="preserve"> </w:t>
      </w:r>
      <w:hyperlink r:id="rId72">
        <w:r>
          <w:rPr>
            <w:color w:val="226B88"/>
            <w:sz w:val="18"/>
          </w:rPr>
          <w:t>[R034]</w:t>
        </w:r>
      </w:hyperlink>
      <w:r>
        <w:t xml:space="preserve"> </w:t>
      </w:r>
      <w:hyperlink r:id="rId73">
        <w:r>
          <w:rPr>
            <w:color w:val="226B88"/>
            <w:sz w:val="18"/>
          </w:rPr>
          <w:t>[R035]</w:t>
        </w:r>
      </w:hyperlink>
      <w:r>
        <w:t xml:space="preserve"> </w:t>
      </w:r>
      <w:hyperlink r:id="rId23">
        <w:r>
          <w:rPr>
            <w:color w:val="226B88"/>
            <w:sz w:val="18"/>
          </w:rPr>
          <w:t>[R036]</w:t>
        </w:r>
      </w:hyperlink>
      <w:r>
        <w:t xml:space="preserve"> </w:t>
      </w:r>
      <w:hyperlink r:id="rId99">
        <w:r>
          <w:rPr>
            <w:color w:val="226B88"/>
            <w:sz w:val="18"/>
          </w:rPr>
          <w:t>[R105]</w:t>
        </w:r>
      </w:hyperlink>
      <w:r>
        <w:t xml:space="preserve"> </w:t>
      </w:r>
      <w:hyperlink r:id="rId100">
        <w:r>
          <w:rPr>
            <w:color w:val="226B88"/>
            <w:sz w:val="18"/>
          </w:rPr>
          <w:t>[R106]</w:t>
        </w:r>
      </w:hyperlink>
    </w:p>
    <w:p>
      <w:r>
        <w:t>Collected Works of Shinran — наиболее удобное бесплатное чтение его сочинений на английском: Kyōgyōshinshō, гимны, письма, Gutokushō, Jōdo monrui jushō, Sonzō meimon и толкования. Название раздела «Hymns in Japanese» обозначает жанр исходных гимнов: открытые страницы являются английским переводом, не чистым японским оригиналом. Yuishinshō Seikaku и текст Ryūkan разведены с комментариями Shinran.</w:t>
      </w:r>
      <w:r>
        <w:t xml:space="preserve">  </w:t>
      </w:r>
      <w:hyperlink r:id="rId23">
        <w:r>
          <w:rPr>
            <w:color w:val="226B88"/>
            <w:sz w:val="18"/>
          </w:rPr>
          <w:t>[R036]</w:t>
        </w:r>
      </w:hyperlink>
      <w:r>
        <w:t xml:space="preserve"> </w:t>
      </w:r>
      <w:hyperlink r:id="rId101">
        <w:r>
          <w:rPr>
            <w:color w:val="226B88"/>
            <w:sz w:val="18"/>
          </w:rPr>
          <w:t>[R037]</w:t>
        </w:r>
      </w:hyperlink>
      <w:r>
        <w:t xml:space="preserve"> </w:t>
      </w:r>
      <w:hyperlink r:id="rId102">
        <w:r>
          <w:rPr>
            <w:color w:val="226B88"/>
            <w:sz w:val="18"/>
          </w:rPr>
          <w:t>[R038]</w:t>
        </w:r>
      </w:hyperlink>
      <w:r>
        <w:t xml:space="preserve"> </w:t>
      </w:r>
      <w:hyperlink r:id="rId36">
        <w:r>
          <w:rPr>
            <w:color w:val="226B88"/>
            <w:sz w:val="18"/>
          </w:rPr>
          <w:t>[R039]</w:t>
        </w:r>
      </w:hyperlink>
      <w:r>
        <w:t xml:space="preserve"> </w:t>
      </w:r>
      <w:hyperlink r:id="rId37">
        <w:r>
          <w:rPr>
            <w:color w:val="226B88"/>
            <w:sz w:val="18"/>
          </w:rPr>
          <w:t>[R040]</w:t>
        </w:r>
      </w:hyperlink>
      <w:r>
        <w:t xml:space="preserve"> </w:t>
      </w:r>
      <w:hyperlink r:id="rId103">
        <w:r>
          <w:rPr>
            <w:color w:val="226B88"/>
            <w:sz w:val="18"/>
          </w:rPr>
          <w:t>[R041]</w:t>
        </w:r>
      </w:hyperlink>
      <w:r>
        <w:t xml:space="preserve"> </w:t>
      </w:r>
      <w:hyperlink r:id="rId104">
        <w:r>
          <w:rPr>
            <w:color w:val="226B88"/>
            <w:sz w:val="18"/>
          </w:rPr>
          <w:t>[R042]</w:t>
        </w:r>
      </w:hyperlink>
      <w:r>
        <w:t xml:space="preserve"> </w:t>
      </w:r>
      <w:hyperlink r:id="rId105">
        <w:r>
          <w:rPr>
            <w:color w:val="226B88"/>
            <w:sz w:val="18"/>
          </w:rPr>
          <w:t>[R043]</w:t>
        </w:r>
      </w:hyperlink>
      <w:r>
        <w:t xml:space="preserve"> </w:t>
      </w:r>
      <w:hyperlink r:id="rId38">
        <w:r>
          <w:rPr>
            <w:color w:val="226B88"/>
            <w:sz w:val="18"/>
          </w:rPr>
          <w:t>[R044]</w:t>
        </w:r>
      </w:hyperlink>
      <w:r>
        <w:t xml:space="preserve"> </w:t>
      </w:r>
      <w:hyperlink r:id="rId39">
        <w:r>
          <w:rPr>
            <w:color w:val="226B88"/>
            <w:sz w:val="18"/>
          </w:rPr>
          <w:t>[R045]</w:t>
        </w:r>
      </w:hyperlink>
    </w:p>
    <w:p>
      <w:r>
        <w:t>Tannishō доступен через CWS и BDK; атрибуция Yuien передаётся как традиционная, не как бесспорный автограф Shinran. Для Rennyo практичен BDK-том с Ofumi, но это 80 писем пяти канонических книг, не вся его переписка. Старый свободный по заявлению платформы в США перевод части wasan — Buddhist Psalms, 1921, Project Gutenberg №7015; для международного повторного размещения нужна юрисдикционная проверка. Машиночитаемый свободный слой здесь легче получить для ранних китайских источников через CBETA, чем для современного английского CWS.</w:t>
      </w:r>
      <w:r>
        <w:t xml:space="preserve">  </w:t>
      </w:r>
      <w:hyperlink r:id="rId106">
        <w:r>
          <w:rPr>
            <w:color w:val="226B88"/>
            <w:sz w:val="18"/>
          </w:rPr>
          <w:t>[R004]</w:t>
        </w:r>
      </w:hyperlink>
      <w:r>
        <w:t xml:space="preserve"> </w:t>
      </w:r>
      <w:hyperlink r:id="rId107">
        <w:r>
          <w:rPr>
            <w:color w:val="226B88"/>
            <w:sz w:val="18"/>
          </w:rPr>
          <w:t>[R046]</w:t>
        </w:r>
      </w:hyperlink>
      <w:r>
        <w:t xml:space="preserve"> </w:t>
      </w:r>
      <w:hyperlink r:id="rId108">
        <w:r>
          <w:rPr>
            <w:color w:val="226B88"/>
            <w:sz w:val="18"/>
          </w:rPr>
          <w:t>[R081]</w:t>
        </w:r>
      </w:hyperlink>
      <w:r>
        <w:t xml:space="preserve"> </w:t>
      </w:r>
      <w:hyperlink r:id="rId11">
        <w:r>
          <w:rPr>
            <w:color w:val="226B88"/>
            <w:sz w:val="18"/>
          </w:rPr>
          <w:t>[R115]</w:t>
        </w:r>
      </w:hyperlink>
    </w:p>
    <w:p>
      <w:pPr>
        <w:pStyle w:val="Heading2"/>
      </w:pPr>
      <w:r>
        <w:t>3.4. Dōgen, Keizan и монастырские кодексы</w:t>
      </w:r>
    </w:p>
    <w:p>
      <w:r>
        <w:t>Самый широкий бесплатный английский Shōbōgenzō в проверенной подборке — четыре BDK-тома Nishijima/Cross; каждый том записан отдельно с собственным объёмом. SOTOZEN бесплатно предлагает выбранные главы, а не всё новое издание. Для современной научной работы восьмитомный Treasury of the True Dharma Eye 2025 года имеет отдельный официальный путь покупки. Разница между полнотой одной редакции и всеми авторскими/поздними комплексами сохранена.</w:t>
      </w:r>
      <w:r>
        <w:t xml:space="preserve">  </w:t>
      </w:r>
      <w:hyperlink r:id="rId109">
        <w:r>
          <w:rPr>
            <w:color w:val="226B88"/>
            <w:sz w:val="18"/>
          </w:rPr>
          <w:t>[R008]</w:t>
        </w:r>
      </w:hyperlink>
      <w:r>
        <w:t xml:space="preserve"> </w:t>
      </w:r>
      <w:hyperlink r:id="rId110">
        <w:r>
          <w:rPr>
            <w:color w:val="226B88"/>
            <w:sz w:val="18"/>
          </w:rPr>
          <w:t>[R009]</w:t>
        </w:r>
      </w:hyperlink>
      <w:r>
        <w:t xml:space="preserve"> </w:t>
      </w:r>
      <w:hyperlink r:id="rId111">
        <w:r>
          <w:rPr>
            <w:color w:val="226B88"/>
            <w:sz w:val="18"/>
          </w:rPr>
          <w:t>[R010]</w:t>
        </w:r>
      </w:hyperlink>
      <w:r>
        <w:t xml:space="preserve"> </w:t>
      </w:r>
      <w:hyperlink r:id="rId112">
        <w:r>
          <w:rPr>
            <w:color w:val="226B88"/>
            <w:sz w:val="18"/>
          </w:rPr>
          <w:t>[R011]</w:t>
        </w:r>
      </w:hyperlink>
      <w:r>
        <w:t xml:space="preserve"> </w:t>
      </w:r>
      <w:hyperlink r:id="rId21">
        <w:r>
          <w:rPr>
            <w:color w:val="226B88"/>
            <w:sz w:val="18"/>
          </w:rPr>
          <w:t>[R022]</w:t>
        </w:r>
      </w:hyperlink>
      <w:r>
        <w:t xml:space="preserve"> </w:t>
      </w:r>
      <w:hyperlink r:id="rId113">
        <w:r>
          <w:rPr>
            <w:color w:val="226B88"/>
            <w:sz w:val="18"/>
          </w:rPr>
          <w:t>[R029]</w:t>
        </w:r>
      </w:hyperlink>
      <w:r>
        <w:t xml:space="preserve"> </w:t>
      </w:r>
      <w:hyperlink r:id="rId81">
        <w:r>
          <w:rPr>
            <w:color w:val="226B88"/>
            <w:sz w:val="18"/>
          </w:rPr>
          <w:t>[R059]</w:t>
        </w:r>
      </w:hyperlink>
    </w:p>
    <w:p>
      <w:r>
        <w:t>Eihei kōroku лучше всего представлен полным английским Dōgen’s Extensive Record у Wisdom. SAT T2583 содержит только Eihei Gen oshō juko — 90 случаев и стихотворные комментарии; это не весь kōroku. Для Eihei shingi имеются оригинал SAT, полный перевод Leighton/Okumura у SUNY и отдельный легальный preview Google Books. Для Zuimonki — историческая редакция Menzan, современный перевод Okumura и русская страница с оговоркой о кодировке.</w:t>
      </w:r>
      <w:r>
        <w:t xml:space="preserve">  </w:t>
      </w:r>
      <w:hyperlink r:id="rId114">
        <w:r>
          <w:rPr>
            <w:color w:val="226B88"/>
            <w:sz w:val="18"/>
          </w:rPr>
          <w:t>[R030]</w:t>
        </w:r>
      </w:hyperlink>
      <w:r>
        <w:t xml:space="preserve"> </w:t>
      </w:r>
      <w:hyperlink r:id="rId115">
        <w:r>
          <w:rPr>
            <w:color w:val="226B88"/>
            <w:sz w:val="18"/>
          </w:rPr>
          <w:t>[R032]</w:t>
        </w:r>
      </w:hyperlink>
      <w:r>
        <w:t xml:space="preserve"> </w:t>
      </w:r>
      <w:hyperlink r:id="rId74">
        <w:r>
          <w:rPr>
            <w:color w:val="226B88"/>
            <w:sz w:val="18"/>
          </w:rPr>
          <w:t>[R052]</w:t>
        </w:r>
      </w:hyperlink>
      <w:r>
        <w:t xml:space="preserve"> </w:t>
      </w:r>
      <w:hyperlink r:id="rId80">
        <w:r>
          <w:rPr>
            <w:color w:val="226B88"/>
            <w:sz w:val="18"/>
          </w:rPr>
          <w:t>[R058]</w:t>
        </w:r>
      </w:hyperlink>
      <w:r>
        <w:t xml:space="preserve"> </w:t>
      </w:r>
      <w:hyperlink r:id="rId116">
        <w:r>
          <w:rPr>
            <w:color w:val="226B88"/>
            <w:sz w:val="18"/>
          </w:rPr>
          <w:t>[R078]</w:t>
        </w:r>
      </w:hyperlink>
      <w:r>
        <w:t xml:space="preserve"> </w:t>
      </w:r>
      <w:hyperlink r:id="rId117">
        <w:r>
          <w:rPr>
            <w:color w:val="226B88"/>
            <w:sz w:val="18"/>
          </w:rPr>
          <w:t>[R102]</w:t>
        </w:r>
      </w:hyperlink>
      <w:r>
        <w:t xml:space="preserve"> </w:t>
      </w:r>
      <w:hyperlink r:id="rId83">
        <w:r>
          <w:rPr>
            <w:color w:val="226B88"/>
            <w:sz w:val="18"/>
          </w:rPr>
          <w:t>[R128]</w:t>
        </w:r>
      </w:hyperlink>
      <w:r>
        <w:t xml:space="preserve"> </w:t>
      </w:r>
      <w:hyperlink r:id="rId118">
        <w:r>
          <w:rPr>
            <w:color w:val="226B88"/>
            <w:sz w:val="18"/>
          </w:rPr>
          <w:t>[R129]</w:t>
        </w:r>
      </w:hyperlink>
    </w:p>
    <w:p>
      <w:r>
        <w:t>Denkōroku Keizan доступен в официальной английской цифровой серии SOTOZEN и в SAT; Zazenyōjinki — в BDK Zen Texts и русском архиве Antaiji. Русские Fukanzazengi, Gakudō yōjinshū и выбранные главы Shōbōgenzō дают полезный вход, но по правам и редакционному качеству не заменяют академическое издание: русский переводчик не везде установлен, часть страниц повреждена кодировкой. Комментарии Uchiyama отмечены отдельно от средневекового текста.</w:t>
      </w:r>
      <w:r>
        <w:t xml:space="preserve">  </w:t>
      </w:r>
      <w:hyperlink r:id="rId67">
        <w:r>
          <w:rPr>
            <w:color w:val="226B88"/>
            <w:sz w:val="18"/>
          </w:rPr>
          <w:t>[R005]</w:t>
        </w:r>
      </w:hyperlink>
      <w:r>
        <w:t xml:space="preserve"> </w:t>
      </w:r>
      <w:hyperlink r:id="rId22">
        <w:r>
          <w:rPr>
            <w:color w:val="226B88"/>
            <w:sz w:val="18"/>
          </w:rPr>
          <w:t>[R023]</w:t>
        </w:r>
      </w:hyperlink>
      <w:r>
        <w:t xml:space="preserve"> </w:t>
      </w:r>
      <w:hyperlink r:id="rId119">
        <w:r>
          <w:rPr>
            <w:color w:val="226B88"/>
            <w:sz w:val="18"/>
          </w:rPr>
          <w:t>[R031]</w:t>
        </w:r>
      </w:hyperlink>
      <w:r>
        <w:t xml:space="preserve"> </w:t>
      </w:r>
      <w:hyperlink r:id="rId120">
        <w:r>
          <w:rPr>
            <w:color w:val="226B88"/>
            <w:sz w:val="18"/>
          </w:rPr>
          <w:t>[R074]</w:t>
        </w:r>
      </w:hyperlink>
      <w:r>
        <w:t xml:space="preserve"> </w:t>
      </w:r>
      <w:hyperlink r:id="rId121">
        <w:r>
          <w:rPr>
            <w:color w:val="226B88"/>
            <w:sz w:val="18"/>
          </w:rPr>
          <w:t>[R075]</w:t>
        </w:r>
      </w:hyperlink>
      <w:r>
        <w:t xml:space="preserve"> </w:t>
      </w:r>
      <w:hyperlink r:id="rId122">
        <w:r>
          <w:rPr>
            <w:color w:val="226B88"/>
            <w:sz w:val="18"/>
          </w:rPr>
          <w:t>[R076]</w:t>
        </w:r>
      </w:hyperlink>
      <w:r>
        <w:t xml:space="preserve"> </w:t>
      </w:r>
      <w:hyperlink r:id="rId123">
        <w:r>
          <w:rPr>
            <w:color w:val="226B88"/>
            <w:sz w:val="18"/>
          </w:rPr>
          <w:t>[R077]</w:t>
        </w:r>
      </w:hyperlink>
      <w:r>
        <w:t xml:space="preserve"> </w:t>
      </w:r>
      <w:hyperlink r:id="rId124">
        <w:r>
          <w:rPr>
            <w:color w:val="226B88"/>
            <w:sz w:val="18"/>
          </w:rPr>
          <w:t>[R079]</w:t>
        </w:r>
      </w:hyperlink>
      <w:r>
        <w:t xml:space="preserve"> </w:t>
      </w:r>
      <w:hyperlink r:id="rId125">
        <w:r>
          <w:rPr>
            <w:color w:val="226B88"/>
            <w:sz w:val="18"/>
          </w:rPr>
          <w:t>[R080]</w:t>
        </w:r>
      </w:hyperlink>
    </w:p>
    <w:p>
      <w:pPr>
        <w:pStyle w:val="Heading2"/>
      </w:pPr>
      <w:r>
        <w:t>3.5. Nichiren</w:t>
      </w:r>
    </w:p>
    <w:p>
      <w:r>
        <w:t>Для быстрого бесплатного чтения полезны Writings of Nichiren Daishonin I и II, но их конфессиональная редакция и условия сайта должны сопровождать ссылку. Для основных трактатов имеются отдельные BDK-переводы Risshō ankoku ron, Kanjin honzonshō и Kaimokushō, а также оригинальные SAT-входы. Chū Hokekyō 1681 года в Kyoto открывает исторический аннотированный сутровый слой. Selected Writings of Nichiren, под редакцией Yampolsky, добавлен как академический платный ориентир, не как полный gosho.</w:t>
      </w:r>
      <w:r>
        <w:t xml:space="preserve">  </w:t>
      </w:r>
      <w:hyperlink r:id="rId126">
        <w:r>
          <w:rPr>
            <w:color w:val="226B88"/>
            <w:sz w:val="18"/>
          </w:rPr>
          <w:t>[R006]</w:t>
        </w:r>
      </w:hyperlink>
      <w:r>
        <w:t xml:space="preserve"> </w:t>
      </w:r>
      <w:hyperlink r:id="rId127">
        <w:r>
          <w:rPr>
            <w:color w:val="226B88"/>
            <w:sz w:val="18"/>
          </w:rPr>
          <w:t>[R007]</w:t>
        </w:r>
      </w:hyperlink>
      <w:r>
        <w:t xml:space="preserve"> </w:t>
      </w:r>
      <w:hyperlink r:id="rId77">
        <w:r>
          <w:rPr>
            <w:color w:val="226B88"/>
            <w:sz w:val="18"/>
          </w:rPr>
          <w:t>[R060]</w:t>
        </w:r>
      </w:hyperlink>
      <w:r>
        <w:t xml:space="preserve"> </w:t>
      </w:r>
      <w:hyperlink r:id="rId32">
        <w:r>
          <w:rPr>
            <w:color w:val="226B88"/>
            <w:sz w:val="18"/>
          </w:rPr>
          <w:t>[R103]</w:t>
        </w:r>
      </w:hyperlink>
      <w:r>
        <w:t xml:space="preserve"> </w:t>
      </w:r>
      <w:hyperlink r:id="rId128">
        <w:r>
          <w:rPr>
            <w:color w:val="226B88"/>
            <w:sz w:val="18"/>
          </w:rPr>
          <w:t>[R104]</w:t>
        </w:r>
      </w:hyperlink>
      <w:r>
        <w:t xml:space="preserve"> </w:t>
      </w:r>
      <w:hyperlink r:id="rId129">
        <w:r>
          <w:rPr>
            <w:color w:val="226B88"/>
            <w:sz w:val="18"/>
          </w:rPr>
          <w:t>[R107]</w:t>
        </w:r>
      </w:hyperlink>
      <w:r>
        <w:t xml:space="preserve"> </w:t>
      </w:r>
      <w:hyperlink r:id="rId130">
        <w:r>
          <w:rPr>
            <w:color w:val="226B88"/>
            <w:sz w:val="18"/>
          </w:rPr>
          <w:t>[R108]</w:t>
        </w:r>
      </w:hyperlink>
      <w:r>
        <w:t xml:space="preserve"> </w:t>
      </w:r>
      <w:hyperlink r:id="rId131">
        <w:r>
          <w:rPr>
            <w:color w:val="226B88"/>
            <w:sz w:val="18"/>
          </w:rPr>
          <w:t>[R109]</w:t>
        </w:r>
      </w:hyperlink>
      <w:r>
        <w:t xml:space="preserve"> </w:t>
      </w:r>
      <w:hyperlink r:id="rId84">
        <w:r>
          <w:rPr>
            <w:color w:val="226B88"/>
            <w:sz w:val="18"/>
          </w:rPr>
          <w:t>[R131]</w:t>
        </w:r>
      </w:hyperlink>
    </w:p>
    <w:p>
      <w:pPr>
        <w:pStyle w:val="Heading2"/>
      </w:pPr>
      <w:r>
        <w:t>3.6. Gozan, Musō, Ikkyū и Jien</w:t>
      </w:r>
    </w:p>
    <w:p>
      <w:r>
        <w:t>Для Musō доступны оригинальные печатные Muchū mondōshū и goroku в Kyoto; современный английский Dialogues in a Dream имеет официальный путь покупки. Для Gozan — библиотечный каталог полного собрания и конкретный третий том NDL с ограниченным доступом. Собственные рабочие страницы Kūgeshū Gidō и Shōkenkō Zekkai ещё не подтверждены; общий каталог не маскирует этот пробел. У Ikkyū найден раннемодерный свидетель Kyōunshū в Yonezawa, но права изображения и современный перевод требуют продолжения.</w:t>
      </w:r>
      <w:r>
        <w:t xml:space="preserve">  </w:t>
      </w:r>
      <w:hyperlink r:id="rId28">
        <w:r>
          <w:rPr>
            <w:color w:val="226B88"/>
            <w:sz w:val="18"/>
          </w:rPr>
          <w:t>[R061]</w:t>
        </w:r>
      </w:hyperlink>
      <w:r>
        <w:t xml:space="preserve"> </w:t>
      </w:r>
      <w:hyperlink r:id="rId29">
        <w:r>
          <w:rPr>
            <w:color w:val="226B88"/>
            <w:sz w:val="18"/>
          </w:rPr>
          <w:t>[R073]</w:t>
        </w:r>
      </w:hyperlink>
      <w:r>
        <w:t xml:space="preserve"> </w:t>
      </w:r>
      <w:hyperlink r:id="rId46">
        <w:r>
          <w:rPr>
            <w:color w:val="226B88"/>
            <w:sz w:val="18"/>
          </w:rPr>
          <w:t>[R098]</w:t>
        </w:r>
      </w:hyperlink>
      <w:r>
        <w:t xml:space="preserve"> </w:t>
      </w:r>
      <w:hyperlink r:id="rId47">
        <w:r>
          <w:rPr>
            <w:color w:val="226B88"/>
            <w:sz w:val="18"/>
          </w:rPr>
          <w:t>[R099]</w:t>
        </w:r>
      </w:hyperlink>
      <w:r>
        <w:t xml:space="preserve"> </w:t>
      </w:r>
      <w:hyperlink r:id="rId132">
        <w:r>
          <w:rPr>
            <w:color w:val="226B88"/>
            <w:sz w:val="18"/>
          </w:rPr>
          <w:t>[R100]</w:t>
        </w:r>
      </w:hyperlink>
      <w:r>
        <w:t xml:space="preserve"> </w:t>
      </w:r>
      <w:hyperlink r:id="rId78">
        <w:r>
          <w:rPr>
            <w:color w:val="226B88"/>
            <w:sz w:val="18"/>
          </w:rPr>
          <w:t>[R127]</w:t>
        </w:r>
      </w:hyperlink>
    </w:p>
    <w:p>
      <w:r>
        <w:t>Для Gukanshō наиболее свободный оригинальный вход — факсимиле University of Tokyo, связанное с NIJL DOI 10.20730/100052672: изображения PDM, метаданные CC0. Современный японский комментарий Nakajima доступен через ограниченные сервисы NDL. Английский The Future and the Past Brown/Ishida идентифицирован через библиотечный каталог; конкретная удалённая выдача пользователю не обещается.</w:t>
      </w:r>
      <w:r>
        <w:t xml:space="preserve">  </w:t>
      </w:r>
      <w:hyperlink r:id="rId27">
        <w:r>
          <w:rPr>
            <w:color w:val="226B88"/>
            <w:sz w:val="18"/>
          </w:rPr>
          <w:t>[R055]</w:t>
        </w:r>
      </w:hyperlink>
      <w:r>
        <w:t xml:space="preserve"> </w:t>
      </w:r>
      <w:hyperlink r:id="rId133">
        <w:r>
          <w:rPr>
            <w:color w:val="226B88"/>
            <w:sz w:val="18"/>
          </w:rPr>
          <w:t>[R056]</w:t>
        </w:r>
      </w:hyperlink>
      <w:r>
        <w:t xml:space="preserve"> </w:t>
      </w:r>
      <w:hyperlink r:id="rId134">
        <w:r>
          <w:rPr>
            <w:color w:val="226B88"/>
            <w:sz w:val="18"/>
          </w:rPr>
          <w:t>[R057]</w:t>
        </w:r>
      </w:hyperlink>
    </w:p>
    <w:p>
      <w:pPr>
        <w:pStyle w:val="Heading2"/>
      </w:pPr>
      <w:r>
        <w:t>3.7. Материальные свидетели и данные</w:t>
      </w:r>
    </w:p>
    <w:p>
      <w:r>
        <w:t>Для ритуальных изображений и фрагментов сутр наиболее свободны конкретные Met-объекты: Scroll of Mudras, свиток Zuzōshō, Jingoji, Lotus-глава 19, Hyakumantō и Chūsonji. Каждый предмет — отдельный свидетель или фрагмент, не весь первоначальный комплект. Met API позволяет работать с их открытыми базовыми метаданными и PD-изображениями. Для более широкого иконографического поиска полезен SATi под CC BY-SA; для рукописей и архивов — конкретные Kyoto/NIJL item-level ссылки.</w:t>
      </w:r>
      <w:r>
        <w:t xml:space="preserve">  </w:t>
      </w:r>
      <w:hyperlink r:id="rId24">
        <w:r>
          <w:rPr>
            <w:color w:val="226B88"/>
            <w:sz w:val="18"/>
          </w:rPr>
          <w:t>[R047]</w:t>
        </w:r>
      </w:hyperlink>
      <w:r>
        <w:t xml:space="preserve"> </w:t>
      </w:r>
      <w:hyperlink r:id="rId135">
        <w:r>
          <w:rPr>
            <w:color w:val="226B88"/>
            <w:sz w:val="18"/>
          </w:rPr>
          <w:t>[R048]</w:t>
        </w:r>
      </w:hyperlink>
      <w:r>
        <w:t xml:space="preserve"> </w:t>
      </w:r>
      <w:hyperlink r:id="rId25">
        <w:r>
          <w:rPr>
            <w:color w:val="226B88"/>
            <w:sz w:val="18"/>
          </w:rPr>
          <w:t>[R049]</w:t>
        </w:r>
      </w:hyperlink>
      <w:r>
        <w:t xml:space="preserve"> </w:t>
      </w:r>
      <w:hyperlink r:id="rId136">
        <w:r>
          <w:rPr>
            <w:color w:val="226B88"/>
            <w:sz w:val="18"/>
          </w:rPr>
          <w:t>[R050]</w:t>
        </w:r>
      </w:hyperlink>
      <w:r>
        <w:t xml:space="preserve"> </w:t>
      </w:r>
      <w:hyperlink r:id="rId26">
        <w:r>
          <w:rPr>
            <w:color w:val="226B88"/>
            <w:sz w:val="18"/>
          </w:rPr>
          <w:t>[R051]</w:t>
        </w:r>
      </w:hyperlink>
      <w:r>
        <w:t xml:space="preserve"> </w:t>
      </w:r>
      <w:hyperlink r:id="rId31">
        <w:r>
          <w:rPr>
            <w:color w:val="226B88"/>
            <w:sz w:val="18"/>
          </w:rPr>
          <w:t>[R101]</w:t>
        </w:r>
      </w:hyperlink>
      <w:r>
        <w:t xml:space="preserve"> </w:t>
      </w:r>
      <w:hyperlink r:id="rId137">
        <w:r>
          <w:rPr>
            <w:color w:val="226B88"/>
            <w:sz w:val="18"/>
          </w:rPr>
          <w:t>[R117]</w:t>
        </w:r>
      </w:hyperlink>
      <w:r>
        <w:t xml:space="preserve"> </w:t>
      </w:r>
      <w:hyperlink r:id="rId13">
        <w:r>
          <w:rPr>
            <w:color w:val="226B88"/>
            <w:sz w:val="18"/>
          </w:rPr>
          <w:t>[R119]</w:t>
        </w:r>
      </w:hyperlink>
      <w:r>
        <w:t xml:space="preserve"> </w:t>
      </w:r>
      <w:hyperlink r:id="rId14">
        <w:r>
          <w:rPr>
            <w:color w:val="226B88"/>
            <w:sz w:val="18"/>
          </w:rPr>
          <w:t>[R120]</w:t>
        </w:r>
      </w:hyperlink>
      <w:r>
        <w:t xml:space="preserve"> </w:t>
      </w:r>
      <w:hyperlink r:id="rId55">
        <w:r>
          <w:rPr>
            <w:color w:val="226B88"/>
            <w:sz w:val="18"/>
          </w:rPr>
          <w:t>[R121]</w:t>
        </w:r>
      </w:hyperlink>
      <w:r>
        <w:t xml:space="preserve"> </w:t>
      </w:r>
      <w:hyperlink r:id="rId15">
        <w:r>
          <w:rPr>
            <w:color w:val="226B88"/>
            <w:sz w:val="18"/>
          </w:rPr>
          <w:t>[R122]</w:t>
        </w:r>
      </w:hyperlink>
    </w:p>
    <w:p>
      <w:pPr>
        <w:pStyle w:val="Heading1"/>
      </w:pPr>
      <w:r>
        <w:t>4. Карта прав и практического использования</w:t>
      </w:r>
    </w:p>
    <w:tbl>
      <w:tblPr>
        <w:tblW w:type="auto" w:w="0"/>
        <w:jc w:val="center"/>
        <w:tblLayout w:type="fixed"/>
        <w:tblLook w:firstColumn="1" w:firstRow="1" w:lastColumn="0" w:lastRow="0" w:noHBand="0" w:noVBand="1" w:val="04A0"/>
      </w:tblPr>
      <w:tblGrid>
        <w:gridCol w:w="3251"/>
        <w:gridCol w:w="3251"/>
        <w:gridCol w:w="3251"/>
      </w:tblGrid>
      <w:tr>
        <w:trPr>
          <w:cantSplit/>
          <w:tblHeader/>
        </w:trPr>
        <w:tc>
          <w:tcPr>
            <w:tcW w:type="dxa" w:w="1814"/>
            <w:vAlign w:val="top"/>
            <w:tcMar>
              <w:top w:w="85" w:type="dxa"/>
              <w:left w:w="85" w:type="dxa"/>
              <w:bottom w:w="85" w:type="dxa"/>
              <w:right w:w="85" w:type="dxa"/>
            </w:tcMar>
            <w:shd w:fill="183D4D"/>
          </w:tcPr>
          <w:p>
            <w:pPr>
              <w:spacing w:after="60" w:line="252" w:lineRule="auto"/>
            </w:pPr>
            <w:r>
              <w:rPr>
                <w:b/>
                <w:color w:val="FFFFFF"/>
                <w:sz w:val="19"/>
              </w:rPr>
              <w:t>Слой</w:t>
            </w:r>
          </w:p>
        </w:tc>
        <w:tc>
          <w:tcPr>
            <w:tcW w:type="dxa" w:w="3969"/>
            <w:vAlign w:val="top"/>
            <w:tcMar>
              <w:top w:w="85" w:type="dxa"/>
              <w:left w:w="85" w:type="dxa"/>
              <w:bottom w:w="85" w:type="dxa"/>
              <w:right w:w="85" w:type="dxa"/>
            </w:tcMar>
            <w:shd w:fill="183D4D"/>
          </w:tcPr>
          <w:p>
            <w:pPr>
              <w:spacing w:after="60" w:line="252" w:lineRule="auto"/>
            </w:pPr>
            <w:r>
              <w:rPr>
                <w:b/>
                <w:color w:val="FFFFFF"/>
                <w:sz w:val="19"/>
              </w:rPr>
              <w:t>Что практически допустимо</w:t>
            </w:r>
          </w:p>
        </w:tc>
        <w:tc>
          <w:tcPr>
            <w:tcW w:type="dxa" w:w="3969"/>
            <w:vAlign w:val="top"/>
            <w:tcMar>
              <w:top w:w="85" w:type="dxa"/>
              <w:left w:w="85" w:type="dxa"/>
              <w:bottom w:w="85" w:type="dxa"/>
              <w:right w:w="85" w:type="dxa"/>
            </w:tcMar>
            <w:shd w:fill="183D4D"/>
          </w:tcPr>
          <w:p>
            <w:pPr>
              <w:spacing w:after="60" w:line="252" w:lineRule="auto"/>
            </w:pPr>
            <w:r>
              <w:rPr>
                <w:b/>
                <w:color w:val="FFFFFF"/>
                <w:sz w:val="19"/>
              </w:rPr>
              <w:t>Что не следует выводить</w:t>
            </w:r>
          </w:p>
        </w:tc>
      </w:tr>
      <w:tr>
        <w:trPr>
          <w:cantSplit/>
        </w:trPr>
        <w:tc>
          <w:tcPr>
            <w:tcW w:type="dxa" w:w="1814"/>
            <w:vAlign w:val="top"/>
            <w:tcMar>
              <w:top w:w="85" w:type="dxa"/>
              <w:left w:w="85" w:type="dxa"/>
              <w:bottom w:w="85" w:type="dxa"/>
              <w:right w:w="85" w:type="dxa"/>
            </w:tcMar>
            <w:shd w:fill="F0F5F6"/>
          </w:tcPr>
          <w:p>
            <w:pPr>
              <w:spacing w:after="60" w:line="252" w:lineRule="auto"/>
            </w:pPr>
            <w:r>
              <w:rPr>
                <w:sz w:val="19"/>
              </w:rPr>
              <w:t>Kyoto: проверенные Main Library / Museum изображения</w:t>
            </w:r>
          </w:p>
        </w:tc>
        <w:tc>
          <w:tcPr>
            <w:tcW w:type="dxa" w:w="3969"/>
            <w:vAlign w:val="top"/>
            <w:tcMar>
              <w:top w:w="85" w:type="dxa"/>
              <w:left w:w="85" w:type="dxa"/>
              <w:bottom w:w="85" w:type="dxa"/>
              <w:right w:w="85" w:type="dxa"/>
            </w:tcMar>
            <w:shd w:fill="F0F5F6"/>
          </w:tcPr>
          <w:p>
            <w:pPr>
              <w:spacing w:after="60" w:line="252" w:lineRule="auto"/>
            </w:pPr>
            <w:r>
              <w:rPr>
                <w:sz w:val="19"/>
              </w:rPr>
              <w:t>Копирование, переработка, публикация с требуемым указанием источника и хранителя; собственная транскрипция покрытого свидетелем текста.</w:t>
            </w:r>
          </w:p>
        </w:tc>
        <w:tc>
          <w:tcPr>
            <w:tcW w:type="dxa" w:w="3969"/>
            <w:vAlign w:val="top"/>
            <w:tcMar>
              <w:top w:w="85" w:type="dxa"/>
              <w:left w:w="85" w:type="dxa"/>
              <w:bottom w:w="85" w:type="dxa"/>
              <w:right w:w="85" w:type="dxa"/>
            </w:tcMar>
            <w:shd w:fill="F0F5F6"/>
          </w:tcPr>
          <w:p>
            <w:pPr>
              <w:spacing w:after="60" w:line="252" w:lineRule="auto"/>
            </w:pPr>
            <w:r>
              <w:rPr>
                <w:sz w:val="19"/>
              </w:rPr>
              <w:t>Что весь каталог CC0, что права любого японского храма совпадают или что поздняя копия — авторский оригинал.</w:t>
            </w:r>
          </w:p>
        </w:tc>
      </w:tr>
      <w:tr>
        <w:trPr>
          <w:cantSplit/>
        </w:trPr>
        <w:tc>
          <w:tcPr>
            <w:tcW w:type="dxa" w:w="1814"/>
            <w:vAlign w:val="top"/>
            <w:tcMar>
              <w:top w:w="85" w:type="dxa"/>
              <w:left w:w="85" w:type="dxa"/>
              <w:bottom w:w="85" w:type="dxa"/>
              <w:right w:w="85" w:type="dxa"/>
            </w:tcMar>
            <w:shd w:fill="FFFFFF"/>
          </w:tcPr>
          <w:p>
            <w:pPr>
              <w:spacing w:after="60" w:line="252" w:lineRule="auto"/>
            </w:pPr>
            <w:r>
              <w:rPr>
                <w:sz w:val="19"/>
              </w:rPr>
              <w:t>NINJAL Shittanzō</w:t>
            </w:r>
          </w:p>
        </w:tc>
        <w:tc>
          <w:tcPr>
            <w:tcW w:type="dxa" w:w="3969"/>
            <w:vAlign w:val="top"/>
            <w:tcMar>
              <w:top w:w="85" w:type="dxa"/>
              <w:left w:w="85" w:type="dxa"/>
              <w:bottom w:w="85" w:type="dxa"/>
              <w:right w:w="85" w:type="dxa"/>
            </w:tcMar>
            <w:shd w:fill="FFFFFF"/>
          </w:tcPr>
          <w:p>
            <w:pPr>
              <w:spacing w:after="60" w:line="252" w:lineRule="auto"/>
            </w:pPr>
            <w:r>
              <w:rPr>
                <w:sz w:val="19"/>
              </w:rPr>
              <w:t>CC BY 4.0 для изображений двух рукописных томов; атрибуция, отметка изменений.</w:t>
            </w:r>
          </w:p>
        </w:tc>
        <w:tc>
          <w:tcPr>
            <w:tcW w:type="dxa" w:w="3969"/>
            <w:vAlign w:val="top"/>
            <w:tcMar>
              <w:top w:w="85" w:type="dxa"/>
              <w:left w:w="85" w:type="dxa"/>
              <w:bottom w:w="85" w:type="dxa"/>
              <w:right w:w="85" w:type="dxa"/>
            </w:tcMar>
            <w:shd w:fill="FFFFFF"/>
          </w:tcPr>
          <w:p>
            <w:pPr>
              <w:spacing w:after="60" w:line="252" w:lineRule="auto"/>
            </w:pPr>
            <w:r>
              <w:rPr>
                <w:sz w:val="19"/>
              </w:rPr>
              <w:t>Что открыты все восемь томов или что NINJAL разрешает использование всех иных материалов сайта.</w:t>
            </w:r>
          </w:p>
        </w:tc>
      </w:tr>
      <w:tr>
        <w:trPr>
          <w:cantSplit/>
        </w:trPr>
        <w:tc>
          <w:tcPr>
            <w:tcW w:type="dxa" w:w="1814"/>
            <w:vAlign w:val="top"/>
            <w:tcMar>
              <w:top w:w="85" w:type="dxa"/>
              <w:left w:w="85" w:type="dxa"/>
              <w:bottom w:w="85" w:type="dxa"/>
              <w:right w:w="85" w:type="dxa"/>
            </w:tcMar>
            <w:shd w:fill="F0F5F6"/>
          </w:tcPr>
          <w:p>
            <w:pPr>
              <w:spacing w:after="60" w:line="252" w:lineRule="auto"/>
            </w:pPr>
            <w:r>
              <w:rPr>
                <w:sz w:val="19"/>
              </w:rPr>
              <w:t>Met / Gukanshō UTokyo</w:t>
            </w:r>
          </w:p>
        </w:tc>
        <w:tc>
          <w:tcPr>
            <w:tcW w:type="dxa" w:w="3969"/>
            <w:vAlign w:val="top"/>
            <w:tcMar>
              <w:top w:w="85" w:type="dxa"/>
              <w:left w:w="85" w:type="dxa"/>
              <w:bottom w:w="85" w:type="dxa"/>
              <w:right w:w="85" w:type="dxa"/>
            </w:tcMar>
            <w:shd w:fill="F0F5F6"/>
          </w:tcPr>
          <w:p>
            <w:pPr>
              <w:spacing w:after="60" w:line="252" w:lineRule="auto"/>
            </w:pPr>
            <w:r>
              <w:rPr>
                <w:sz w:val="19"/>
              </w:rPr>
              <w:t>CC0 для обозначенных OA-компонентов Met; PDM-изображения и CC0-метаданные конкретного Gukanshō.</w:t>
            </w:r>
          </w:p>
        </w:tc>
        <w:tc>
          <w:tcPr>
            <w:tcW w:type="dxa" w:w="3969"/>
            <w:vAlign w:val="top"/>
            <w:tcMar>
              <w:top w:w="85" w:type="dxa"/>
              <w:left w:w="85" w:type="dxa"/>
              <w:bottom w:w="85" w:type="dxa"/>
              <w:right w:w="85" w:type="dxa"/>
            </w:tcMar>
            <w:shd w:fill="F0F5F6"/>
          </w:tcPr>
          <w:p>
            <w:pPr>
              <w:spacing w:after="60" w:line="252" w:lineRule="auto"/>
            </w:pPr>
            <w:r>
              <w:rPr>
                <w:sz w:val="19"/>
              </w:rPr>
              <w:t>Что свободны кураторские эссе Met, все чужие изображения или современные переводы произведений.</w:t>
            </w:r>
          </w:p>
        </w:tc>
      </w:tr>
      <w:tr>
        <w:trPr>
          <w:cantSplit/>
        </w:trPr>
        <w:tc>
          <w:tcPr>
            <w:tcW w:type="dxa" w:w="1814"/>
            <w:vAlign w:val="top"/>
            <w:tcMar>
              <w:top w:w="85" w:type="dxa"/>
              <w:left w:w="85" w:type="dxa"/>
              <w:bottom w:w="85" w:type="dxa"/>
              <w:right w:w="85" w:type="dxa"/>
            </w:tcMar>
            <w:shd w:fill="FFFFFF"/>
          </w:tcPr>
          <w:p>
            <w:pPr>
              <w:spacing w:after="60" w:line="252" w:lineRule="auto"/>
            </w:pPr>
            <w:r>
              <w:rPr>
                <w:sz w:val="19"/>
              </w:rPr>
              <w:t>SATi / CBETA</w:t>
            </w:r>
          </w:p>
        </w:tc>
        <w:tc>
          <w:tcPr>
            <w:tcW w:type="dxa" w:w="3969"/>
            <w:vAlign w:val="top"/>
            <w:tcMar>
              <w:top w:w="85" w:type="dxa"/>
              <w:left w:w="85" w:type="dxa"/>
              <w:bottom w:w="85" w:type="dxa"/>
              <w:right w:w="85" w:type="dxa"/>
            </w:tcMar>
            <w:shd w:fill="FFFFFF"/>
          </w:tcPr>
          <w:p>
            <w:pPr>
              <w:spacing w:after="60" w:line="252" w:lineRule="auto"/>
            </w:pPr>
            <w:r>
              <w:rPr>
                <w:sz w:val="19"/>
              </w:rPr>
              <w:t>SATi: CC BY-SA 4.0. CBETA: подтверждённый слой категории A, CC BY-NC-SA 4.0 и условия проекта.</w:t>
            </w:r>
          </w:p>
        </w:tc>
        <w:tc>
          <w:tcPr>
            <w:tcW w:type="dxa" w:w="3969"/>
            <w:vAlign w:val="top"/>
            <w:tcMar>
              <w:top w:w="85" w:type="dxa"/>
              <w:left w:w="85" w:type="dxa"/>
              <w:bottom w:w="85" w:type="dxa"/>
              <w:right w:w="85" w:type="dxa"/>
            </w:tcMar>
            <w:shd w:fill="FFFFFF"/>
          </w:tcPr>
          <w:p>
            <w:pPr>
              <w:spacing w:after="60" w:line="252" w:lineRule="auto"/>
            </w:pPr>
            <w:r>
              <w:rPr>
                <w:sz w:val="19"/>
              </w:rPr>
              <w:t>Что лицензия SATi действует на SAT-текст; что весь CBETA одинаково лицензирован и содержит японские тома56–84.</w:t>
            </w:r>
          </w:p>
        </w:tc>
      </w:tr>
      <w:tr>
        <w:trPr>
          <w:cantSplit/>
        </w:trPr>
        <w:tc>
          <w:tcPr>
            <w:tcW w:type="dxa" w:w="1814"/>
            <w:vAlign w:val="top"/>
            <w:tcMar>
              <w:top w:w="85" w:type="dxa"/>
              <w:left w:w="85" w:type="dxa"/>
              <w:bottom w:w="85" w:type="dxa"/>
              <w:right w:w="85" w:type="dxa"/>
            </w:tcMar>
            <w:shd w:fill="F0F5F6"/>
          </w:tcPr>
          <w:p>
            <w:pPr>
              <w:spacing w:after="60" w:line="252" w:lineRule="auto"/>
            </w:pPr>
            <w:r>
              <w:rPr>
                <w:sz w:val="19"/>
              </w:rPr>
              <w:t>BDK / CWS / Nichiren / SOTOZEN / издатели</w:t>
            </w:r>
          </w:p>
        </w:tc>
        <w:tc>
          <w:tcPr>
            <w:tcW w:type="dxa" w:w="3969"/>
            <w:vAlign w:val="top"/>
            <w:tcMar>
              <w:top w:w="85" w:type="dxa"/>
              <w:left w:w="85" w:type="dxa"/>
              <w:bottom w:w="85" w:type="dxa"/>
              <w:right w:w="85" w:type="dxa"/>
            </w:tcMar>
            <w:shd w:fill="F0F5F6"/>
          </w:tcPr>
          <w:p>
            <w:pPr>
              <w:spacing w:after="60" w:line="252" w:lineRule="auto"/>
            </w:pPr>
            <w:r>
              <w:rPr>
                <w:sz w:val="19"/>
              </w:rPr>
              <w:t>Чтение, индивидуальные копии там, где разрешены; preview, каталог, институциональный доступ или покупка.</w:t>
            </w:r>
          </w:p>
        </w:tc>
        <w:tc>
          <w:tcPr>
            <w:tcW w:type="dxa" w:w="3969"/>
            <w:vAlign w:val="top"/>
            <w:tcMar>
              <w:top w:w="85" w:type="dxa"/>
              <w:left w:w="85" w:type="dxa"/>
              <w:bottom w:w="85" w:type="dxa"/>
              <w:right w:w="85" w:type="dxa"/>
            </w:tcMar>
            <w:shd w:fill="F0F5F6"/>
          </w:tcPr>
          <w:p>
            <w:pPr>
              <w:spacing w:after="60" w:line="252" w:lineRule="auto"/>
            </w:pPr>
            <w:r>
              <w:rPr>
                <w:sz w:val="19"/>
              </w:rPr>
              <w:t>Что бесплатность или отсутствие планов продаж дают право на зеркало, новый публичный индекс, embeddings или перевод с защищённого посредника.</w:t>
            </w:r>
          </w:p>
        </w:tc>
      </w:tr>
    </w:tbl>
    <w:p>
      <w:pPr>
        <w:spacing w:after="0"/>
      </w:pPr>
    </w:p>
    <w:p>
      <w:r>
        <w:t>Потенциальное зеркалирование в пакете основано на item-level изображениях и явно лицензированных компонентах, а не на возрасте буддизма. Kyoto разрешает нужные действия для указанных хранителей по собственным условиям; NINJAL применяет CC BY; Met — CC0 к определённому открытому слою. PDM у Gukanshō — заявление о статусе, не лицензия. Для NDL-дневника Ennin PDM подтверждён в карточках, но редактирование и фактическая выдача изображений не прошли такую же полную проверку.</w:t>
      </w:r>
      <w:r>
        <w:t xml:space="preserve">  </w:t>
      </w:r>
      <w:hyperlink r:id="rId27">
        <w:r>
          <w:rPr>
            <w:color w:val="226B88"/>
            <w:sz w:val="18"/>
          </w:rPr>
          <w:t>[R055]</w:t>
        </w:r>
      </w:hyperlink>
      <w:r>
        <w:t xml:space="preserve"> </w:t>
      </w:r>
      <w:hyperlink r:id="rId16">
        <w:r>
          <w:rPr>
            <w:color w:val="226B88"/>
            <w:sz w:val="18"/>
          </w:rPr>
          <w:t>[R125]</w:t>
        </w:r>
      </w:hyperlink>
      <w:r>
        <w:t xml:space="preserve"> </w:t>
      </w:r>
      <w:hyperlink r:id="rId79">
        <w:r>
          <w:rPr>
            <w:color w:val="226B88"/>
            <w:sz w:val="18"/>
          </w:rPr>
          <w:t>[R126]</w:t>
        </w:r>
      </w:hyperlink>
      <w:r>
        <w:t xml:space="preserve"> </w:t>
      </w:r>
      <w:hyperlink r:id="rId138">
        <w:r>
          <w:rPr>
            <w:color w:val="226B88"/>
            <w:sz w:val="18"/>
          </w:rPr>
          <w:t>Kyoto: reuse</w:t>
        </w:r>
      </w:hyperlink>
      <w:r>
        <w:t xml:space="preserve"> </w:t>
      </w:r>
      <w:hyperlink r:id="rId139">
        <w:r>
          <w:rPr>
            <w:color w:val="226B88"/>
            <w:sz w:val="18"/>
          </w:rPr>
          <w:t>Met: Open Access</w:t>
        </w:r>
      </w:hyperlink>
    </w:p>
    <w:p>
      <w:r>
        <w:t>Некоммерческий CBETA-слой не исключён. Безопасно рекомендованное применение — неизменённое некоммерческое перераспространение проверенных Taishō XML категории A с атрибуцией, полной оговоркой о правах, версией и ShareAlike. Для переработанной реконструкции, собственного перевода и публичных embeddings выставлен RIGHTS_REVIEW_REQUIRED из-за формулировок проекта о содержании и 改作. Это не переименование CC BY-NC-SA в NoDerivatives: неоднозначность прямо сохранена.</w:t>
      </w:r>
      <w:r>
        <w:t xml:space="preserve">  </w:t>
      </w:r>
      <w:hyperlink r:id="rId11">
        <w:r>
          <w:rPr>
            <w:color w:val="226B88"/>
            <w:sz w:val="18"/>
          </w:rPr>
          <w:t>[R115]</w:t>
        </w:r>
      </w:hyperlink>
      <w:r>
        <w:t xml:space="preserve"> </w:t>
      </w:r>
      <w:hyperlink r:id="rId140">
        <w:r>
          <w:rPr>
            <w:color w:val="226B88"/>
            <w:sz w:val="18"/>
          </w:rPr>
          <w:t>CBETA: copyright</w:t>
        </w:r>
      </w:hyperlink>
    </w:p>
    <w:p>
      <w:r>
        <w:t>Подтверждённого самостоятельного материала под CC BY-ND / CC BY-NC-ND, который стоило бы включить с разрешением распространения только неизменённым, в этой подборке нет. Условие «личная копия без перераспространения» у BDK или Nichiren Library — не ND-лицензия и не основание тега UNCHANGED_ONLY для публичного зеркала. Публичный индекс, OCR и embeddings не объединены в одно разрешение: для защищённых переводов положительных тегов на эти действия нет.</w:t>
      </w:r>
      <w:r>
        <w:t xml:space="preserve">  </w:t>
      </w:r>
      <w:hyperlink r:id="rId141">
        <w:r>
          <w:rPr>
            <w:color w:val="226B88"/>
            <w:sz w:val="18"/>
          </w:rPr>
          <w:t>BDK: free PDF terms</w:t>
        </w:r>
      </w:hyperlink>
      <w:r>
        <w:t xml:space="preserve"> </w:t>
      </w:r>
      <w:hyperlink r:id="rId142">
        <w:r>
          <w:rPr>
            <w:color w:val="226B88"/>
            <w:sz w:val="18"/>
          </w:rPr>
          <w:t>Nichiren Library: terms</w:t>
        </w:r>
      </w:hyperlink>
    </w:p>
    <w:p>
      <w:r>
        <w:t>OWN_TRANSLATION_POSSIBLE поставлен только там, где названа чистая основа: например, конкретное Kyoto-факсимиле, два тома NINJAL, исторический Gukanshō или разрешённый отдельный фрагмент. Такой тег не обещает научной достаточности одного свидетеля. Переводчик должен заново прочитать изображение, отмечать лакуны и не заимствовать защищённую современную реконструкцию. Для перевода по BDK/CWS/Wisdom/SUNY или по неясной русской версии безусловного разрешения нет.</w:t>
      </w:r>
      <w:r>
        <w:t xml:space="preserve">  </w:t>
      </w:r>
      <w:hyperlink r:id="rId27">
        <w:r>
          <w:rPr>
            <w:color w:val="226B88"/>
            <w:sz w:val="18"/>
          </w:rPr>
          <w:t>[R055]</w:t>
        </w:r>
      </w:hyperlink>
      <w:r>
        <w:t xml:space="preserve"> </w:t>
      </w:r>
      <w:hyperlink r:id="rId48">
        <w:r>
          <w:rPr>
            <w:color w:val="226B88"/>
            <w:sz w:val="18"/>
          </w:rPr>
          <w:t>[R124]</w:t>
        </w:r>
      </w:hyperlink>
      <w:r>
        <w:t xml:space="preserve"> </w:t>
      </w:r>
      <w:hyperlink r:id="rId16">
        <w:r>
          <w:rPr>
            <w:color w:val="226B88"/>
            <w:sz w:val="18"/>
          </w:rPr>
          <w:t>[R125]</w:t>
        </w:r>
      </w:hyperlink>
      <w:r>
        <w:t xml:space="preserve"> </w:t>
      </w:r>
      <w:hyperlink r:id="rId80">
        <w:r>
          <w:rPr>
            <w:color w:val="226B88"/>
            <w:sz w:val="18"/>
          </w:rPr>
          <w:t>[R058]</w:t>
        </w:r>
      </w:hyperlink>
      <w:r>
        <w:t xml:space="preserve"> </w:t>
      </w:r>
      <w:hyperlink r:id="rId83">
        <w:r>
          <w:rPr>
            <w:color w:val="226B88"/>
            <w:sz w:val="18"/>
          </w:rPr>
          <w:t>[R128]</w:t>
        </w:r>
      </w:hyperlink>
    </w:p>
    <w:p>
      <w:pPr>
        <w:pStyle w:val="Heading1"/>
      </w:pPr>
      <w:r>
        <w:t>5. Характерные правовые и текстологические тонкости</w:t>
      </w:r>
    </w:p>
    <w:p>
      <w:pPr>
        <w:pStyle w:val="Heading2"/>
      </w:pPr>
      <w:r>
        <w:t>Разные SAT — разные права</w:t>
      </w:r>
    </w:p>
    <w:p>
      <w:r>
        <w:t>Обычная SAT Text Database разрешает академическое некоммерческое использование, но не перераспространение базы даже без прибыли. SAT Taishōzō Image DB имеет собственную CC BY-SA 4.0. Экспериментальный TEI Shōmangyōgisho не наследует лицензию Image DB только по общему названию SAT. Раздельные записи нужны именно для предотвращения такого переноса прав.</w:t>
      </w:r>
      <w:r>
        <w:t xml:space="preserve">  </w:t>
      </w:r>
      <w:hyperlink r:id="rId12">
        <w:r>
          <w:rPr>
            <w:color w:val="226B88"/>
            <w:sz w:val="18"/>
          </w:rPr>
          <w:t>[R116]</w:t>
        </w:r>
      </w:hyperlink>
      <w:r>
        <w:t xml:space="preserve"> </w:t>
      </w:r>
      <w:hyperlink r:id="rId137">
        <w:r>
          <w:rPr>
            <w:color w:val="226B88"/>
            <w:sz w:val="18"/>
          </w:rPr>
          <w:t>[R117]</w:t>
        </w:r>
      </w:hyperlink>
      <w:r>
        <w:t xml:space="preserve"> </w:t>
      </w:r>
      <w:hyperlink r:id="rId71">
        <w:r>
          <w:rPr>
            <w:color w:val="226B88"/>
            <w:sz w:val="18"/>
          </w:rPr>
          <w:t>[R118]</w:t>
        </w:r>
      </w:hyperlink>
      <w:r>
        <w:t xml:space="preserve"> </w:t>
      </w:r>
      <w:hyperlink r:id="rId143">
        <w:r>
          <w:rPr>
            <w:color w:val="226B88"/>
            <w:sz w:val="18"/>
          </w:rPr>
          <w:t>SAT Text: условия</w:t>
        </w:r>
      </w:hyperlink>
    </w:p>
    <w:p>
      <w:pPr>
        <w:pStyle w:val="Heading2"/>
      </w:pPr>
      <w:r>
        <w:t>Доступный перевод — не свободный текст</w:t>
      </w:r>
    </w:p>
    <w:p>
      <w:r>
        <w:t>BDK предлагает download для индивидуального некоммерческого пользования, а не лицензию ToS на публичное распространение. CWS сообщает ©1997 Hongwanji-ha и разрешение, полученное самим сайтом; это не сублицензия любому посетителю. У SOTOZEN отдельно оговорено предварительное согласование публичных глубоких ссылок; поэтому соответствующие записи не получают безусловный LINK_OK. Лицензии и условия библиотек могут быть более узкими, чем техническая возможность сохранить страницу.</w:t>
      </w:r>
      <w:r>
        <w:t xml:space="preserve">  </w:t>
      </w:r>
      <w:hyperlink r:id="rId21">
        <w:r>
          <w:rPr>
            <w:color w:val="226B88"/>
            <w:sz w:val="18"/>
          </w:rPr>
          <w:t>[R022]</w:t>
        </w:r>
      </w:hyperlink>
      <w:r>
        <w:t xml:space="preserve"> </w:t>
      </w:r>
      <w:hyperlink r:id="rId22">
        <w:r>
          <w:rPr>
            <w:color w:val="226B88"/>
            <w:sz w:val="18"/>
          </w:rPr>
          <w:t>[R023]</w:t>
        </w:r>
      </w:hyperlink>
      <w:r>
        <w:t xml:space="preserve"> </w:t>
      </w:r>
      <w:hyperlink r:id="rId23">
        <w:r>
          <w:rPr>
            <w:color w:val="226B88"/>
            <w:sz w:val="18"/>
          </w:rPr>
          <w:t>[R036]</w:t>
        </w:r>
      </w:hyperlink>
      <w:r>
        <w:t xml:space="preserve"> </w:t>
      </w:r>
      <w:hyperlink r:id="rId141">
        <w:r>
          <w:rPr>
            <w:color w:val="226B88"/>
            <w:sz w:val="18"/>
          </w:rPr>
          <w:t>BDK: условия</w:t>
        </w:r>
      </w:hyperlink>
      <w:r>
        <w:t xml:space="preserve"> </w:t>
      </w:r>
      <w:hyperlink r:id="rId144">
        <w:r>
          <w:rPr>
            <w:color w:val="226B88"/>
            <w:sz w:val="18"/>
          </w:rPr>
          <w:t>SOTOZEN: copyright</w:t>
        </w:r>
      </w:hyperlink>
    </w:p>
    <w:p>
      <w:pPr>
        <w:pStyle w:val="Heading2"/>
      </w:pPr>
      <w:r>
        <w:t>Издание, носитель и полный корпус не совпадают</w:t>
      </w:r>
    </w:p>
    <w:p>
      <w:r>
        <w:t>95 глав Shōbōgenzō не равны всем редакциям; juko не равен всему Eihei kōroku; два тома Shittanzō — не восемь; 80 канонических Ofumi — не вся переписка; один Zuzōshō — не полный иконографический комплект. Права на изображение разрешают работу с тем, что изображено, но не позволяют восполнить недостающие части защищённым изданием. В реестре это контролируется одновременно coverage, rights_scope, own_translation_basis и notes.</w:t>
      </w:r>
      <w:r>
        <w:t xml:space="preserve">  </w:t>
      </w:r>
      <w:hyperlink r:id="rId106">
        <w:r>
          <w:rPr>
            <w:color w:val="226B88"/>
            <w:sz w:val="18"/>
          </w:rPr>
          <w:t>[R004]</w:t>
        </w:r>
      </w:hyperlink>
      <w:r>
        <w:t xml:space="preserve"> </w:t>
      </w:r>
      <w:hyperlink r:id="rId21">
        <w:r>
          <w:rPr>
            <w:color w:val="226B88"/>
            <w:sz w:val="18"/>
          </w:rPr>
          <w:t>[R022]</w:t>
        </w:r>
      </w:hyperlink>
      <w:r>
        <w:t xml:space="preserve"> </w:t>
      </w:r>
      <w:hyperlink r:id="rId115">
        <w:r>
          <w:rPr>
            <w:color w:val="226B88"/>
            <w:sz w:val="18"/>
          </w:rPr>
          <w:t>[R032]</w:t>
        </w:r>
      </w:hyperlink>
      <w:r>
        <w:t xml:space="preserve"> </w:t>
      </w:r>
      <w:hyperlink r:id="rId135">
        <w:r>
          <w:rPr>
            <w:color w:val="226B88"/>
            <w:sz w:val="18"/>
          </w:rPr>
          <w:t>[R048]</w:t>
        </w:r>
      </w:hyperlink>
      <w:r>
        <w:t xml:space="preserve"> </w:t>
      </w:r>
      <w:hyperlink r:id="rId16">
        <w:r>
          <w:rPr>
            <w:color w:val="226B88"/>
            <w:sz w:val="18"/>
          </w:rPr>
          <w:t>[R125]</w:t>
        </w:r>
      </w:hyperlink>
    </w:p>
    <w:p>
      <w:pPr>
        <w:pStyle w:val="Heading2"/>
      </w:pPr>
      <w:r>
        <w:t>Каталожные расхождения сохранены</w:t>
      </w:r>
    </w:p>
    <w:p>
      <w:r>
        <w:t>Для Hiuchi shidai источник DR и описание коллекции называют 1185 год, тогда как item-level запись даёт 文治4年11月, то есть 1188, с пометой «(原)». Пакет не выбирает произвольную «правильную» дату и не исправляет исходный DR: конфликт вынесен в G018 для чтения колофона. Сходным образом различены блоки Rongo 1533 года и поздний оттиск; у SUNY/Google Books зафиксировано расхождение года и пагинации Eihei shingi.</w:t>
      </w:r>
      <w:r>
        <w:t xml:space="preserve">  </w:t>
      </w:r>
      <w:hyperlink r:id="rId52">
        <w:r>
          <w:rPr>
            <w:color w:val="226B88"/>
            <w:sz w:val="18"/>
          </w:rPr>
          <w:t>[R094]</w:t>
        </w:r>
      </w:hyperlink>
      <w:r>
        <w:t xml:space="preserve"> </w:t>
      </w:r>
      <w:hyperlink r:id="rId30">
        <w:r>
          <w:rPr>
            <w:color w:val="226B88"/>
            <w:sz w:val="18"/>
          </w:rPr>
          <w:t>[R095]</w:t>
        </w:r>
      </w:hyperlink>
      <w:r>
        <w:t xml:space="preserve"> </w:t>
      </w:r>
      <w:hyperlink r:id="rId83">
        <w:r>
          <w:rPr>
            <w:color w:val="226B88"/>
            <w:sz w:val="18"/>
          </w:rPr>
          <w:t>[R128]</w:t>
        </w:r>
      </w:hyperlink>
      <w:r>
        <w:t xml:space="preserve"> </w:t>
      </w:r>
      <w:hyperlink r:id="rId118">
        <w:r>
          <w:rPr>
            <w:color w:val="226B88"/>
            <w:sz w:val="18"/>
          </w:rPr>
          <w:t>[R129]</w:t>
        </w:r>
      </w:hyperlink>
    </w:p>
    <w:p>
      <w:pPr>
        <w:pStyle w:val="Heading2"/>
      </w:pPr>
      <w:r>
        <w:t>Public Domain в США и цифровой сервис</w:t>
      </w:r>
    </w:p>
    <w:p>
      <w:r>
        <w:t>У Project Gutenberg Buddhist Psalms обозначен как public domain в США. Старое издание Kern 1884 года найдено на Internet Archive с университетским происхождением и соответствующей отметкой, а не просто как пользовательская загрузка. Пакет не объявляет оба объекта безусловно свободными во всех странах; отдельно учитываются срок охраны переводчика, издательский слой и условия платформы. PDM в библиотечной карточке и CC0-отказ от прав — разные механизмы.</w:t>
      </w:r>
      <w:r>
        <w:t xml:space="preserve">  </w:t>
      </w:r>
      <w:hyperlink r:id="rId108">
        <w:r>
          <w:rPr>
            <w:color w:val="226B88"/>
            <w:sz w:val="18"/>
          </w:rPr>
          <w:t>[R081]</w:t>
        </w:r>
      </w:hyperlink>
      <w:r>
        <w:t xml:space="preserve"> </w:t>
      </w:r>
      <w:hyperlink r:id="rId145">
        <w:r>
          <w:rPr>
            <w:color w:val="226B88"/>
            <w:sz w:val="18"/>
          </w:rPr>
          <w:t>[R082]</w:t>
        </w:r>
      </w:hyperlink>
      <w:r>
        <w:t xml:space="preserve"> </w:t>
      </w:r>
      <w:hyperlink r:id="rId79">
        <w:r>
          <w:rPr>
            <w:color w:val="226B88"/>
            <w:sz w:val="18"/>
          </w:rPr>
          <w:t>[R126]</w:t>
        </w:r>
      </w:hyperlink>
    </w:p>
    <w:p>
      <w:r>
        <w:t>Технические сервисы тоже имеют границы. NDL у тома Gozan прямо исключает личную удалённую передачу для проживающих вне Японии. Met объявил новый paginated search endpoint 04.09.2026 и предстоящее снятие старого поиска; это отмечено в API-записи, но не превращено в отдельный инженерный проект. IIIF сам по себе — формат доступа, не лицензия.</w:t>
      </w:r>
      <w:r>
        <w:t xml:space="preserve">  </w:t>
      </w:r>
      <w:hyperlink r:id="rId13">
        <w:r>
          <w:rPr>
            <w:color w:val="226B88"/>
            <w:sz w:val="18"/>
          </w:rPr>
          <w:t>[R119]</w:t>
        </w:r>
      </w:hyperlink>
      <w:r>
        <w:t xml:space="preserve"> </w:t>
      </w:r>
      <w:hyperlink r:id="rId78">
        <w:r>
          <w:rPr>
            <w:color w:val="226B88"/>
            <w:sz w:val="18"/>
          </w:rPr>
          <w:t>[R127]</w:t>
        </w:r>
      </w:hyperlink>
    </w:p>
    <w:p>
      <w:pPr>
        <w:pStyle w:val="Heading1"/>
      </w:pPr>
      <w:r>
        <w:t>6. Пробелы и дальнейший поиск</w:t>
      </w:r>
    </w:p>
    <w:p>
      <w:r>
        <w:t>Основное ограничение — глубина внутри больших традиций, а не отсутствие законных входов вообще. Все крупные якоря DR представлены; однако Gozan, средневековый hongaku, полные ритуальные серии и проверка отдельных gosho пока не образуют исчерпывающего каталога. Поиск остановлен на уровне проверенного широкого ядра и прямого хронологического ореола: полного насыщения области не заявляется. Конкретные оставшиеся кандидаты сохранены, а отсутствие проверенного файла не названо отсутствием произведения.</w:t>
      </w:r>
    </w:p>
    <w:p>
      <w:r>
        <w:t>Среди недостающих полных вариантов: современный проверенный EN/RU Ōjōyōshū, полный перевод Jūjūshinron, открытый полный kanbun Eihei kōroku, отдельные рабочие тексты Gidō/Zekkai, современный перевод Ikkyū и полное собрание дополнительных Ofumi. Современные Dōgen’s Extensive Record, Shōbōgenzō 2025, Eihei shingi, Hakeda и Yampolsky доступны главным образом покупкой; Gukanshō-комментарий и Gozan требуют библиотечных условий.</w:t>
      </w:r>
      <w:r>
        <w:t xml:space="preserve">  </w:t>
      </w:r>
      <w:hyperlink r:id="rId133">
        <w:r>
          <w:rPr>
            <w:color w:val="226B88"/>
            <w:sz w:val="18"/>
          </w:rPr>
          <w:t>[R056]</w:t>
        </w:r>
      </w:hyperlink>
      <w:r>
        <w:t xml:space="preserve"> </w:t>
      </w:r>
      <w:hyperlink r:id="rId80">
        <w:r>
          <w:rPr>
            <w:color w:val="226B88"/>
            <w:sz w:val="18"/>
          </w:rPr>
          <w:t>[R058]</w:t>
        </w:r>
      </w:hyperlink>
      <w:r>
        <w:t xml:space="preserve"> </w:t>
      </w:r>
      <w:hyperlink r:id="rId81">
        <w:r>
          <w:rPr>
            <w:color w:val="226B88"/>
            <w:sz w:val="18"/>
          </w:rPr>
          <w:t>[R059]</w:t>
        </w:r>
      </w:hyperlink>
      <w:r>
        <w:t xml:space="preserve"> </w:t>
      </w:r>
      <w:hyperlink r:id="rId82">
        <w:r>
          <w:rPr>
            <w:color w:val="226B88"/>
            <w:sz w:val="18"/>
          </w:rPr>
          <w:t>[R123]</w:t>
        </w:r>
      </w:hyperlink>
      <w:r>
        <w:t xml:space="preserve"> </w:t>
      </w:r>
      <w:hyperlink r:id="rId78">
        <w:r>
          <w:rPr>
            <w:color w:val="226B88"/>
            <w:sz w:val="18"/>
          </w:rPr>
          <w:t>[R127]</w:t>
        </w:r>
      </w:hyperlink>
      <w:r>
        <w:t xml:space="preserve"> </w:t>
      </w:r>
      <w:hyperlink r:id="rId83">
        <w:r>
          <w:rPr>
            <w:color w:val="226B88"/>
            <w:sz w:val="18"/>
          </w:rPr>
          <w:t>[R128]</w:t>
        </w:r>
      </w:hyperlink>
      <w:r>
        <w:t xml:space="preserve"> </w:t>
      </w:r>
      <w:hyperlink r:id="rId84">
        <w:r>
          <w:rPr>
            <w:color w:val="226B88"/>
            <w:sz w:val="18"/>
          </w:rPr>
          <w:t>[R131]</w:t>
        </w:r>
      </w:hyperlink>
    </w:p>
    <w:p>
      <w:r>
        <w:t>Технически не проверены или не открылись: собственные страницы IRIZ; часть NDL/UNESCO входов; XML SAT TEI; второй NINJAL manifest; OAPEN/UPL PDF Buddhist Asia; некоторые институциональные PDF и каталоги из адресного поиска. Во время повторного открытия издательская страница Buddhist Asia стала возвращать405. Ранее прочитанное оглавление сохранено как метаданные, но лицензия и полный файл не объявлены проверенными. Записи G017, G020 и G022 отделяют такой сбой от отсутствия цифрового издания.</w:t>
      </w:r>
      <w:r>
        <w:t xml:space="preserve">  </w:t>
      </w:r>
      <w:hyperlink r:id="rId71">
        <w:r>
          <w:rPr>
            <w:color w:val="226B88"/>
            <w:sz w:val="18"/>
          </w:rPr>
          <w:t>[R118]</w:t>
        </w:r>
      </w:hyperlink>
      <w:r>
        <w:t xml:space="preserve"> </w:t>
      </w:r>
      <w:hyperlink r:id="rId16">
        <w:r>
          <w:rPr>
            <w:color w:val="226B88"/>
            <w:sz w:val="18"/>
          </w:rPr>
          <w:t>[R125]</w:t>
        </w:r>
      </w:hyperlink>
      <w:r>
        <w:t xml:space="preserve"> </w:t>
      </w:r>
      <w:hyperlink r:id="rId146">
        <w:r>
          <w:rPr>
            <w:color w:val="226B88"/>
            <w:sz w:val="18"/>
          </w:rPr>
          <w:t>[R130]</w:t>
        </w:r>
      </w:hyperlink>
    </w:p>
    <w:p>
      <w:r>
        <w:t>Связанные внепериодные кандидаты не отброшены: редакторская линия Shōbōgenzō, дальнейшие монастырские правила Keizan, дополнительные Rennyo-собрания, поздние Gozan-компиляции, комментарии к Genshin и переводы-посредники. Для новых петиций Jōkei/Enryakuji и Hajaken shōshō Zonkaku оглавление подтвердило источник, но самостоятельные оригинальные издания ещё предстоит проверить. Для Bunkyō hifuron, Shōryōshū и hongaku-кандидатов остаётся необходимым сильное подтверждение точной версии и атрибуции — они не представлены в registry как будто уже доступные полные тексты.</w:t>
      </w:r>
    </w:p>
    <w:p>
      <w:pPr>
        <w:pStyle w:val="Heading2"/>
      </w:pPr>
      <w:r>
        <w:t>Восемь адресных направлений</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3005"/>
            <w:vAlign w:val="top"/>
            <w:tcMar>
              <w:top w:w="85" w:type="dxa"/>
              <w:left w:w="85" w:type="dxa"/>
              <w:bottom w:w="85" w:type="dxa"/>
              <w:right w:w="85" w:type="dxa"/>
            </w:tcMar>
            <w:shd w:fill="183D4D"/>
          </w:tcPr>
          <w:p>
            <w:pPr>
              <w:spacing w:after="60" w:line="252" w:lineRule="auto"/>
            </w:pPr>
            <w:r>
              <w:rPr>
                <w:b/>
                <w:color w:val="FFFFFF"/>
                <w:sz w:val="19"/>
              </w:rPr>
              <w:t>Направление</w:t>
            </w:r>
          </w:p>
        </w:tc>
        <w:tc>
          <w:tcPr>
            <w:tcW w:type="dxa" w:w="6746"/>
            <w:vAlign w:val="top"/>
            <w:tcMar>
              <w:top w:w="85" w:type="dxa"/>
              <w:left w:w="85" w:type="dxa"/>
              <w:bottom w:w="85" w:type="dxa"/>
              <w:right w:w="85" w:type="dxa"/>
            </w:tcMar>
            <w:shd w:fill="183D4D"/>
          </w:tcPr>
          <w:p>
            <w:pPr>
              <w:spacing w:after="60" w:line="252" w:lineRule="auto"/>
            </w:pPr>
            <w:r>
              <w:rPr>
                <w:b/>
                <w:color w:val="FFFFFF"/>
                <w:sz w:val="19"/>
              </w:rPr>
              <w:t>Конкретный следующий результат</w:t>
            </w:r>
          </w:p>
        </w:tc>
      </w:tr>
      <w:tr>
        <w:trPr>
          <w:cantSplit/>
        </w:trPr>
        <w:tc>
          <w:tcPr>
            <w:tcW w:type="dxa" w:w="3005"/>
            <w:vAlign w:val="top"/>
            <w:tcMar>
              <w:top w:w="85" w:type="dxa"/>
              <w:left w:w="85" w:type="dxa"/>
              <w:bottom w:w="85" w:type="dxa"/>
              <w:right w:w="85" w:type="dxa"/>
            </w:tcMar>
            <w:shd w:fill="F0F5F6"/>
          </w:tcPr>
          <w:p>
            <w:pPr>
              <w:spacing w:after="60" w:line="252" w:lineRule="auto"/>
            </w:pPr>
            <w:r>
              <w:rPr>
                <w:sz w:val="19"/>
              </w:rPr>
              <w:t>G001–G002 · Gozan и Ikkyū</w:t>
            </w:r>
          </w:p>
        </w:tc>
        <w:tc>
          <w:tcPr>
            <w:tcW w:type="dxa" w:w="6746"/>
            <w:vAlign w:val="top"/>
            <w:tcMar>
              <w:top w:w="85" w:type="dxa"/>
              <w:left w:w="85" w:type="dxa"/>
              <w:bottom w:w="85" w:type="dxa"/>
              <w:right w:w="85" w:type="dxa"/>
            </w:tcMar>
            <w:shd w:fill="F0F5F6"/>
          </w:tcPr>
          <w:p>
            <w:pPr>
              <w:spacing w:after="60" w:line="252" w:lineRule="auto"/>
            </w:pPr>
            <w:r>
              <w:rPr>
                <w:sz w:val="19"/>
              </w:rPr>
              <w:t>Рабочие item-level Kūgeshū / Shōkenkō без одноимённых подмен; проверенный Sanford и права Yonezawa.</w:t>
            </w:r>
          </w:p>
        </w:tc>
      </w:tr>
      <w:tr>
        <w:trPr>
          <w:cantSplit/>
        </w:trPr>
        <w:tc>
          <w:tcPr>
            <w:tcW w:type="dxa" w:w="3005"/>
            <w:vAlign w:val="top"/>
            <w:tcMar>
              <w:top w:w="85" w:type="dxa"/>
              <w:left w:w="85" w:type="dxa"/>
              <w:bottom w:w="85" w:type="dxa"/>
              <w:right w:w="85" w:type="dxa"/>
            </w:tcMar>
            <w:shd w:fill="FFFFFF"/>
          </w:tcPr>
          <w:p>
            <w:pPr>
              <w:spacing w:after="60" w:line="252" w:lineRule="auto"/>
            </w:pPr>
            <w:r>
              <w:rPr>
                <w:sz w:val="19"/>
              </w:rPr>
              <w:t>G003–G006 · Genshin, Kūkai, Saichō</w:t>
            </w:r>
          </w:p>
        </w:tc>
        <w:tc>
          <w:tcPr>
            <w:tcW w:type="dxa" w:w="6746"/>
            <w:vAlign w:val="top"/>
            <w:tcMar>
              <w:top w:w="85" w:type="dxa"/>
              <w:left w:w="85" w:type="dxa"/>
              <w:bottom w:w="85" w:type="dxa"/>
              <w:right w:w="85" w:type="dxa"/>
            </w:tcMar>
            <w:shd w:fill="FFFFFF"/>
          </w:tcPr>
          <w:p>
            <w:pPr>
              <w:spacing w:after="60" w:line="252" w:lineRule="auto"/>
            </w:pPr>
            <w:r>
              <w:rPr>
                <w:sz w:val="19"/>
              </w:rPr>
              <w:t>Полнота переводов Ōjōyōshū/Jūjūshinron; Bunkyō hifuron/Shōryōshū; точные T-номера и свидетели расширенного Saichō.</w:t>
            </w:r>
          </w:p>
        </w:tc>
      </w:tr>
      <w:tr>
        <w:trPr>
          <w:cantSplit/>
        </w:trPr>
        <w:tc>
          <w:tcPr>
            <w:tcW w:type="dxa" w:w="3005"/>
            <w:vAlign w:val="top"/>
            <w:tcMar>
              <w:top w:w="85" w:type="dxa"/>
              <w:left w:w="85" w:type="dxa"/>
              <w:bottom w:w="85" w:type="dxa"/>
              <w:right w:w="85" w:type="dxa"/>
            </w:tcMar>
            <w:shd w:fill="F0F5F6"/>
          </w:tcPr>
          <w:p>
            <w:pPr>
              <w:spacing w:after="60" w:line="252" w:lineRule="auto"/>
            </w:pPr>
            <w:r>
              <w:rPr>
                <w:sz w:val="19"/>
              </w:rPr>
              <w:t>G007–G010 · Tendai и поездки</w:t>
            </w:r>
          </w:p>
        </w:tc>
        <w:tc>
          <w:tcPr>
            <w:tcW w:type="dxa" w:w="6746"/>
            <w:vAlign w:val="top"/>
            <w:tcMar>
              <w:top w:w="85" w:type="dxa"/>
              <w:left w:w="85" w:type="dxa"/>
              <w:bottom w:w="85" w:type="dxa"/>
              <w:right w:w="85" w:type="dxa"/>
            </w:tcMar>
            <w:shd w:fill="F0F5F6"/>
          </w:tcPr>
          <w:p>
            <w:pPr>
              <w:spacing w:after="60" w:line="252" w:lineRule="auto"/>
            </w:pPr>
            <w:r>
              <w:rPr>
                <w:sz w:val="19"/>
              </w:rPr>
              <w:t>Авторство hongaku; правила Ryōgen; английский Ennin’s Diary; оригинальные документы Enchin.</w:t>
            </w:r>
          </w:p>
        </w:tc>
      </w:tr>
      <w:tr>
        <w:trPr>
          <w:cantSplit/>
        </w:trPr>
        <w:tc>
          <w:tcPr>
            <w:tcW w:type="dxa" w:w="3005"/>
            <w:vAlign w:val="top"/>
            <w:tcMar>
              <w:top w:w="85" w:type="dxa"/>
              <w:left w:w="85" w:type="dxa"/>
              <w:bottom w:w="85" w:type="dxa"/>
              <w:right w:w="85" w:type="dxa"/>
            </w:tcMar>
            <w:shd w:fill="FFFFFF"/>
          </w:tcPr>
          <w:p>
            <w:pPr>
              <w:spacing w:after="60" w:line="252" w:lineRule="auto"/>
            </w:pPr>
            <w:r>
              <w:rPr>
                <w:sz w:val="19"/>
              </w:rPr>
              <w:t>G011–G013 · Sōtō</w:t>
            </w:r>
          </w:p>
        </w:tc>
        <w:tc>
          <w:tcPr>
            <w:tcW w:type="dxa" w:w="6746"/>
            <w:vAlign w:val="top"/>
            <w:tcMar>
              <w:top w:w="85" w:type="dxa"/>
              <w:left w:w="85" w:type="dxa"/>
              <w:bottom w:w="85" w:type="dxa"/>
              <w:right w:w="85" w:type="dxa"/>
            </w:tcMar>
            <w:shd w:fill="FFFFFF"/>
          </w:tcPr>
          <w:p>
            <w:pPr>
              <w:spacing w:after="60" w:line="252" w:lineRule="auto"/>
            </w:pPr>
            <w:r>
              <w:rPr>
                <w:sz w:val="19"/>
              </w:rPr>
              <w:t>Полный kanbun Eihei kōroku; версии Shōbōgenzō; конкретное издание Keizan shingi.</w:t>
            </w:r>
          </w:p>
        </w:tc>
      </w:tr>
      <w:tr>
        <w:trPr>
          <w:cantSplit/>
        </w:trPr>
        <w:tc>
          <w:tcPr>
            <w:tcW w:type="dxa" w:w="3005"/>
            <w:vAlign w:val="top"/>
            <w:tcMar>
              <w:top w:w="85" w:type="dxa"/>
              <w:left w:w="85" w:type="dxa"/>
              <w:bottom w:w="85" w:type="dxa"/>
              <w:right w:w="85" w:type="dxa"/>
            </w:tcMar>
            <w:shd w:fill="F0F5F6"/>
          </w:tcPr>
          <w:p>
            <w:pPr>
              <w:spacing w:after="60" w:line="252" w:lineRule="auto"/>
            </w:pPr>
            <w:r>
              <w:rPr>
                <w:sz w:val="19"/>
              </w:rPr>
              <w:t>G014–G015, G023 · Полемика и письма</w:t>
            </w:r>
          </w:p>
        </w:tc>
        <w:tc>
          <w:tcPr>
            <w:tcW w:type="dxa" w:w="6746"/>
            <w:vAlign w:val="top"/>
            <w:tcMar>
              <w:top w:w="85" w:type="dxa"/>
              <w:left w:w="85" w:type="dxa"/>
              <w:bottom w:w="85" w:type="dxa"/>
              <w:right w:w="85" w:type="dxa"/>
            </w:tcMar>
            <w:shd w:fill="F0F5F6"/>
          </w:tcPr>
          <w:p>
            <w:pPr>
              <w:spacing w:after="60" w:line="252" w:lineRule="auto"/>
            </w:pPr>
            <w:r>
              <w:rPr>
                <w:sz w:val="19"/>
              </w:rPr>
              <w:t>Проверка gosho по критическому собранию; внепятитомные Ofumi; Jōkei/Enryakuji/Zonkaku.</w:t>
            </w:r>
          </w:p>
        </w:tc>
      </w:tr>
      <w:tr>
        <w:trPr>
          <w:cantSplit/>
        </w:trPr>
        <w:tc>
          <w:tcPr>
            <w:tcW w:type="dxa" w:w="3005"/>
            <w:vAlign w:val="top"/>
            <w:tcMar>
              <w:top w:w="85" w:type="dxa"/>
              <w:left w:w="85" w:type="dxa"/>
              <w:bottom w:w="85" w:type="dxa"/>
              <w:right w:w="85" w:type="dxa"/>
            </w:tcMar>
            <w:shd w:fill="FFFFFF"/>
          </w:tcPr>
          <w:p>
            <w:pPr>
              <w:spacing w:after="60" w:line="252" w:lineRule="auto"/>
            </w:pPr>
            <w:r>
              <w:rPr>
                <w:sz w:val="19"/>
              </w:rPr>
              <w:t>G016–G018 · Ритуальный материальный слой</w:t>
            </w:r>
          </w:p>
        </w:tc>
        <w:tc>
          <w:tcPr>
            <w:tcW w:type="dxa" w:w="6746"/>
            <w:vAlign w:val="top"/>
            <w:tcMar>
              <w:top w:w="85" w:type="dxa"/>
              <w:left w:w="85" w:type="dxa"/>
              <w:bottom w:w="85" w:type="dxa"/>
              <w:right w:w="85" w:type="dxa"/>
            </w:tcMar>
            <w:shd w:fill="FFFFFF"/>
          </w:tcPr>
          <w:p>
            <w:pPr>
              <w:spacing w:after="60" w:line="252" w:lineRule="auto"/>
            </w:pPr>
            <w:r>
              <w:rPr>
                <w:sz w:val="19"/>
              </w:rPr>
              <w:t>Полный набор Zuzōshō и прямых корпусных родственников; второй Shittanzō; согласование колофона Hiuchi.</w:t>
            </w:r>
          </w:p>
        </w:tc>
      </w:tr>
      <w:tr>
        <w:trPr>
          <w:cantSplit/>
        </w:trPr>
        <w:tc>
          <w:tcPr>
            <w:tcW w:type="dxa" w:w="3005"/>
            <w:vAlign w:val="top"/>
            <w:tcMar>
              <w:top w:w="85" w:type="dxa"/>
              <w:left w:w="85" w:type="dxa"/>
              <w:bottom w:w="85" w:type="dxa"/>
              <w:right w:w="85" w:type="dxa"/>
            </w:tcMar>
            <w:shd w:fill="F0F5F6"/>
          </w:tcPr>
          <w:p>
            <w:pPr>
              <w:spacing w:after="60" w:line="252" w:lineRule="auto"/>
            </w:pPr>
            <w:r>
              <w:rPr>
                <w:sz w:val="19"/>
              </w:rPr>
              <w:t>G019–G022, G029 · Данные и права</w:t>
            </w:r>
          </w:p>
        </w:tc>
        <w:tc>
          <w:tcPr>
            <w:tcW w:type="dxa" w:w="6746"/>
            <w:vAlign w:val="top"/>
            <w:tcMar>
              <w:top w:w="85" w:type="dxa"/>
              <w:left w:w="85" w:type="dxa"/>
              <w:bottom w:w="85" w:type="dxa"/>
              <w:right w:w="85" w:type="dxa"/>
            </w:tcMar>
            <w:shd w:fill="F0F5F6"/>
          </w:tcPr>
          <w:p>
            <w:pPr>
              <w:spacing w:after="60" w:line="252" w:lineRule="auto"/>
            </w:pPr>
            <w:r>
              <w:rPr>
                <w:sz w:val="19"/>
              </w:rPr>
              <w:t>Подтверждение японского XML-слоя CBETA, прав на адаптации, SAT TEI, Antaiji credits и OA-лицензий Buddhist Asia.</w:t>
            </w:r>
          </w:p>
        </w:tc>
      </w:tr>
      <w:tr>
        <w:trPr>
          <w:cantSplit/>
        </w:trPr>
        <w:tc>
          <w:tcPr>
            <w:tcW w:type="dxa" w:w="3005"/>
            <w:vAlign w:val="top"/>
            <w:tcMar>
              <w:top w:w="85" w:type="dxa"/>
              <w:left w:w="85" w:type="dxa"/>
              <w:bottom w:w="85" w:type="dxa"/>
              <w:right w:w="85" w:type="dxa"/>
            </w:tcMar>
            <w:shd w:fill="FFFFFF"/>
          </w:tcPr>
          <w:p>
            <w:pPr>
              <w:spacing w:after="60" w:line="252" w:lineRule="auto"/>
            </w:pPr>
            <w:r>
              <w:rPr>
                <w:sz w:val="19"/>
              </w:rPr>
              <w:t>G024–G028, G030 · Связанные издания и реальная выдача</w:t>
            </w:r>
          </w:p>
        </w:tc>
        <w:tc>
          <w:tcPr>
            <w:tcW w:type="dxa" w:w="6746"/>
            <w:vAlign w:val="top"/>
            <w:tcMar>
              <w:top w:w="85" w:type="dxa"/>
              <w:left w:w="85" w:type="dxa"/>
              <w:bottom w:w="85" w:type="dxa"/>
              <w:right w:w="85" w:type="dxa"/>
            </w:tcMar>
            <w:shd w:fill="FFFFFF"/>
          </w:tcPr>
          <w:p>
            <w:pPr>
              <w:spacing w:after="60" w:line="252" w:lineRule="auto"/>
            </w:pPr>
            <w:r>
              <w:rPr>
                <w:sz w:val="19"/>
              </w:rPr>
              <w:t>Hokekyōkenki, Morrell Shasekishū, точные входящие Chan-цитаты, история kunten и доступность книг в конкретной библиотеке.</w:t>
            </w:r>
          </w:p>
        </w:tc>
      </w:tr>
    </w:tbl>
    <w:p>
      <w:pPr>
        <w:spacing w:after="0"/>
      </w:pPr>
    </w:p>
    <w:p>
      <w:r>
        <w:t>Эти направления не являются обещанием фоновой работы и не требуют немедленной регистрации или обращения к правообладателю. Это адресная очередь для следующего исследовательского прохода. Контакты, покупки, аккаунты, библиотечные заимствования, OCR, построение embeddings и публикация файлов от имени ToS в этом запуске не выполнялись.</w:t>
      </w:r>
    </w:p>
    <w:p>
      <w:pPr>
        <w:pStyle w:val="Heading1"/>
      </w:pPr>
      <w:r>
        <w:t>7. Итоговая оценка</w:t>
      </w:r>
    </w:p>
    <w:p>
      <w:r>
        <w:t>Корпус покрыт широко на уровне основных произведений, прямых текстовых родственников и сохранённых исторических свидетелей. Особенно сильны Kūkai/Shingon, Pure Land, Dōgen/Sōtō, основные трактаты Nichiren и поздние факсимильные слои Tendai. Для Gozan и hongaku покрытие заметно менее глубокое, чем размер самих традиций; это отражено в предметных gaps, а не скрыто общими порталами.</w:t>
      </w:r>
    </w:p>
    <w:p>
      <w:r>
        <w:t>Оригиналы лучше всего доступны через SAT и конкретные Kyoto/NIJL/NINJAL/NDL-объекты. Английские переводы разнообразны: от бесплатных BDK/CWS/SOTOZEN до современных платных академических изданий; русский слой полезен, но фрагментарен и требует проверки переводчиков, кодировки и прав. Наиболее свободный слой — факсимиле с институциональным разрешением, CC BY/CC BY-SA и CC0/PDM-компоненты. Главные ограничения сосредоточены в современных переводах, редакционном аппарате, отдельных музейных изображениях и условиях платформ.</w:t>
      </w:r>
    </w:p>
    <w:p>
      <w:r>
        <w:t>Пакет пригоден для передачи Codex как исследовательский реестр: 32 заданных поля, уникальные record_id, предметные ссылки, раздельные версии/свидетели, уровни полноты и явные запреты на автоматическое распространение. Он не является готовым корпусом для массового зеркалирования и не заменяет проверку прав перед публикацией. Для первого свободного слоя ToS разумно начинать с конкретных лицензированных изображений, сохраняя внешние ссылки на защищённые переводы.</w:t>
      </w:r>
    </w:p>
    <w:p>
      <w:pPr>
        <w:pStyle w:val="Caption"/>
      </w:pPr>
      <w:r>
        <w:t>Исторические границы и статус B мастер-строки сохранены. Более ранние источники, поздние комментарии, редакции и переводы входят в её корпусный ореол, но не меняют саму строку.</w:t>
      </w:r>
    </w:p>
    <w:sectPr w:rsidR="00FC693F" w:rsidRPr="0006063C" w:rsidSect="00034616">
      <w:headerReference w:type="default" r:id="rId9"/>
      <w:footerReference w:type="default" r:id="rId10"/>
      <w:pgSz w:w="11906" w:h="16838"/>
      <w:pgMar w:top="1020" w:right="1020" w:bottom="1020"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T2-48  •  05.09.2026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ДРЕВО СОФИИ  /  КОРПУС И ПРАВА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183D4D"/>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183D4D"/>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183D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60"/>
      <w:contextualSpacing/>
    </w:pPr>
    <w:rPr>
      <w:rFonts w:asciiTheme="majorHAnsi" w:eastAsiaTheme="majorEastAsia" w:hAnsiTheme="majorHAnsi" w:cstheme="majorBidi" w:ascii="Calibri" w:hAnsi="Calibri"/>
      <w:color w:val="183D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Calibri" w:hAnsi="Calibri"/>
      <w:i/>
      <w:iCs/>
      <w:color w:val="183D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64" w:lineRule="auto" w:after="120"/>
      <w:ind w:left="720"/>
      <w:contextualSpacing/>
    </w:pPr>
    <w:rPr>
      <w:rFonts w:ascii="Calibri" w:hAnsi="Calibri" w:eastAsia="Noto Sans CJK JP"/>
      <w:sz w:val="21"/>
    </w:rPr>
  </w:style>
  <w:style w:type="paragraph" w:styleId="BodyText">
    <w:name w:val="Body Text"/>
    <w:basedOn w:val="Normal"/>
    <w:link w:val="BodyTextChar"/>
    <w:uiPriority w:val="99"/>
    <w:unhideWhenUsed/>
    <w:rsid w:val="00AA1D8D"/>
    <w:pPr>
      <w:spacing w:after="120" w:line="264" w:lineRule="auto"/>
    </w:pPr>
    <w:rPr>
      <w:rFonts w:ascii="Calibri" w:hAnsi="Calibri" w:eastAsia="Noto Sans CJK JP"/>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161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beta-org/xml-p5" TargetMode="External"/><Relationship Id="rId12" Type="http://schemas.openxmlformats.org/officeDocument/2006/relationships/hyperlink" Target="https://21dzk.l.u-tokyo.ac.jp/SAT/" TargetMode="External"/><Relationship Id="rId13" Type="http://schemas.openxmlformats.org/officeDocument/2006/relationships/hyperlink" Target="https://metmuseum.github.io/" TargetMode="External"/><Relationship Id="rId14" Type="http://schemas.openxmlformats.org/officeDocument/2006/relationships/hyperlink" Target="https://rmda.kulib.kyoto-u.ac.jp/en/collection/zokyo" TargetMode="External"/><Relationship Id="rId15" Type="http://schemas.openxmlformats.org/officeDocument/2006/relationships/hyperlink" Target="https://kokusho.nijl.ac.jp/" TargetMode="External"/><Relationship Id="rId16" Type="http://schemas.openxmlformats.org/officeDocument/2006/relationships/hyperlink" Target="https://dglb01.ninjal.ac.jp/ninjaldl/bunken.php?title=sittanzo" TargetMode="External"/><Relationship Id="rId17" Type="http://schemas.openxmlformats.org/officeDocument/2006/relationships/hyperlink" Target="https://buddhiststudies.stanford.edu/sites/buddhiststudies/files/media/file/Bibliography%20Reading%20list%202020.pdf" TargetMode="External"/><Relationship Id="rId18" Type="http://schemas.openxmlformats.org/officeDocument/2006/relationships/hyperlink" Target="https://www.bdkamerica.org/product/shingon-texts/" TargetMode="External"/><Relationship Id="rId19" Type="http://schemas.openxmlformats.org/officeDocument/2006/relationships/hyperlink" Target="https://21dzk.l.u-tokyo.ac.jp/SAT/ddb-sat2.php?mode=detail&amp;useid=2376_" TargetMode="External"/><Relationship Id="rId20" Type="http://schemas.openxmlformats.org/officeDocument/2006/relationships/hyperlink" Target="https://21dzk.l.u-tokyo.ac.jp/SAT/ddb-sat2.php?mode=detail&amp;useid=2682_" TargetMode="External"/><Relationship Id="rId21" Type="http://schemas.openxmlformats.org/officeDocument/2006/relationships/hyperlink" Target="https://www.sotozen.com/eng/library/shobogenzo/index.html" TargetMode="External"/><Relationship Id="rId22" Type="http://schemas.openxmlformats.org/officeDocument/2006/relationships/hyperlink" Target="https://www.sotozen.com/eng/library/denkoroku/index.html" TargetMode="External"/><Relationship Id="rId23" Type="http://schemas.openxmlformats.org/officeDocument/2006/relationships/hyperlink" Target="https://shinranworks.com/the-major-expositions/the-true-teaching-practice-and-realization-of-the-pure-land-way/" TargetMode="External"/><Relationship Id="rId24" Type="http://schemas.openxmlformats.org/officeDocument/2006/relationships/hyperlink" Target="https://www.metmuseum.org/art/collection/search/45614" TargetMode="External"/><Relationship Id="rId25" Type="http://schemas.openxmlformats.org/officeDocument/2006/relationships/hyperlink" Target="https://www.metmuseum.org/art/collection/search/45336" TargetMode="External"/><Relationship Id="rId26" Type="http://schemas.openxmlformats.org/officeDocument/2006/relationships/hyperlink" Target="https://www.metmuseum.org/art/collection/search/44955" TargetMode="External"/><Relationship Id="rId27" Type="http://schemas.openxmlformats.org/officeDocument/2006/relationships/hyperlink" Target="https://da.dl.itc.u-tokyo.ac.jp/portal/assets/6489b6a8-16ed-a2bb-9de1-b64d9cb20ae7" TargetMode="External"/><Relationship Id="rId28" Type="http://schemas.openxmlformats.org/officeDocument/2006/relationships/hyperlink" Target="https://www.library.yonezawa.yamagata.jp/dg/AA153.html" TargetMode="External"/><Relationship Id="rId29" Type="http://schemas.openxmlformats.org/officeDocument/2006/relationships/hyperlink" Target="https://ci.nii.ac.jp/ncid/BN11184319" TargetMode="External"/><Relationship Id="rId30" Type="http://schemas.openxmlformats.org/officeDocument/2006/relationships/hyperlink" Target="https://rmda.kulib.kyoto-u.ac.jp/en/item/rb00009104" TargetMode="External"/><Relationship Id="rId31" Type="http://schemas.openxmlformats.org/officeDocument/2006/relationships/hyperlink" Target="https://www.metmuseum.org/art/collection/search/36104" TargetMode="External"/><Relationship Id="rId32" Type="http://schemas.openxmlformats.org/officeDocument/2006/relationships/hyperlink" Target="https://www.nichirenlibrary.org/en/wnd-1/toc/" TargetMode="External"/><Relationship Id="rId33" Type="http://schemas.openxmlformats.org/officeDocument/2006/relationships/hyperlink" Target="https://www.bdkamerica.org/product/yongjias-song-of-actualizing-the-way-observing-the-mind-awakening-from-a-dream/" TargetMode="External"/><Relationship Id="rId34" Type="http://schemas.openxmlformats.org/officeDocument/2006/relationships/hyperlink" Target="https://rmda.kulib.kyoto-u.ac.jp/en/item/rb00017777" TargetMode="External"/><Relationship Id="rId35" Type="http://schemas.openxmlformats.org/officeDocument/2006/relationships/hyperlink" Target="https://rmda.kulib.kyoto-u.ac.jp/en/item/rb00012949" TargetMode="External"/><Relationship Id="rId36" Type="http://schemas.openxmlformats.org/officeDocument/2006/relationships/hyperlink" Target="https://shinranworks.com/commentaries/notes-on-essentials-of-faith-alone/" TargetMode="External"/><Relationship Id="rId37" Type="http://schemas.openxmlformats.org/officeDocument/2006/relationships/hyperlink" Target="https://shinranworks.com/commentaries/notes-on-once-calling-and-many-calling/" TargetMode="External"/><Relationship Id="rId38" Type="http://schemas.openxmlformats.org/officeDocument/2006/relationships/hyperlink" Target="https://shinranworks.com/related-works-by-other-authors/essentials-of-faith-alone/" TargetMode="External"/><Relationship Id="rId39" Type="http://schemas.openxmlformats.org/officeDocument/2006/relationships/hyperlink" Target="https://shinranworks.com/related-works-by-other-authors/clarification-of-once-calling-and-many-calling/" TargetMode="External"/><Relationship Id="rId40" Type="http://schemas.openxmlformats.org/officeDocument/2006/relationships/hyperlink" Target="https://rmda.kulib.kyoto-u.ac.jp/item/rb00018985" TargetMode="External"/><Relationship Id="rId41" Type="http://schemas.openxmlformats.org/officeDocument/2006/relationships/hyperlink" Target="https://rmda.kulib.kyoto-u.ac.jp/item/rb00019324" TargetMode="External"/><Relationship Id="rId42" Type="http://schemas.openxmlformats.org/officeDocument/2006/relationships/hyperlink" Target="https://rmda.kulib.kyoto-u.ac.jp/item/rb00019215" TargetMode="External"/><Relationship Id="rId43" Type="http://schemas.openxmlformats.org/officeDocument/2006/relationships/hyperlink" Target="https://rmda.kulib.kyoto-u.ac.jp/item/rb00019085" TargetMode="External"/><Relationship Id="rId44" Type="http://schemas.openxmlformats.org/officeDocument/2006/relationships/hyperlink" Target="https://rmda.kulib.kyoto-u.ac.jp/item/rb00019222" TargetMode="External"/><Relationship Id="rId45" Type="http://schemas.openxmlformats.org/officeDocument/2006/relationships/hyperlink" Target="https://rmda.kulib.kyoto-u.ac.jp/item/rb00019047" TargetMode="External"/><Relationship Id="rId46" Type="http://schemas.openxmlformats.org/officeDocument/2006/relationships/hyperlink" Target="https://rmda.kulib.kyoto-u.ac.jp/en/item/rb00009528" TargetMode="External"/><Relationship Id="rId47" Type="http://schemas.openxmlformats.org/officeDocument/2006/relationships/hyperlink" Target="https://rmda.kulib.kyoto-u.ac.jp/en/item/rb00009526" TargetMode="External"/><Relationship Id="rId48" Type="http://schemas.openxmlformats.org/officeDocument/2006/relationships/hyperlink" Target="https://rmda.kulib.kyoto-u.ac.jp/item/rb00018206" TargetMode="External"/><Relationship Id="rId49" Type="http://schemas.openxmlformats.org/officeDocument/2006/relationships/hyperlink" Target="https://rmda.kulib.kyoto-u.ac.jp/item/rb00007936" TargetMode="External"/><Relationship Id="rId50" Type="http://schemas.openxmlformats.org/officeDocument/2006/relationships/hyperlink" Target="https://rmda.kulib.kyoto-u.ac.jp/item/rb00007937" TargetMode="External"/><Relationship Id="rId51" Type="http://schemas.openxmlformats.org/officeDocument/2006/relationships/hyperlink" Target="https://rmda.kulib.kyoto-u.ac.jp/item/rb00007929" TargetMode="External"/><Relationship Id="rId52" Type="http://schemas.openxmlformats.org/officeDocument/2006/relationships/hyperlink" Target="https://rmda.kulib.kyoto-u.ac.jp/item/rb00013002" TargetMode="External"/><Relationship Id="rId53" Type="http://schemas.openxmlformats.org/officeDocument/2006/relationships/hyperlink" Target="https://rmda.kulib.kyoto-u.ac.jp/item/rb00034328" TargetMode="External"/><Relationship Id="rId54" Type="http://schemas.openxmlformats.org/officeDocument/2006/relationships/hyperlink" Target="https://rmda.kulib.kyoto-u.ac.jp/item/rb00034351" TargetMode="External"/><Relationship Id="rId55" Type="http://schemas.openxmlformats.org/officeDocument/2006/relationships/hyperlink" Target="https://rmda.kulib.kyoto-u.ac.jp/en/collection/museum/kyo-o-gokokuji" TargetMode="External"/><Relationship Id="rId56" Type="http://schemas.openxmlformats.org/officeDocument/2006/relationships/hyperlink" Target="https://www.bdkamerica.org/product/the-lotus-sutra-revised-second-edition/" TargetMode="External"/><Relationship Id="rId57" Type="http://schemas.openxmlformats.org/officeDocument/2006/relationships/hyperlink" Target="https://www.bdkamerica.org/product/tiantai-lotus-texts/" TargetMode="External"/><Relationship Id="rId58" Type="http://schemas.openxmlformats.org/officeDocument/2006/relationships/hyperlink" Target="https://www.bdkamerica.org/product/the-vairocanabhisambodhi-sutra/" TargetMode="External"/><Relationship Id="rId59" Type="http://schemas.openxmlformats.org/officeDocument/2006/relationships/hyperlink" Target="https://www.bdkamerica.org/product/the-brahmas-net-sutra/" TargetMode="External"/><Relationship Id="rId60" Type="http://schemas.openxmlformats.org/officeDocument/2006/relationships/hyperlink" Target="https://www.bdkamerica.org/product/two-esoteric-sutras/" TargetMode="External"/><Relationship Id="rId61" Type="http://schemas.openxmlformats.org/officeDocument/2006/relationships/hyperlink" Target="https://www.bdkamerica.org/product/great-cessation-and-contemplation-volume-i/" TargetMode="External"/><Relationship Id="rId62" Type="http://schemas.openxmlformats.org/officeDocument/2006/relationships/hyperlink" Target="https://www.bdkamerica.org/product/great-cessation-and-contemplation-volume-ii/" TargetMode="External"/><Relationship Id="rId63" Type="http://schemas.openxmlformats.org/officeDocument/2006/relationships/hyperlink" Target="https://www.bdkamerica.org/product/the-three-pure-land-sutras/" TargetMode="External"/><Relationship Id="rId64" Type="http://schemas.openxmlformats.org/officeDocument/2006/relationships/hyperlink" Target="https://21dzk.l.u-tokyo.ac.jp/SAT/ddb-sat2.php?mode=detail&amp;useid=1524_" TargetMode="External"/><Relationship Id="rId65" Type="http://schemas.openxmlformats.org/officeDocument/2006/relationships/hyperlink" Target="https://21dzk.l.u-tokyo.ac.jp/SAT/ddb-sat2.php?mode=detail&amp;useid=1753_" TargetMode="External"/><Relationship Id="rId66" Type="http://schemas.openxmlformats.org/officeDocument/2006/relationships/hyperlink" Target="https://21dzk.l.u-tokyo.ac.jp/SAT/ddb-sat2.php?mode=detail&amp;useid=1958_" TargetMode="External"/><Relationship Id="rId67" Type="http://schemas.openxmlformats.org/officeDocument/2006/relationships/hyperlink" Target="https://www.bdkamerica.org/product/zen-texts/" TargetMode="External"/><Relationship Id="rId68" Type="http://schemas.openxmlformats.org/officeDocument/2006/relationships/hyperlink" Target="https://www.bdkamerica.org/product/the-blue-cliff-record/" TargetMode="External"/><Relationship Id="rId69" Type="http://schemas.openxmlformats.org/officeDocument/2006/relationships/hyperlink" Target="https://www.bdkamerica.org/product/the-baizhang-zen-monastic-regulations/" TargetMode="External"/><Relationship Id="rId70" Type="http://schemas.openxmlformats.org/officeDocument/2006/relationships/hyperlink" Target="https://www.bdkamerica.org/product/prince-shotokus-commentary-on-the-srimala-sutra/" TargetMode="External"/><Relationship Id="rId71" Type="http://schemas.openxmlformats.org/officeDocument/2006/relationships/hyperlink" Target="https://21dzk.l.u-tokyo.ac.jp/SAT/sat_tei.html" TargetMode="External"/><Relationship Id="rId72" Type="http://schemas.openxmlformats.org/officeDocument/2006/relationships/hyperlink" Target="https://rmda.kulib.kyoto-u.ac.jp/en/item/rb00012941" TargetMode="External"/><Relationship Id="rId73" Type="http://schemas.openxmlformats.org/officeDocument/2006/relationships/hyperlink" Target="https://rmda.kulib.kyoto-u.ac.jp/en/item/rb00019419" TargetMode="External"/><Relationship Id="rId74" Type="http://schemas.openxmlformats.org/officeDocument/2006/relationships/hyperlink" Target="https://rmda.kulib.kyoto-u.ac.jp/en/item/rb00036571" TargetMode="External"/><Relationship Id="rId75" Type="http://schemas.openxmlformats.org/officeDocument/2006/relationships/hyperlink" Target="https://rmda.kulib.kyoto-u.ac.jp/en/item/rb00036579" TargetMode="External"/><Relationship Id="rId76" Type="http://schemas.openxmlformats.org/officeDocument/2006/relationships/hyperlink" Target="https://rmda.kulib.kyoto-u.ac.jp/en/item/rb00036570" TargetMode="External"/><Relationship Id="rId77" Type="http://schemas.openxmlformats.org/officeDocument/2006/relationships/hyperlink" Target="https://rmda.kulib.kyoto-u.ac.jp/en/item/rb00018535" TargetMode="External"/><Relationship Id="rId78" Type="http://schemas.openxmlformats.org/officeDocument/2006/relationships/hyperlink" Target="https://ndlsearch.ndl.go.jp/books/R100000039-I892699" TargetMode="External"/><Relationship Id="rId79" Type="http://schemas.openxmlformats.org/officeDocument/2006/relationships/hyperlink" Target="https://ndlsearch.ndl.go.jp/en/books/R100000002-I000000602718" TargetMode="External"/><Relationship Id="rId80" Type="http://schemas.openxmlformats.org/officeDocument/2006/relationships/hyperlink" Target="https://wisdomexperience.org/product/dogens-extensive-record/" TargetMode="External"/><Relationship Id="rId81" Type="http://schemas.openxmlformats.org/officeDocument/2006/relationships/hyperlink" Target="https://uhpress.hawaii.edu/title/treasury-of-the-true-dharma-eye-dogens-shobogenzo-eight-volume-set/" TargetMode="External"/><Relationship Id="rId82" Type="http://schemas.openxmlformats.org/officeDocument/2006/relationships/hyperlink" Target="https://cup.columbia.edu/book/kukai/9780231059336/" TargetMode="External"/><Relationship Id="rId83" Type="http://schemas.openxmlformats.org/officeDocument/2006/relationships/hyperlink" Target="https://sunypress.edu/Books/D/Dogen-s-Pure-Standards-for-the-Zen-Community" TargetMode="External"/><Relationship Id="rId84" Type="http://schemas.openxmlformats.org/officeDocument/2006/relationships/hyperlink" Target="https://cup.columbia.edu/book/selected-writings-of-nichiren/9780231072601/" TargetMode="External"/><Relationship Id="rId85" Type="http://schemas.openxmlformats.org/officeDocument/2006/relationships/hyperlink" Target="https://21dzk.l.u-tokyo.ac.jp/SAT/ddb-sat2.php?mode=detail&amp;useid=2377_" TargetMode="External"/><Relationship Id="rId86" Type="http://schemas.openxmlformats.org/officeDocument/2006/relationships/hyperlink" Target="https://rmda.kulib.kyoto-u.ac.jp/item/rb00019166" TargetMode="External"/><Relationship Id="rId87" Type="http://schemas.openxmlformats.org/officeDocument/2006/relationships/hyperlink" Target="https://rmda.kulib.kyoto-u.ac.jp/item/rb00017767" TargetMode="External"/><Relationship Id="rId88" Type="http://schemas.openxmlformats.org/officeDocument/2006/relationships/hyperlink" Target="https://21dzk.l.u-tokyo.ac.jp/SAT/ddb-sat2.php?mode=detail&amp;useid=2381_" TargetMode="External"/><Relationship Id="rId89" Type="http://schemas.openxmlformats.org/officeDocument/2006/relationships/hyperlink" Target="https://www.bdkamerica.org/product/the-diamond-needle-treatise-on-the-doctrinal-distinctions-of-the-huayan-one-vehicle-the-key-to-the-secret-of-the-heart-sutra/" TargetMode="External"/><Relationship Id="rId90" Type="http://schemas.openxmlformats.org/officeDocument/2006/relationships/hyperlink" Target="https://21dzk.l.u-tokyo.ac.jp/SAT/ddb-sat2.php?mode=detail&amp;useid=2425_" TargetMode="External"/><Relationship Id="rId91" Type="http://schemas.openxmlformats.org/officeDocument/2006/relationships/hyperlink" Target="https://21dzk.l.u-tokyo.ac.jp/SAT/ddb-sat2.php?mode=detail&amp;useid=2426_" TargetMode="External"/><Relationship Id="rId92" Type="http://schemas.openxmlformats.org/officeDocument/2006/relationships/hyperlink" Target="https://21dzk.l.u-tokyo.ac.jp/SAT/ddb-sat2.php?mode=detail&amp;useid=2427_" TargetMode="External"/><Relationship Id="rId93" Type="http://schemas.openxmlformats.org/officeDocument/2006/relationships/hyperlink" Target="https://21dzk.l.u-tokyo.ac.jp/SAT/ddb-sat2.php?mode=detail&amp;useid=2428_" TargetMode="External"/><Relationship Id="rId94" Type="http://schemas.openxmlformats.org/officeDocument/2006/relationships/hyperlink" Target="https://21dzk.l.u-tokyo.ac.jp/SAT/ddb-sat2.php?mode=detail&amp;useid=2429_" TargetMode="External"/><Relationship Id="rId95" Type="http://schemas.openxmlformats.org/officeDocument/2006/relationships/hyperlink" Target="https://21dzk.l.u-tokyo.ac.jp/SAT/ddb-sat2.php?mode=detail&amp;useid=2430_" TargetMode="External"/><Relationship Id="rId96" Type="http://schemas.openxmlformats.org/officeDocument/2006/relationships/hyperlink" Target="https://www.bdkamerica.org/product/senchaku-hongan-nembutsu-shu-a-collection-of-passages-on-the-nembutsu/" TargetMode="External"/><Relationship Id="rId97" Type="http://schemas.openxmlformats.org/officeDocument/2006/relationships/hyperlink" Target="https://www.bdkamerica.org/product/kyogyoshinsho-on-teaching-practice-faith-and-enlightenment/" TargetMode="External"/><Relationship Id="rId98" Type="http://schemas.openxmlformats.org/officeDocument/2006/relationships/hyperlink" Target="https://rmda.kulib.kyoto-u.ac.jp/en/item/rb00017847" TargetMode="External"/><Relationship Id="rId99" Type="http://schemas.openxmlformats.org/officeDocument/2006/relationships/hyperlink" Target="https://21dzk.l.u-tokyo.ac.jp/SAT/ddb-sat2.php?mode=detail&amp;useid=2608_" TargetMode="External"/><Relationship Id="rId100" Type="http://schemas.openxmlformats.org/officeDocument/2006/relationships/hyperlink" Target="https://21dzk.l.u-tokyo.ac.jp/SAT/ddb-sat2.php?mode=detail&amp;useid=2646_" TargetMode="External"/><Relationship Id="rId101" Type="http://schemas.openxmlformats.org/officeDocument/2006/relationships/hyperlink" Target="https://shinranworks.com/category/hymns-in-japanese/?order=asc" TargetMode="External"/><Relationship Id="rId102" Type="http://schemas.openxmlformats.org/officeDocument/2006/relationships/hyperlink" Target="https://shinranworks.com/category/letters/?order=asc" TargetMode="External"/><Relationship Id="rId103" Type="http://schemas.openxmlformats.org/officeDocument/2006/relationships/hyperlink" Target="https://shinranworks.com/commentaries/notes-on-the-inscriptions-of-sacred-scrolls/" TargetMode="External"/><Relationship Id="rId104" Type="http://schemas.openxmlformats.org/officeDocument/2006/relationships/hyperlink" Target="https://shinranworks.com/shorter-works/gutokus-notes/" TargetMode="External"/><Relationship Id="rId105" Type="http://schemas.openxmlformats.org/officeDocument/2006/relationships/hyperlink" Target="https://shinranworks.com/the-major-expositions/passages-on-the-pure-land-way/" TargetMode="External"/><Relationship Id="rId106" Type="http://schemas.openxmlformats.org/officeDocument/2006/relationships/hyperlink" Target="https://www.bdkamerica.org/product/tannisho-passages-deploring-deviations-of-faith-and-rennyo-shonin-ofumi-the-letters-of-rennyo/" TargetMode="External"/><Relationship Id="rId107" Type="http://schemas.openxmlformats.org/officeDocument/2006/relationships/hyperlink" Target="https://shinranworks.com/related-works-by-other-authors/a-record-in-lament-of-divergences/" TargetMode="External"/><Relationship Id="rId108" Type="http://schemas.openxmlformats.org/officeDocument/2006/relationships/hyperlink" Target="https://www.gutenberg.org/ebooks/7015" TargetMode="External"/><Relationship Id="rId109" Type="http://schemas.openxmlformats.org/officeDocument/2006/relationships/hyperlink" Target="https://www.bdkamerica.org/product/shobogenzo-the-true-dharma-eye-treasury-volume-i/" TargetMode="External"/><Relationship Id="rId110" Type="http://schemas.openxmlformats.org/officeDocument/2006/relationships/hyperlink" Target="https://www.bdkamerica.org/product/shobogenzo-the-true-dharma-eye-treasury-volume-ii/" TargetMode="External"/><Relationship Id="rId111" Type="http://schemas.openxmlformats.org/officeDocument/2006/relationships/hyperlink" Target="https://www.bdkamerica.org/product/shobogenzo-the-true-dharma-eye-treasury-volume-iii/" TargetMode="External"/><Relationship Id="rId112" Type="http://schemas.openxmlformats.org/officeDocument/2006/relationships/hyperlink" Target="https://www.bdkamerica.org/product/shobogenzo-the-true-dharma-eye-treasury-volume-iv/" TargetMode="External"/><Relationship Id="rId113" Type="http://schemas.openxmlformats.org/officeDocument/2006/relationships/hyperlink" Target="https://21dzk.l.u-tokyo.ac.jp/SAT/ddb-sat2.php?mode=detail&amp;useid=2582_" TargetMode="External"/><Relationship Id="rId114" Type="http://schemas.openxmlformats.org/officeDocument/2006/relationships/hyperlink" Target="https://21dzk.l.u-tokyo.ac.jp/SAT/ddb-sat2.php?mode=detail&amp;useid=2584_" TargetMode="External"/><Relationship Id="rId115" Type="http://schemas.openxmlformats.org/officeDocument/2006/relationships/hyperlink" Target="https://21dzk.l.u-tokyo.ac.jp/SAT/ddb-sat2.php?mode=detail&amp;useid=2583_" TargetMode="External"/><Relationship Id="rId116" Type="http://schemas.openxmlformats.org/officeDocument/2006/relationships/hyperlink" Target="https://antaiji.org/archives/rus/Classics/rus-zuimonki/Content.shtml" TargetMode="External"/><Relationship Id="rId117" Type="http://schemas.openxmlformats.org/officeDocument/2006/relationships/hyperlink" Target="https://wisdomexperience.org/product/dogens-shobogenzo-zuimonki/" TargetMode="External"/><Relationship Id="rId118" Type="http://schemas.openxmlformats.org/officeDocument/2006/relationships/hyperlink" Target="https://books.google.com/books?id=XJHAOIzUv_QC" TargetMode="External"/><Relationship Id="rId119" Type="http://schemas.openxmlformats.org/officeDocument/2006/relationships/hyperlink" Target="https://21dzk.l.u-tokyo.ac.jp/SAT/ddb-sat2.php?mode=detail&amp;useid=2585_" TargetMode="External"/><Relationship Id="rId120" Type="http://schemas.openxmlformats.org/officeDocument/2006/relationships/hyperlink" Target="https://antaiji.org/archives/rus/Classics/rus-index.shtml" TargetMode="External"/><Relationship Id="rId121" Type="http://schemas.openxmlformats.org/officeDocument/2006/relationships/hyperlink" Target="https://antaiji.org/archives/rus/Classics/rus-fzgi.shtml" TargetMode="External"/><Relationship Id="rId122" Type="http://schemas.openxmlformats.org/officeDocument/2006/relationships/hyperlink" Target="https://antaiji.org/archives/rus/Classics/rus-gak0.shtml" TargetMode="External"/><Relationship Id="rId123" Type="http://schemas.openxmlformats.org/officeDocument/2006/relationships/hyperlink" Target="https://antaiji.org/archives/rus/Classics/rus-zzyk.shtml" TargetMode="External"/><Relationship Id="rId124" Type="http://schemas.openxmlformats.org/officeDocument/2006/relationships/hyperlink" Target="https://antaiji.org/archives/rus/Books/rus-tenzo/content.html" TargetMode="External"/><Relationship Id="rId125" Type="http://schemas.openxmlformats.org/officeDocument/2006/relationships/hyperlink" Target="https://antaiji.org/archives/rus/Books/rus-bendowa/content.shtml" TargetMode="External"/><Relationship Id="rId126" Type="http://schemas.openxmlformats.org/officeDocument/2006/relationships/hyperlink" Target="https://www.bdkamerica.org/product/two-nichiren-texts/" TargetMode="External"/><Relationship Id="rId127" Type="http://schemas.openxmlformats.org/officeDocument/2006/relationships/hyperlink" Target="https://www.bdkamerica.org/product/kaimokusho-or-liberation-from-blindness/" TargetMode="External"/><Relationship Id="rId128" Type="http://schemas.openxmlformats.org/officeDocument/2006/relationships/hyperlink" Target="https://www.nichirenlibrary.org/en/wnd-2/toc/" TargetMode="External"/><Relationship Id="rId129" Type="http://schemas.openxmlformats.org/officeDocument/2006/relationships/hyperlink" Target="https://21dzk.l.u-tokyo.ac.jp/SAT/ddb-sat2.php?mode=detail&amp;useid=2688_" TargetMode="External"/><Relationship Id="rId130" Type="http://schemas.openxmlformats.org/officeDocument/2006/relationships/hyperlink" Target="https://21dzk.l.u-tokyo.ac.jp/SAT/ddb-sat2.php?mode=detail&amp;useid=2689_" TargetMode="External"/><Relationship Id="rId131" Type="http://schemas.openxmlformats.org/officeDocument/2006/relationships/hyperlink" Target="https://21dzk.l.u-tokyo.ac.jp/SAT/ddb-sat2.php?mode=detail&amp;useid=2692_" TargetMode="External"/><Relationship Id="rId132" Type="http://schemas.openxmlformats.org/officeDocument/2006/relationships/hyperlink" Target="https://wisdomexperience.org/product/dialogues-dream/" TargetMode="External"/><Relationship Id="rId133" Type="http://schemas.openxmlformats.org/officeDocument/2006/relationships/hyperlink" Target="https://ndlsearch.ndl.go.jp/books/R100000002-I000001209233" TargetMode="External"/><Relationship Id="rId134" Type="http://schemas.openxmlformats.org/officeDocument/2006/relationships/hyperlink" Target="https://search.worldcat.org/title/The-future-and-the-past-%3A-a-translation-and-study-of-the-Gukansho-an-interpretative-history-of-Japan-written-in-1219/oclc/5145872" TargetMode="External"/><Relationship Id="rId135" Type="http://schemas.openxmlformats.org/officeDocument/2006/relationships/hyperlink" Target="https://www.metmuseum.org/art/collection/search/45605" TargetMode="External"/><Relationship Id="rId136" Type="http://schemas.openxmlformats.org/officeDocument/2006/relationships/hyperlink" Target="https://www.metmuseum.org/art/collection/search/44614" TargetMode="External"/><Relationship Id="rId137" Type="http://schemas.openxmlformats.org/officeDocument/2006/relationships/hyperlink" Target="https://dzkimgs.l.u-tokyo.ac.jp/SATi/images.php" TargetMode="External"/><Relationship Id="rId138" Type="http://schemas.openxmlformats.org/officeDocument/2006/relationships/hyperlink" Target="https://rmda.kulib.kyoto-u.ac.jp/en/reuse" TargetMode="External"/><Relationship Id="rId139" Type="http://schemas.openxmlformats.org/officeDocument/2006/relationships/hyperlink" Target="https://www.metmuseum.org/hubs/open-access" TargetMode="External"/><Relationship Id="rId140" Type="http://schemas.openxmlformats.org/officeDocument/2006/relationships/hyperlink" Target="https://cbeta.org/copyright" TargetMode="External"/><Relationship Id="rId141" Type="http://schemas.openxmlformats.org/officeDocument/2006/relationships/hyperlink" Target="https://www.bdkamerica.org/free-pdf/" TargetMode="External"/><Relationship Id="rId142" Type="http://schemas.openxmlformats.org/officeDocument/2006/relationships/hyperlink" Target="https://www.nichirenlibrary.org/en/common/terms-of-use" TargetMode="External"/><Relationship Id="rId143" Type="http://schemas.openxmlformats.org/officeDocument/2006/relationships/hyperlink" Target="https://21dzk.l.u-tokyo.ac.jp/SAT/termsofuse.html" TargetMode="External"/><Relationship Id="rId144" Type="http://schemas.openxmlformats.org/officeDocument/2006/relationships/hyperlink" Target="https://www.sotozen.com/eng/copyright/index.html" TargetMode="External"/><Relationship Id="rId145" Type="http://schemas.openxmlformats.org/officeDocument/2006/relationships/hyperlink" Target="https://archive.org/details/saddharmapundar00cambuoft" TargetMode="External"/><Relationship Id="rId146" Type="http://schemas.openxmlformats.org/officeDocument/2006/relationships/hyperlink" Target="https://www.degruyterbrill.com/document/doi/10.1515/9783111254081-f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T2-48</dc:title>
  <dc:subject>Японские буддийские и kanbun-корпуса: законный доступ, права и источники</dc:subject>
  <dc:creator>ToS / Древо Софии</dc:creator>
  <cp:keywords>T2-48; corpus; rights; Japanese Buddhism; kanbun; manuscripts</cp:keywords>
  <dc:description>generated by python-docx</dc:description>
  <cp:lastModifiedBy/>
  <cp:revision>1</cp:revision>
  <dcterms:created xsi:type="dcterms:W3CDTF">2013-12-23T23:15:00Z</dcterms:created>
  <dcterms:modified xsi:type="dcterms:W3CDTF">2013-12-23T23:15:00Z</dcterms:modified>
  <cp:category/>
</cp:coreProperties>
</file>