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ИССЛЕДОВАТЕЛЬСКИЙ ПАКЕТ • 04.09.2026</w:t>
      </w:r>
    </w:p>
    <w:p>
      <w:pPr>
        <w:pStyle w:val="Title"/>
      </w:pPr>
      <w:r>
        <w:t>ToS Corpus &amp; Rights Registry</w:t>
      </w:r>
    </w:p>
    <w:p>
      <w:pPr>
        <w:pStyle w:val="Subtitle"/>
      </w:pPr>
      <w:r>
        <w:t>T2-25 — Доминикано-францисканская</w:t>
        <w:br/>
        <w:t>полифония поздней схоластики</w:t>
      </w:r>
    </w:p>
    <w:p>
      <w:r>
        <w:t>115 путей доступа • около 70 произведений и корпусных семейств • 28 позиций дальнейшей проверки</w:t>
      </w:r>
    </w:p>
    <w:p>
      <w:pPr>
        <w:pStyle w:val="Heading1"/>
      </w:pPr>
      <w:r>
        <w:t>1. Паспорт</w:t>
      </w:r>
    </w:p>
    <w:tbl>
      <w:tblPr>
        <w:tblW w:type="auto" w:w="0"/>
        <w:jc w:val="center"/>
        <w:tblLayout w:type="fixed"/>
        <w:tblLook w:firstColumn="1" w:firstRow="1" w:lastColumn="0" w:lastRow="0" w:noHBand="0" w:noVBand="1" w:val="04A0"/>
      </w:tblPr>
      <w:tblGrid>
        <w:gridCol w:w="2381"/>
        <w:gridCol w:w="7257"/>
      </w:tblGrid>
      <w:tr>
        <w:trPr>
          <w:tblHeader/>
        </w:trPr>
        <w:tc>
          <w:tcPr>
            <w:tcW w:type="dxa" w:w="2381"/>
            <w:shd w:fill="163F4A"/>
          </w:tcPr>
          <w:p>
            <w:pPr>
              <w:spacing w:after="80" w:before="80" w:line="247" w:lineRule="auto"/>
            </w:pPr>
            <w:r>
              <w:rPr>
                <w:rFonts w:ascii="Calibri" w:hAnsi="Calibri"/>
                <w:b/>
                <w:color w:val="FFFFFF"/>
                <w:sz w:val="20"/>
              </w:rPr>
              <w:t>Параметр</w:t>
            </w:r>
          </w:p>
        </w:tc>
        <w:tc>
          <w:tcPr>
            <w:tcW w:type="dxa" w:w="7257"/>
            <w:shd w:fill="163F4A"/>
          </w:tcPr>
          <w:p>
            <w:pPr>
              <w:spacing w:after="80" w:before="80" w:line="247" w:lineRule="auto"/>
            </w:pPr>
            <w:r>
              <w:rPr>
                <w:rFonts w:ascii="Calibri" w:hAnsi="Calibri"/>
                <w:b/>
                <w:color w:val="FFFFFF"/>
                <w:sz w:val="20"/>
              </w:rPr>
              <w:t>Зафиксированное значение</w:t>
            </w:r>
          </w:p>
        </w:tc>
      </w:tr>
      <w:tr>
        <w:trPr>
          <w:cantSplit/>
        </w:trPr>
        <w:tc>
          <w:tcPr>
            <w:tcW w:type="dxa" w:w="2381"/>
            <w:vAlign w:val="top"/>
            <w:shd w:fill="EFF5F6"/>
          </w:tcPr>
          <w:p>
            <w:pPr>
              <w:spacing w:after="80" w:before="80" w:line="247" w:lineRule="auto"/>
            </w:pPr>
            <w:r>
              <w:rPr>
                <w:rFonts w:ascii="Calibri" w:hAnsi="Calibri"/>
                <w:sz w:val="20"/>
              </w:rPr>
              <w:t>Мастер-строка</w:t>
            </w:r>
          </w:p>
        </w:tc>
        <w:tc>
          <w:tcPr>
            <w:tcW w:type="dxa" w:w="7257"/>
            <w:vAlign w:val="top"/>
            <w:shd w:fill="EFF5F6"/>
          </w:tcPr>
          <w:p>
            <w:pPr>
              <w:spacing w:after="80" w:before="80" w:line="247" w:lineRule="auto"/>
            </w:pPr>
            <w:r>
              <w:rPr>
                <w:rFonts w:ascii="Calibri" w:hAnsi="Calibri"/>
                <w:sz w:val="20"/>
              </w:rPr>
              <w:t>T2-25, Таблица II; исходный статус A; исходная уверенность 4/5.</w:t>
            </w:r>
          </w:p>
        </w:tc>
      </w:tr>
      <w:tr>
        <w:trPr>
          <w:cantSplit/>
        </w:trPr>
        <w:tc>
          <w:tcPr>
            <w:tcW w:type="dxa" w:w="2381"/>
            <w:vAlign w:val="top"/>
          </w:tcPr>
          <w:p>
            <w:pPr>
              <w:spacing w:after="80" w:before="80" w:line="247" w:lineRule="auto"/>
            </w:pPr>
            <w:r>
              <w:rPr>
                <w:rFonts w:ascii="Calibri" w:hAnsi="Calibri"/>
                <w:sz w:val="20"/>
              </w:rPr>
              <w:t>Исторические границы</w:t>
            </w:r>
          </w:p>
        </w:tc>
        <w:tc>
          <w:tcPr>
            <w:tcW w:type="dxa" w:w="7257"/>
            <w:vAlign w:val="top"/>
          </w:tcPr>
          <w:p>
            <w:pPr>
              <w:spacing w:after="80" w:before="80" w:line="247" w:lineRule="auto"/>
            </w:pPr>
            <w:r>
              <w:rPr>
                <w:rFonts w:ascii="Calibri" w:hAnsi="Calibri"/>
                <w:sz w:val="20"/>
              </w:rPr>
              <w:t>Формирование: XIII в. Письменная фиксация: XIII–XIV вв. Канонизация и комментарий: XIII–XV вв. Плотное ядро исходного DR: около 1240-х–1310-х.</w:t>
            </w:r>
          </w:p>
        </w:tc>
      </w:tr>
      <w:tr>
        <w:trPr>
          <w:cantSplit/>
        </w:trPr>
        <w:tc>
          <w:tcPr>
            <w:tcW w:type="dxa" w:w="2381"/>
            <w:vAlign w:val="top"/>
            <w:shd w:fill="EFF5F6"/>
          </w:tcPr>
          <w:p>
            <w:pPr>
              <w:spacing w:after="80" w:before="80" w:line="247" w:lineRule="auto"/>
            </w:pPr>
            <w:r>
              <w:rPr>
                <w:rFonts w:ascii="Calibri" w:hAnsi="Calibri"/>
                <w:sz w:val="20"/>
              </w:rPr>
              <w:t>Исходный документ</w:t>
            </w:r>
          </w:p>
        </w:tc>
        <w:tc>
          <w:tcPr>
            <w:tcW w:type="dxa" w:w="7257"/>
            <w:vAlign w:val="top"/>
            <w:shd w:fill="EFF5F6"/>
          </w:tcPr>
          <w:p>
            <w:pPr>
              <w:spacing w:after="80" w:before="80" w:line="247" w:lineRule="auto"/>
            </w:pPr>
            <w:r>
              <w:rPr>
                <w:rFonts w:ascii="Calibri" w:hAnsi="Calibri"/>
                <w:sz w:val="20"/>
              </w:rPr>
              <w:t>ToS Deep Research_ T2-25 — Доминикано-францисканская полифония поздней схоластики(1).docx. Исходник не изменён.</w:t>
            </w:r>
          </w:p>
        </w:tc>
      </w:tr>
      <w:tr>
        <w:trPr>
          <w:cantSplit/>
        </w:trPr>
        <w:tc>
          <w:tcPr>
            <w:tcW w:type="dxa" w:w="2381"/>
            <w:vAlign w:val="top"/>
          </w:tcPr>
          <w:p>
            <w:pPr>
              <w:spacing w:after="80" w:before="80" w:line="247" w:lineRule="auto"/>
            </w:pPr>
            <w:r>
              <w:rPr>
                <w:rFonts w:ascii="Calibri" w:hAnsi="Calibri"/>
                <w:sz w:val="20"/>
              </w:rPr>
              <w:t>Дата и результат</w:t>
            </w:r>
          </w:p>
        </w:tc>
        <w:tc>
          <w:tcPr>
            <w:tcW w:type="dxa" w:w="7257"/>
            <w:vAlign w:val="top"/>
          </w:tcPr>
          <w:p>
            <w:pPr>
              <w:spacing w:after="80" w:before="80" w:line="247" w:lineRule="auto"/>
            </w:pPr>
            <w:r>
              <w:rPr>
                <w:rFonts w:ascii="Calibri" w:hAnsi="Calibri"/>
                <w:sz w:val="20"/>
              </w:rPr>
              <w:t>4 сентября 2026 г. Реестр registry и лист gaps в одном XLSX; настоящий аналитический отчёт.</w:t>
            </w:r>
          </w:p>
        </w:tc>
      </w:tr>
    </w:tbl>
    <w:p>
      <w:pPr>
        <w:spacing w:after="20"/>
      </w:pPr>
    </w:p>
    <w:p>
      <w:r>
        <w:t>Ядро выделено по исходному DR: самостоятельный философский корпус Альберта Великого; произведения Фомы и Бонавентуры; Correctorium Уильяма де ла Мара и разные Correctoria corruptorii; Lectura, Ordinatio, Reportationes и De primo principio Дунса Скота. Исходный документ задаёт также линии Пекхама, Матфея Акваспартского, ранних комментаторов Sententiae и поздней школьной передачи. Его исторический очерк здесь не переписывается.</w:t>
      </w:r>
    </w:p>
    <w:p>
      <w:r>
        <w:t>Живой поиск проводился по латинским названиям и их вариантам, английским, немецким, французским, итальянским, испанским и русским каталожным формулировкам. Искомые объекты: отдельные произведения и корпусные части, критические издания, переводы, исторические печатные тома, рукописи, цифровые тексты, наборы аннотированных данных и сервисы обнаружения. Наличие латинского, английского, русского или арабского слоя указано отдельно от языка поискового запроса.</w:t>
      </w:r>
    </w:p>
    <w:p>
      <w:r>
        <w:t>Для доступа использованы страницы издательств, научных проектов, библиотек, институциональные оцифровки на Internet Archive, Project Gutenberg, CCEL и авторские публикации. Идентификация опирается на каталоги, издательские описания, номера томов и свидетелей. Права проверялись по отдельным лицензионным уведомлениям и применимым условиям, а не по возрасту автора или кнопке Download. Страницы были открыты; там, где PDF, просмотрщик либо полное содержимое не проверены, это явно оставлено в verification_status.</w:t>
      </w:r>
    </w:p>
    <w:p>
      <w:r>
        <w:t>Короткие ссылки R001–R115 в отчёте означают записи T2-25-R001–T2-25-R115 и ведут на соответствующее подтверждение. Полные access source и rights evidence, точные ограничения, даты и идентификаторы сохранены в XLSX. Неподтверждённые конкретные рукописные входы и некоторые поздние линии вынесены в gaps; в итоговых файлах Wikipedia не используется как источник. Регистрации, покупки, выдача книг и обращения к правообладателям не выполнялись.</w:t>
      </w:r>
    </w:p>
    <w:p>
      <w:pPr>
        <w:pStyle w:val="Heading1"/>
      </w:pPr>
      <w:r>
        <w:t>2. Охват корпуса</w:t>
      </w:r>
    </w:p>
    <w:p>
      <w:pPr>
        <w:pStyle w:val="Heading2"/>
      </w:pPr>
      <w:r>
        <w:t>2.1. Что взято из DR и что добавлено поиском</w:t>
      </w:r>
    </w:p>
    <w:p>
      <w:r>
        <w:t>Из исходного DR извлечены все главные названные произведения: у Фомы — Scriptum, De ente et essentia, обе Summae; у Бонавентуры — комментарий к Sententiae, De scientia Christi, Breviloquium, Itinerarium и Hexaemeron; у Скота — разные лекционные и редакционные корпуса и De primo principio. Для Альберта исходник задаёт не закрытый список, а философско-аристотелевский корпус. Отдельно сохранена полемическая цепь де ла Мар — Кнапвелл — Орфорд — Иоанн Парижский; недоступные звенья не заменены общей ссылкой на «томизм».</w:t>
      </w:r>
    </w:p>
    <w:p>
      <w:r>
        <w:t>Веб-поиск расширил томистский блок quaestiones de veritate, de potentia, de anima, de malo, de spiritualibus creaturis, de virtutibus, Quodlibeta, короткими трактатами и конкретными комментариями к Аристотелю, Боэцию, Дионисию и Liber de causis. Включены орденские полемические тексты Contra impugnantes, De perfectione spiritualis vitae и Contra retrahentes: их связь определяется самим институциональным конфликтом, а не только принадлежностью Фомы к ордену.</w:t>
      </w:r>
      <w:r>
        <w:rPr>
          <w:sz w:val="18"/>
        </w:rPr>
        <w:t xml:space="preserve">  </w:t>
      </w:r>
      <w:hyperlink r:id="rId11">
        <w:r>
          <w:rPr>
            <w:color w:val="176C79"/>
            <w:sz w:val="18"/>
          </w:rPr>
          <w:t>R006</w:t>
        </w:r>
      </w:hyperlink>
      <w:r>
        <w:rPr>
          <w:sz w:val="18"/>
        </w:rPr>
        <w:t xml:space="preserve"> · </w:t>
      </w:r>
      <w:hyperlink r:id="rId11">
        <w:r>
          <w:rPr>
            <w:color w:val="176C79"/>
            <w:sz w:val="18"/>
          </w:rPr>
          <w:t>R009</w:t>
        </w:r>
      </w:hyperlink>
      <w:r>
        <w:rPr>
          <w:sz w:val="18"/>
        </w:rPr>
        <w:t xml:space="preserve"> · </w:t>
      </w:r>
      <w:hyperlink r:id="rId11">
        <w:r>
          <w:rPr>
            <w:color w:val="176C79"/>
            <w:sz w:val="18"/>
          </w:rPr>
          <w:t>R018</w:t>
        </w:r>
      </w:hyperlink>
      <w:r>
        <w:rPr>
          <w:sz w:val="18"/>
        </w:rPr>
        <w:t xml:space="preserve"> · </w:t>
      </w:r>
      <w:hyperlink r:id="rId11">
        <w:r>
          <w:rPr>
            <w:color w:val="176C79"/>
            <w:sz w:val="18"/>
          </w:rPr>
          <w:t>R020</w:t>
        </w:r>
      </w:hyperlink>
      <w:r>
        <w:rPr>
          <w:sz w:val="18"/>
        </w:rPr>
        <w:t xml:space="preserve"> · </w:t>
      </w:r>
      <w:hyperlink r:id="rId11">
        <w:r>
          <w:rPr>
            <w:color w:val="176C79"/>
            <w:sz w:val="18"/>
          </w:rPr>
          <w:t>R021</w:t>
        </w:r>
      </w:hyperlink>
      <w:r>
        <w:rPr>
          <w:sz w:val="18"/>
        </w:rPr>
        <w:t xml:space="preserve"> · </w:t>
      </w:r>
      <w:hyperlink r:id="rId11">
        <w:r>
          <w:rPr>
            <w:color w:val="176C79"/>
            <w:sz w:val="18"/>
          </w:rPr>
          <w:t>R022</w:t>
        </w:r>
      </w:hyperlink>
      <w:r>
        <w:rPr>
          <w:sz w:val="18"/>
        </w:rPr>
        <w:t xml:space="preserve"> · </w:t>
      </w:r>
      <w:hyperlink r:id="rId11">
        <w:r>
          <w:rPr>
            <w:color w:val="176C79"/>
            <w:sz w:val="18"/>
          </w:rPr>
          <w:t>R025</w:t>
        </w:r>
      </w:hyperlink>
      <w:r>
        <w:rPr>
          <w:sz w:val="18"/>
        </w:rPr>
        <w:t xml:space="preserve"> · </w:t>
      </w:r>
      <w:hyperlink r:id="rId11">
        <w:r>
          <w:rPr>
            <w:color w:val="176C79"/>
            <w:sz w:val="18"/>
          </w:rPr>
          <w:t>R026</w:t>
        </w:r>
      </w:hyperlink>
    </w:p>
    <w:p>
      <w:r>
        <w:t>Существенное расширение — открытые критические издания Ричарда Фишакра, Роберта Килуордби, Уильяма де ла Мара и Фомы Саттона. Эти авторы не служат декоративным фоном четырём главным фигурам: их комментарии используют ту же Sentences-матрицу, а Contra Quodlibet Iohannis Duns Scoti непосредственно отвечает Скоту. Добавлены также каутоновские комментарии, Summa Halensis, альбертовские De vegetabilibus, De animalibus, De fato и конкретные рукописные свидетели.</w:t>
      </w:r>
      <w:r>
        <w:rPr>
          <w:sz w:val="18"/>
        </w:rPr>
        <w:t xml:space="preserve">  </w:t>
      </w:r>
      <w:hyperlink r:id="rId12">
        <w:r>
          <w:rPr>
            <w:color w:val="176C79"/>
            <w:sz w:val="18"/>
          </w:rPr>
          <w:t>R044</w:t>
        </w:r>
      </w:hyperlink>
      <w:r>
        <w:rPr>
          <w:sz w:val="18"/>
        </w:rPr>
        <w:t xml:space="preserve"> · </w:t>
      </w:r>
      <w:hyperlink r:id="rId13">
        <w:r>
          <w:rPr>
            <w:color w:val="176C79"/>
            <w:sz w:val="18"/>
          </w:rPr>
          <w:t>R075</w:t>
        </w:r>
      </w:hyperlink>
      <w:r>
        <w:rPr>
          <w:sz w:val="18"/>
        </w:rPr>
        <w:t xml:space="preserve"> · </w:t>
      </w:r>
      <w:hyperlink r:id="rId14">
        <w:r>
          <w:rPr>
            <w:color w:val="176C79"/>
            <w:sz w:val="18"/>
          </w:rPr>
          <w:t>R076</w:t>
        </w:r>
      </w:hyperlink>
      <w:r>
        <w:rPr>
          <w:sz w:val="18"/>
        </w:rPr>
        <w:t xml:space="preserve"> · </w:t>
      </w:r>
      <w:hyperlink r:id="rId15">
        <w:r>
          <w:rPr>
            <w:color w:val="176C79"/>
            <w:sz w:val="18"/>
          </w:rPr>
          <w:t>R078</w:t>
        </w:r>
      </w:hyperlink>
      <w:r>
        <w:rPr>
          <w:sz w:val="18"/>
        </w:rPr>
        <w:t xml:space="preserve"> · </w:t>
      </w:r>
      <w:hyperlink r:id="rId16">
        <w:r>
          <w:rPr>
            <w:color w:val="176C79"/>
            <w:sz w:val="18"/>
          </w:rPr>
          <w:t>R082</w:t>
        </w:r>
      </w:hyperlink>
      <w:r>
        <w:rPr>
          <w:sz w:val="18"/>
        </w:rPr>
        <w:t xml:space="preserve"> · </w:t>
      </w:r>
      <w:hyperlink r:id="rId17">
        <w:r>
          <w:rPr>
            <w:color w:val="176C79"/>
            <w:sz w:val="18"/>
          </w:rPr>
          <w:t>R088</w:t>
        </w:r>
      </w:hyperlink>
      <w:r>
        <w:rPr>
          <w:sz w:val="18"/>
        </w:rPr>
        <w:t xml:space="preserve"> · </w:t>
      </w:r>
      <w:hyperlink r:id="rId18">
        <w:r>
          <w:rPr>
            <w:color w:val="176C79"/>
            <w:sz w:val="18"/>
          </w:rPr>
          <w:t>R095</w:t>
        </w:r>
      </w:hyperlink>
      <w:r>
        <w:rPr>
          <w:sz w:val="18"/>
        </w:rPr>
        <w:t xml:space="preserve"> · </w:t>
      </w:r>
      <w:hyperlink r:id="rId19">
        <w:r>
          <w:rPr>
            <w:color w:val="176C79"/>
            <w:sz w:val="18"/>
          </w:rPr>
          <w:t>R113</w:t>
        </w:r>
      </w:hyperlink>
    </w:p>
    <w:p>
      <w:r>
        <w:t>В бонавентуровском блоке найдены дополнительные De reductione artium, De perfectione evangelica и Apologia pauperum. Том V Quaracchi даёт также De mysterio Trinitatis, Collationes de septem donis и De decem praeceptis внутри общего файла. Эти внутренние произведения отмечены в составе тома, но PDF не раздут в несколько фиктивных цифровых объектов. Индексный том X учитывается как supporting, не как ещё один философский трактат.</w:t>
      </w:r>
      <w:r>
        <w:rPr>
          <w:sz w:val="18"/>
        </w:rPr>
        <w:t xml:space="preserve">  </w:t>
      </w:r>
      <w:hyperlink r:id="rId20">
        <w:r>
          <w:rPr>
            <w:color w:val="176C79"/>
            <w:sz w:val="18"/>
          </w:rPr>
          <w:t>R038</w:t>
        </w:r>
      </w:hyperlink>
      <w:r>
        <w:rPr>
          <w:sz w:val="18"/>
        </w:rPr>
        <w:t xml:space="preserve"> · </w:t>
      </w:r>
      <w:hyperlink r:id="rId21">
        <w:r>
          <w:rPr>
            <w:color w:val="176C79"/>
            <w:sz w:val="18"/>
          </w:rPr>
          <w:t>R039</w:t>
        </w:r>
      </w:hyperlink>
      <w:r>
        <w:rPr>
          <w:sz w:val="18"/>
        </w:rPr>
        <w:t xml:space="preserve"> · </w:t>
      </w:r>
      <w:hyperlink r:id="rId22">
        <w:r>
          <w:rPr>
            <w:color w:val="176C79"/>
            <w:sz w:val="18"/>
          </w:rPr>
          <w:t>R040</w:t>
        </w:r>
      </w:hyperlink>
      <w:r>
        <w:rPr>
          <w:sz w:val="18"/>
        </w:rPr>
        <w:t xml:space="preserve"> · </w:t>
      </w:r>
      <w:hyperlink r:id="rId23">
        <w:r>
          <w:rPr>
            <w:color w:val="176C79"/>
            <w:sz w:val="18"/>
          </w:rPr>
          <w:t>R041</w:t>
        </w:r>
      </w:hyperlink>
      <w:r>
        <w:rPr>
          <w:sz w:val="18"/>
        </w:rPr>
        <w:t xml:space="preserve"> · </w:t>
      </w:r>
      <w:hyperlink r:id="rId24">
        <w:r>
          <w:rPr>
            <w:color w:val="176C79"/>
            <w:sz w:val="18"/>
          </w:rPr>
          <w:t>R072</w:t>
        </w:r>
      </w:hyperlink>
    </w:p>
    <w:p>
      <w:pPr>
        <w:pStyle w:val="Heading2"/>
      </w:pPr>
      <w:r>
        <w:t>2.2. Количественная рамка</w:t>
      </w:r>
    </w:p>
    <w:tbl>
      <w:tblPr>
        <w:tblW w:type="auto" w:w="0"/>
        <w:jc w:val="center"/>
        <w:tblLayout w:type="fixed"/>
        <w:tblLook w:firstColumn="1" w:firstRow="1" w:lastColumn="0" w:lastRow="0" w:noHBand="0" w:noVBand="1" w:val="04A0"/>
      </w:tblPr>
      <w:tblGrid>
        <w:gridCol w:w="2381"/>
        <w:gridCol w:w="7257"/>
      </w:tblGrid>
      <w:tr>
        <w:trPr>
          <w:tblHeader/>
        </w:trPr>
        <w:tc>
          <w:tcPr>
            <w:tcW w:type="dxa" w:w="2381"/>
            <w:shd w:fill="163F4A"/>
          </w:tcPr>
          <w:p>
            <w:pPr>
              <w:spacing w:after="80" w:before="80" w:line="247" w:lineRule="auto"/>
            </w:pPr>
            <w:r>
              <w:rPr>
                <w:rFonts w:ascii="Calibri" w:hAnsi="Calibri"/>
                <w:b/>
                <w:color w:val="FFFFFF"/>
                <w:sz w:val="20"/>
              </w:rPr>
              <w:t>Что считается</w:t>
            </w:r>
          </w:p>
        </w:tc>
        <w:tc>
          <w:tcPr>
            <w:tcW w:type="dxa" w:w="7257"/>
            <w:shd w:fill="163F4A"/>
          </w:tcPr>
          <w:p>
            <w:pPr>
              <w:spacing w:after="80" w:before="80" w:line="247" w:lineRule="auto"/>
            </w:pPr>
            <w:r>
              <w:rPr>
                <w:rFonts w:ascii="Calibri" w:hAnsi="Calibri"/>
                <w:b/>
                <w:color w:val="FFFFFF"/>
                <w:sz w:val="20"/>
              </w:rPr>
              <w:t>Итог и ограничение</w:t>
            </w:r>
          </w:p>
        </w:tc>
      </w:tr>
      <w:tr>
        <w:trPr>
          <w:cantSplit/>
        </w:trPr>
        <w:tc>
          <w:tcPr>
            <w:tcW w:type="dxa" w:w="2381"/>
            <w:vAlign w:val="top"/>
            <w:shd w:fill="EFF5F6"/>
          </w:tcPr>
          <w:p>
            <w:pPr>
              <w:spacing w:after="80" w:before="80" w:line="247" w:lineRule="auto"/>
            </w:pPr>
            <w:r>
              <w:rPr>
                <w:rFonts w:ascii="Calibri" w:hAnsi="Calibri"/>
                <w:sz w:val="20"/>
              </w:rPr>
              <w:t>Способы доступа</w:t>
            </w:r>
          </w:p>
        </w:tc>
        <w:tc>
          <w:tcPr>
            <w:tcW w:type="dxa" w:w="7257"/>
            <w:vAlign w:val="top"/>
            <w:shd w:fill="EFF5F6"/>
          </w:tcPr>
          <w:p>
            <w:pPr>
              <w:spacing w:after="80" w:before="80" w:line="247" w:lineRule="auto"/>
            </w:pPr>
            <w:r>
              <w:rPr>
                <w:rFonts w:ascii="Calibri" w:hAnsi="Calibri"/>
                <w:sz w:val="20"/>
              </w:rPr>
              <w:t>115 самостоятельных записей. Разные переводы, редакции, репозитории и цифровые версии могут относиться к одному произведению.</w:t>
            </w:r>
          </w:p>
        </w:tc>
      </w:tr>
      <w:tr>
        <w:trPr>
          <w:cantSplit/>
        </w:trPr>
        <w:tc>
          <w:tcPr>
            <w:tcW w:type="dxa" w:w="2381"/>
            <w:vAlign w:val="top"/>
          </w:tcPr>
          <w:p>
            <w:pPr>
              <w:spacing w:after="80" w:before="80" w:line="247" w:lineRule="auto"/>
            </w:pPr>
            <w:r>
              <w:rPr>
                <w:rFonts w:ascii="Calibri" w:hAnsi="Calibri"/>
                <w:sz w:val="20"/>
              </w:rPr>
              <w:t>Произведения / корпусные семейства</w:t>
            </w:r>
          </w:p>
        </w:tc>
        <w:tc>
          <w:tcPr>
            <w:tcW w:type="dxa" w:w="7257"/>
            <w:vAlign w:val="top"/>
          </w:tcPr>
          <w:p>
            <w:pPr>
              <w:spacing w:after="80" w:before="80" w:line="247" w:lineRule="auto"/>
            </w:pPr>
            <w:r>
              <w:rPr>
                <w:rFonts w:ascii="Calibri" w:hAnsi="Calibri"/>
                <w:sz w:val="20"/>
              </w:rPr>
              <w:t>Около 70 при укрупнённой группировке. Части одного Sentences-комментария и разные переводы объединены; перекрывающиеся Opera omnia не прибавлены как новый набор произведений. Это не число всех внутренних трактатов и quaestiones.</w:t>
            </w:r>
          </w:p>
        </w:tc>
      </w:tr>
      <w:tr>
        <w:trPr>
          <w:cantSplit/>
        </w:trPr>
        <w:tc>
          <w:tcPr>
            <w:tcW w:type="dxa" w:w="2381"/>
            <w:vAlign w:val="top"/>
            <w:shd w:fill="EFF5F6"/>
          </w:tcPr>
          <w:p>
            <w:pPr>
              <w:spacing w:after="80" w:before="80" w:line="247" w:lineRule="auto"/>
            </w:pPr>
            <w:r>
              <w:rPr>
                <w:rFonts w:ascii="Calibri" w:hAnsi="Calibri"/>
                <w:sz w:val="20"/>
              </w:rPr>
              <w:t>Распределение релевантности</w:t>
            </w:r>
          </w:p>
        </w:tc>
        <w:tc>
          <w:tcPr>
            <w:tcW w:type="dxa" w:w="7257"/>
            <w:vAlign w:val="top"/>
            <w:shd w:fill="EFF5F6"/>
          </w:tcPr>
          <w:p>
            <w:pPr>
              <w:spacing w:after="80" w:before="80" w:line="247" w:lineRule="auto"/>
            </w:pPr>
            <w:r>
              <w:rPr>
                <w:rFonts w:ascii="Calibri" w:hAnsi="Calibri"/>
                <w:sz w:val="20"/>
              </w:rPr>
              <w:t>47 core; 39 same_corpus_or_tradition; 12 antecedent; 3 continuation; 4 commentary_or_reception; 7 infrastructure; 2 secondary_navigation; 1 supporting. Это числа записей, не произведений.</w:t>
            </w:r>
          </w:p>
        </w:tc>
      </w:tr>
      <w:tr>
        <w:trPr>
          <w:cantSplit/>
        </w:trPr>
        <w:tc>
          <w:tcPr>
            <w:tcW w:type="dxa" w:w="2381"/>
            <w:vAlign w:val="top"/>
          </w:tcPr>
          <w:p>
            <w:pPr>
              <w:spacing w:after="80" w:before="80" w:line="247" w:lineRule="auto"/>
            </w:pPr>
            <w:r>
              <w:rPr>
                <w:rFonts w:ascii="Calibri" w:hAnsi="Calibri"/>
                <w:sz w:val="20"/>
              </w:rPr>
              <w:t>Пробелы</w:t>
            </w:r>
          </w:p>
        </w:tc>
        <w:tc>
          <w:tcPr>
            <w:tcW w:type="dxa" w:w="7257"/>
            <w:vAlign w:val="top"/>
          </w:tcPr>
          <w:p>
            <w:pPr>
              <w:spacing w:after="80" w:before="80" w:line="247" w:lineRule="auto"/>
            </w:pPr>
            <w:r>
              <w:rPr>
                <w:rFonts w:ascii="Calibri" w:hAnsi="Calibri"/>
                <w:sz w:val="20"/>
              </w:rPr>
              <w:t>28 позиций gaps: отсутствующие проверенные входы, непроверенные файлы, атрибуционные и правовые вопросы, направления доисследования.</w:t>
            </w:r>
          </w:p>
        </w:tc>
      </w:tr>
    </w:tbl>
    <w:p>
      <w:pPr>
        <w:spacing w:after="20"/>
      </w:pPr>
    </w:p>
    <w:p>
      <w:r>
        <w:t>Реестр содержит 39 путей с бесплатной загрузкой и 29 путей покупки; режимы могут пересекаться. Это не означает 39 полных корпусов: среди них отдельные тома, фрагменты, выбранные разделы и один рукописный свидетель. Метаданные, анонс Full View и фактически проверенный текст разведены. Служебные проекты и справочные входы не входят в оценку числа первичных произведений.</w:t>
      </w:r>
    </w:p>
    <w:p>
      <w:pPr>
        <w:pStyle w:val="Heading2"/>
      </w:pPr>
      <w:r>
        <w:t>2.3. Поиск назад во времени</w:t>
      </w:r>
    </w:p>
    <w:p>
      <w:r>
        <w:t>Пётр Ломбардский включён как прямой общий оригинал комментирования, а не как «ещё один средневековый богослов». Современный перевод первой книги PIMS дополняется TEI проекта SCTA, но лицензия последнего подтверждена лишь для одного проверенного компонента. Summa Halensis представлена третьей частью в инкунабуле 1475 г.: ранний францисканский состав корпуса и поздний печатный носитель не смешаны. Комментарий Фишакра — ближайший институциональный предшественник в той же университетской процедуре.</w:t>
      </w:r>
      <w:r>
        <w:rPr>
          <w:sz w:val="18"/>
        </w:rPr>
        <w:t xml:space="preserve">  </w:t>
      </w:r>
      <w:hyperlink r:id="rId25">
        <w:r>
          <w:rPr>
            <w:color w:val="176C79"/>
            <w:sz w:val="18"/>
          </w:rPr>
          <w:t>R086</w:t>
        </w:r>
      </w:hyperlink>
      <w:r>
        <w:rPr>
          <w:sz w:val="18"/>
        </w:rPr>
        <w:t xml:space="preserve"> · </w:t>
      </w:r>
      <w:hyperlink r:id="rId26">
        <w:r>
          <w:rPr>
            <w:color w:val="176C79"/>
            <w:sz w:val="18"/>
          </w:rPr>
          <w:t>R087</w:t>
        </w:r>
      </w:hyperlink>
      <w:r>
        <w:rPr>
          <w:sz w:val="18"/>
        </w:rPr>
        <w:t xml:space="preserve"> · </w:t>
      </w:r>
      <w:hyperlink r:id="rId17">
        <w:r>
          <w:rPr>
            <w:color w:val="176C79"/>
            <w:sz w:val="18"/>
          </w:rPr>
          <w:t>R088</w:t>
        </w:r>
      </w:hyperlink>
      <w:r>
        <w:rPr>
          <w:sz w:val="18"/>
        </w:rPr>
        <w:t xml:space="preserve"> · </w:t>
      </w:r>
      <w:hyperlink r:id="rId13">
        <w:r>
          <w:rPr>
            <w:color w:val="176C79"/>
            <w:sz w:val="18"/>
          </w:rPr>
          <w:t>R075</w:t>
        </w:r>
      </w:hyperlink>
    </w:p>
    <w:p>
      <w:r>
        <w:t>Для дальнего входящего слоя включены De trinitate Августина, богословские трактаты Боэция, Divine Names / Mystical Theology Псевдо-Дионисия, метафизическая часть Healing Авиценны и большой комментарий Аверроэса к De anima. Связь конкретна: Фома прямо комментирует Боэция и Дионисия; De unitate intellectus относится к полемике вокруг аверроистского прочтения интеллекта; авиценновский и августиновский материалы названы в DR как источники метафизики и познания. Современный арабско-английский Авиценна и английский Аверроэс не объявлены теми латинскими версиями, которыми пользовались авторы XIII в.</w:t>
      </w:r>
      <w:r>
        <w:rPr>
          <w:sz w:val="18"/>
        </w:rPr>
        <w:t xml:space="preserve">  </w:t>
      </w:r>
      <w:hyperlink r:id="rId11">
        <w:r>
          <w:rPr>
            <w:color w:val="176C79"/>
            <w:sz w:val="18"/>
          </w:rPr>
          <w:t>R023</w:t>
        </w:r>
      </w:hyperlink>
      <w:r>
        <w:rPr>
          <w:sz w:val="18"/>
        </w:rPr>
        <w:t xml:space="preserve"> · </w:t>
      </w:r>
      <w:hyperlink r:id="rId11">
        <w:r>
          <w:rPr>
            <w:color w:val="176C79"/>
            <w:sz w:val="18"/>
          </w:rPr>
          <w:t>R024</w:t>
        </w:r>
      </w:hyperlink>
      <w:r>
        <w:rPr>
          <w:sz w:val="18"/>
        </w:rPr>
        <w:t xml:space="preserve"> · </w:t>
      </w:r>
      <w:hyperlink r:id="rId11">
        <w:r>
          <w:rPr>
            <w:color w:val="176C79"/>
            <w:sz w:val="18"/>
          </w:rPr>
          <w:t>R026</w:t>
        </w:r>
      </w:hyperlink>
      <w:r>
        <w:rPr>
          <w:sz w:val="18"/>
        </w:rPr>
        <w:t xml:space="preserve"> · </w:t>
      </w:r>
      <w:hyperlink r:id="rId27">
        <w:r>
          <w:rPr>
            <w:color w:val="176C79"/>
            <w:sz w:val="18"/>
          </w:rPr>
          <w:t>R098</w:t>
        </w:r>
      </w:hyperlink>
      <w:r>
        <w:rPr>
          <w:sz w:val="18"/>
        </w:rPr>
        <w:t xml:space="preserve"> · </w:t>
      </w:r>
      <w:hyperlink r:id="rId28">
        <w:r>
          <w:rPr>
            <w:color w:val="176C79"/>
            <w:sz w:val="18"/>
          </w:rPr>
          <w:t>R100</w:t>
        </w:r>
      </w:hyperlink>
      <w:r>
        <w:rPr>
          <w:sz w:val="18"/>
        </w:rPr>
        <w:t xml:space="preserve"> · </w:t>
      </w:r>
      <w:hyperlink r:id="rId29">
        <w:r>
          <w:rPr>
            <w:color w:val="176C79"/>
            <w:sz w:val="18"/>
          </w:rPr>
          <w:t>R106</w:t>
        </w:r>
      </w:hyperlink>
      <w:r>
        <w:rPr>
          <w:sz w:val="18"/>
        </w:rPr>
        <w:t xml:space="preserve"> · </w:t>
      </w:r>
      <w:hyperlink r:id="rId30">
        <w:r>
          <w:rPr>
            <w:color w:val="176C79"/>
            <w:sz w:val="18"/>
          </w:rPr>
          <w:t>R107</w:t>
        </w:r>
      </w:hyperlink>
      <w:r>
        <w:rPr>
          <w:sz w:val="18"/>
        </w:rPr>
        <w:t xml:space="preserve"> · </w:t>
      </w:r>
      <w:hyperlink r:id="rId31">
        <w:r>
          <w:rPr>
            <w:color w:val="176C79"/>
            <w:sz w:val="18"/>
          </w:rPr>
          <w:t>R108</w:t>
        </w:r>
      </w:hyperlink>
    </w:p>
    <w:p>
      <w:r>
        <w:t>Аристотель не заменён современным общим собранием: найден Aristoteles Latinus Database как профессиональный подписной вход именно в средневековые латинские переводы. Полноценные item-level маршруты к требуемым версиям De anima, Metaphysica и Analytica posteriora остаются отдельным пробелом. Аналогично комментарий Фомы к Liber de causis не принят за отдельное свободное издание самого входящего текста.</w:t>
      </w:r>
      <w:r>
        <w:rPr>
          <w:sz w:val="18"/>
        </w:rPr>
        <w:t xml:space="preserve">  </w:t>
      </w:r>
      <w:hyperlink r:id="rId11">
        <w:r>
          <w:rPr>
            <w:color w:val="176C79"/>
            <w:sz w:val="18"/>
          </w:rPr>
          <w:t>R025</w:t>
        </w:r>
      </w:hyperlink>
      <w:r>
        <w:rPr>
          <w:sz w:val="18"/>
        </w:rPr>
        <w:t xml:space="preserve"> · </w:t>
      </w:r>
      <w:hyperlink r:id="rId32">
        <w:r>
          <w:rPr>
            <w:color w:val="176C79"/>
            <w:sz w:val="18"/>
          </w:rPr>
          <w:t>R099</w:t>
        </w:r>
      </w:hyperlink>
    </w:p>
    <w:p>
      <w:pPr>
        <w:pStyle w:val="Heading2"/>
      </w:pPr>
      <w:r>
        <w:t>2.4. Поиск вперёд во времени</w:t>
      </w:r>
    </w:p>
    <w:p>
      <w:r>
        <w:t>Прямые продолжения и ответы включают продолжение De regno Птолемеем Луккским, антискотовский трактат Саттона и комментарии Роберта Каутона к Sententiae, связанные с оксфордской работой 1309–1311 гг. Для Каутона найдены официальные записи изданий, но не подтверждены открытые PDF. Здесь «позднее» означает развитие относительно поколения Фомы и Бонавентуры либо завершающей фазы плотного ядра DR, а не обязательно выход за XIII–XV вв. мастер-строки.</w:t>
      </w:r>
      <w:r>
        <w:rPr>
          <w:sz w:val="18"/>
        </w:rPr>
        <w:t xml:space="preserve">  </w:t>
      </w:r>
      <w:hyperlink r:id="rId11">
        <w:r>
          <w:rPr>
            <w:color w:val="176C79"/>
            <w:sz w:val="18"/>
          </w:rPr>
          <w:t>R030</w:t>
        </w:r>
      </w:hyperlink>
      <w:r>
        <w:rPr>
          <w:sz w:val="18"/>
        </w:rPr>
        <w:t xml:space="preserve"> · </w:t>
      </w:r>
      <w:hyperlink r:id="rId16">
        <w:r>
          <w:rPr>
            <w:color w:val="176C79"/>
            <w:sz w:val="18"/>
          </w:rPr>
          <w:t>R082</w:t>
        </w:r>
      </w:hyperlink>
      <w:r>
        <w:rPr>
          <w:sz w:val="18"/>
        </w:rPr>
        <w:t xml:space="preserve"> · </w:t>
      </w:r>
      <w:hyperlink r:id="rId19">
        <w:r>
          <w:rPr>
            <w:color w:val="176C79"/>
            <w:sz w:val="18"/>
          </w:rPr>
          <w:t>R113</w:t>
        </w:r>
      </w:hyperlink>
      <w:r>
        <w:rPr>
          <w:sz w:val="18"/>
        </w:rPr>
        <w:t xml:space="preserve"> · </w:t>
      </w:r>
      <w:hyperlink r:id="rId33">
        <w:r>
          <w:rPr>
            <w:color w:val="176C79"/>
            <w:sz w:val="18"/>
          </w:rPr>
          <w:t>R114</w:t>
        </w:r>
      </w:hyperlink>
    </w:p>
    <w:p>
      <w:r>
        <w:t>Собственно внепериодный поздний контур включает продолжение комментария к Perihermeneias Каэтаном в начале XVI в., комментарий Франциска Ликета в историческом скотовском издании и Summa theologica Иеронима Монтефортинского, составленную из Скота. Капреол XV в. представляет школьную защиту Фомы внутри периода канонизации. Для каждого такого объекта сохранена функция — продолжение конкретного текста, защита, комментарий или перекомпоновка авторского корпуса; общей библиографии «всего томизма» и «всего скотизма» не создавалось.</w:t>
      </w:r>
      <w:r>
        <w:rPr>
          <w:sz w:val="18"/>
        </w:rPr>
        <w:t xml:space="preserve">  </w:t>
      </w:r>
      <w:hyperlink r:id="rId11">
        <w:r>
          <w:rPr>
            <w:color w:val="176C79"/>
            <w:sz w:val="18"/>
          </w:rPr>
          <w:t>R031</w:t>
        </w:r>
      </w:hyperlink>
      <w:r>
        <w:rPr>
          <w:sz w:val="18"/>
        </w:rPr>
        <w:t xml:space="preserve"> · </w:t>
      </w:r>
      <w:hyperlink r:id="rId34">
        <w:r>
          <w:rPr>
            <w:color w:val="176C79"/>
            <w:sz w:val="18"/>
          </w:rPr>
          <w:t>R068</w:t>
        </w:r>
      </w:hyperlink>
      <w:r>
        <w:rPr>
          <w:sz w:val="18"/>
        </w:rPr>
        <w:t xml:space="preserve"> · </w:t>
      </w:r>
      <w:hyperlink r:id="rId35">
        <w:r>
          <w:rPr>
            <w:color w:val="176C79"/>
            <w:sz w:val="18"/>
          </w:rPr>
          <w:t>R059</w:t>
        </w:r>
      </w:hyperlink>
      <w:r>
        <w:rPr>
          <w:sz w:val="18"/>
        </w:rPr>
        <w:t xml:space="preserve"> · </w:t>
      </w:r>
      <w:hyperlink r:id="rId36">
        <w:r>
          <w:rPr>
            <w:color w:val="176C79"/>
            <w:sz w:val="18"/>
          </w:rPr>
          <w:t>R089</w:t>
        </w:r>
      </w:hyperlink>
    </w:p>
    <w:p>
      <w:r>
        <w:t>Издания XIX–XXI вв. образуют ещё один слой передачи, но не меняют историческую датировку произведения. Роль transmission_or_preservation поясняется в версии и notes; отдельный тег применялся только при необходимости выделить доминирующую релевантность. В этом наборе поздние переводы центральных текстов остаются core, а не автоматически понижаются до вспомогательных объектов. Пограничная оккамистская критика оставлена в gaps, поскольку конкретный корпусный вход ещё требует проверки.</w:t>
      </w:r>
    </w:p>
    <w:p>
      <w:pPr>
        <w:pStyle w:val="Heading1"/>
      </w:pPr>
      <w:r>
        <w:t>3. Лучшие пути доступа</w:t>
      </w:r>
    </w:p>
    <w:p>
      <w:pPr>
        <w:pStyle w:val="Heading2"/>
      </w:pPr>
      <w:r>
        <w:t>3.1. Фома Аквинский</w:t>
      </w:r>
    </w:p>
    <w:p>
      <w:r>
        <w:t>Для бесплатного чтения латинского оригинала основной рабочий вход — Corpus Thomisticum. Реестр ведёт не только на портал, но на De ente, Summa contra Gentiles, Summa theologiae, Scriptum и конкретные трактаты и комментарии. Для многосоставных сочинений проверялись оглавления и доступные части, а не каждая страница всего корпуса. Цифровой текст удобен для чтения и сопоставления, однако copyright-уведомление проекта не предоставляет общей открытой лицензии на копирование его редакторского и транскрипционного слоя.</w:t>
      </w:r>
      <w:r>
        <w:rPr>
          <w:sz w:val="18"/>
        </w:rPr>
        <w:t xml:space="preserve">  </w:t>
      </w:r>
      <w:hyperlink r:id="rId11">
        <w:r>
          <w:rPr>
            <w:color w:val="176C79"/>
            <w:sz w:val="18"/>
          </w:rPr>
          <w:t>R001</w:t>
        </w:r>
      </w:hyperlink>
      <w:r>
        <w:rPr>
          <w:sz w:val="18"/>
        </w:rPr>
        <w:t xml:space="preserve"> · </w:t>
      </w:r>
      <w:hyperlink r:id="rId11">
        <w:r>
          <w:rPr>
            <w:color w:val="176C79"/>
            <w:sz w:val="18"/>
          </w:rPr>
          <w:t>R002</w:t>
        </w:r>
      </w:hyperlink>
      <w:r>
        <w:rPr>
          <w:sz w:val="18"/>
        </w:rPr>
        <w:t xml:space="preserve"> · </w:t>
      </w:r>
      <w:hyperlink r:id="rId11">
        <w:r>
          <w:rPr>
            <w:color w:val="176C79"/>
            <w:sz w:val="18"/>
          </w:rPr>
          <w:t>R003</w:t>
        </w:r>
      </w:hyperlink>
      <w:r>
        <w:rPr>
          <w:sz w:val="18"/>
        </w:rPr>
        <w:t xml:space="preserve"> · </w:t>
      </w:r>
      <w:hyperlink r:id="rId11">
        <w:r>
          <w:rPr>
            <w:color w:val="176C79"/>
            <w:sz w:val="18"/>
          </w:rPr>
          <w:t>R004</w:t>
        </w:r>
      </w:hyperlink>
      <w:r>
        <w:rPr>
          <w:sz w:val="18"/>
        </w:rPr>
        <w:t xml:space="preserve"> · </w:t>
      </w:r>
      <w:hyperlink r:id="rId11">
        <w:r>
          <w:rPr>
            <w:color w:val="176C79"/>
            <w:sz w:val="18"/>
          </w:rPr>
          <w:t>R005</w:t>
        </w:r>
      </w:hyperlink>
    </w:p>
    <w:p>
      <w:r>
        <w:t>Для старого английского перевода Summa theologica наиболее определённый свободный путь — Project Gutenberg: четыре записи сведены в один переводческий маршрут. Представлены I, I–II, II–II и III; Supplementum отдельно не подтверждён. Форматы перечислены в одной записи. Public domain заявлен для США, поэтому публичное размещение ToS за пределами этой юрисдикции требует отдельной проверки; это также не освобождает новые научные переводы и комментарии.</w:t>
      </w:r>
      <w:r>
        <w:rPr>
          <w:sz w:val="18"/>
        </w:rPr>
        <w:t xml:space="preserve">  </w:t>
      </w:r>
      <w:hyperlink r:id="rId37">
        <w:r>
          <w:rPr>
            <w:color w:val="176C79"/>
            <w:sz w:val="18"/>
          </w:rPr>
          <w:t>R090</w:t>
        </w:r>
      </w:hyperlink>
    </w:p>
    <w:p>
      <w:r>
        <w:t>Для современной научной работы сохранены платные латинско-английские тома Aquinas Institute / Emmaus Academic: полный комплект Summa, SCG I–II и отдельные тома Scriptum. Включены уже вышедшие тома 2025–2026 гг.; будущий De veritate и ещё не вышедшие части не выданы за наличный доступ. Русский комплект URSS I–VI полезен, но его состав заканчивается на II–II, вопросе 122 и не равен всей Summa. Авторство перевода не подставлено из памяти, когда карточка комплекта его не устанавливает.</w:t>
      </w:r>
      <w:r>
        <w:rPr>
          <w:sz w:val="18"/>
        </w:rPr>
        <w:t xml:space="preserve">  </w:t>
      </w:r>
      <w:hyperlink r:id="rId38">
        <w:r>
          <w:rPr>
            <w:color w:val="176C79"/>
            <w:sz w:val="18"/>
          </w:rPr>
          <w:t>R101</w:t>
        </w:r>
      </w:hyperlink>
      <w:r>
        <w:rPr>
          <w:sz w:val="18"/>
        </w:rPr>
        <w:t xml:space="preserve"> · </w:t>
      </w:r>
      <w:hyperlink r:id="rId39">
        <w:r>
          <w:rPr>
            <w:color w:val="176C79"/>
            <w:sz w:val="18"/>
          </w:rPr>
          <w:t>R102</w:t>
        </w:r>
      </w:hyperlink>
      <w:r>
        <w:rPr>
          <w:sz w:val="18"/>
        </w:rPr>
        <w:t xml:space="preserve"> · </w:t>
      </w:r>
      <w:hyperlink r:id="rId40">
        <w:r>
          <w:rPr>
            <w:color w:val="176C79"/>
            <w:sz w:val="18"/>
          </w:rPr>
          <w:t>R103</w:t>
        </w:r>
      </w:hyperlink>
      <w:r>
        <w:rPr>
          <w:sz w:val="18"/>
        </w:rPr>
        <w:t xml:space="preserve"> · </w:t>
      </w:r>
      <w:hyperlink r:id="rId41">
        <w:r>
          <w:rPr>
            <w:color w:val="176C79"/>
            <w:sz w:val="18"/>
          </w:rPr>
          <w:t>R104</w:t>
        </w:r>
      </w:hyperlink>
      <w:r>
        <w:rPr>
          <w:sz w:val="18"/>
        </w:rPr>
        <w:t xml:space="preserve"> · </w:t>
      </w:r>
      <w:hyperlink r:id="rId42">
        <w:r>
          <w:rPr>
            <w:color w:val="176C79"/>
            <w:sz w:val="18"/>
          </w:rPr>
          <w:t>R105</w:t>
        </w:r>
      </w:hyperlink>
      <w:r>
        <w:rPr>
          <w:sz w:val="18"/>
        </w:rPr>
        <w:t xml:space="preserve"> · </w:t>
      </w:r>
      <w:hyperlink r:id="rId43">
        <w:r>
          <w:rPr>
            <w:color w:val="176C79"/>
            <w:sz w:val="18"/>
          </w:rPr>
          <w:t>R092</w:t>
        </w:r>
      </w:hyperlink>
    </w:p>
    <w:p>
      <w:r>
        <w:t>Лучший машиночитаемый слой — Index Thomisticus Treebank и его вариант Universal Dependencies. Это практически разные форматы аннотации и распространения, поэтому имеются две записи, но не два разных корпуса Фомы. Лицензия CC BY-NC-SA 3.0 допускает некоммерческую обработку в соответствующем объёме с атрибуцией и ShareAlike. Основа преимущественно связана с Summa contra Gentiles и выбранным материалом, а не со всеми Opera omnia. Проверка конкретного релиза остаётся необходимой перед импортом.</w:t>
      </w:r>
      <w:r>
        <w:rPr>
          <w:sz w:val="18"/>
        </w:rPr>
        <w:t xml:space="preserve">  </w:t>
      </w:r>
      <w:hyperlink r:id="rId44">
        <w:r>
          <w:rPr>
            <w:color w:val="176C79"/>
            <w:sz w:val="18"/>
          </w:rPr>
          <w:t>R032</w:t>
        </w:r>
      </w:hyperlink>
      <w:r>
        <w:rPr>
          <w:sz w:val="18"/>
        </w:rPr>
        <w:t xml:space="preserve"> · </w:t>
      </w:r>
      <w:hyperlink r:id="rId45">
        <w:r>
          <w:rPr>
            <w:color w:val="176C79"/>
            <w:sz w:val="18"/>
          </w:rPr>
          <w:t>R033</w:t>
        </w:r>
      </w:hyperlink>
    </w:p>
    <w:p>
      <w:pPr>
        <w:pStyle w:val="Heading2"/>
      </w:pPr>
      <w:r>
        <w:t>3.2. Бонавентура</w:t>
      </w:r>
    </w:p>
    <w:p>
      <w:r>
        <w:t>Лучший совмещённый вход к исторической латыни и скачиванию — том V Quaracchi, оцифрованный Emory. В нём находятся большинство небольших центральных сочинений этой строки. Страница объекта содержит заявление public domain, но есть техническая помета pdf_degraded: до публичного зеркала нужно проверить изображения и полноту страниц. Метаданные платформы о языке и общей дате серии не приняты буквально: основной текст латинский, том относится к 1891 г.</w:t>
      </w:r>
      <w:r>
        <w:rPr>
          <w:sz w:val="18"/>
        </w:rPr>
        <w:t xml:space="preserve">  </w:t>
      </w:r>
      <w:hyperlink r:id="rId23">
        <w:r>
          <w:rPr>
            <w:color w:val="176C79"/>
            <w:sz w:val="18"/>
          </w:rPr>
          <w:t>R041</w:t>
        </w:r>
      </w:hyperlink>
    </w:p>
    <w:p>
      <w:r>
        <w:t>Для большого комментария к Sententiae найдены старые цифровые тома I, III и IV. Второй том остаётся в gaps; три найденные части не названы полным доступом к четырём книгам. У тома IV отмечены бледность, перекосы и обрезанные маргиналии. Наличие сканов не сопровождается во всех случаях столь же ясным заявлением о правах, как у Emory, поэтому положительные права одного репозитория на другие копии не перенесены.</w:t>
      </w:r>
      <w:r>
        <w:rPr>
          <w:sz w:val="18"/>
        </w:rPr>
        <w:t xml:space="preserve">  </w:t>
      </w:r>
      <w:hyperlink r:id="rId46">
        <w:r>
          <w:rPr>
            <w:color w:val="176C79"/>
            <w:sz w:val="18"/>
          </w:rPr>
          <w:t>R042</w:t>
        </w:r>
      </w:hyperlink>
      <w:r>
        <w:rPr>
          <w:sz w:val="18"/>
        </w:rPr>
        <w:t xml:space="preserve"> · </w:t>
      </w:r>
      <w:hyperlink r:id="rId47">
        <w:r>
          <w:rPr>
            <w:color w:val="176C79"/>
            <w:sz w:val="18"/>
          </w:rPr>
          <w:t>R043</w:t>
        </w:r>
      </w:hyperlink>
      <w:r>
        <w:rPr>
          <w:sz w:val="18"/>
        </w:rPr>
        <w:t xml:space="preserve"> · </w:t>
      </w:r>
      <w:hyperlink r:id="rId48">
        <w:r>
          <w:rPr>
            <w:color w:val="176C79"/>
            <w:sz w:val="18"/>
          </w:rPr>
          <w:t>R071</w:t>
        </w:r>
      </w:hyperlink>
    </w:p>
    <w:p>
      <w:r>
        <w:t>Сильнейший современный англоязычный маршрут — Franciscan Institute Publications: De scientia Christi в переводе Hayes, Breviloquium Monti, Itinerarium Boehner / Hayes с латынью, Hexaemeron Hammond, а также De reductione, De perfectione evangelica и Apologia pauperum. Эти издания сохранены как purchase, несмотря на отсутствие права зеркалирования. Русско-латинский Путеводитель души к Богу 1993 г. найден в каталоге URSS, но наличие экземпляра не подтверждено; инициалы переводчика расходятся и требуют титульной сверки.</w:t>
      </w:r>
      <w:r>
        <w:rPr>
          <w:sz w:val="18"/>
        </w:rPr>
        <w:t xml:space="preserve">  </w:t>
      </w:r>
      <w:hyperlink r:id="rId49">
        <w:r>
          <w:rPr>
            <w:color w:val="176C79"/>
            <w:sz w:val="18"/>
          </w:rPr>
          <w:t>R034</w:t>
        </w:r>
      </w:hyperlink>
      <w:r>
        <w:rPr>
          <w:sz w:val="18"/>
        </w:rPr>
        <w:t xml:space="preserve"> · </w:t>
      </w:r>
      <w:hyperlink r:id="rId50">
        <w:r>
          <w:rPr>
            <w:color w:val="176C79"/>
            <w:sz w:val="18"/>
          </w:rPr>
          <w:t>R035</w:t>
        </w:r>
      </w:hyperlink>
      <w:r>
        <w:rPr>
          <w:sz w:val="18"/>
        </w:rPr>
        <w:t xml:space="preserve"> · </w:t>
      </w:r>
      <w:hyperlink r:id="rId51">
        <w:r>
          <w:rPr>
            <w:color w:val="176C79"/>
            <w:sz w:val="18"/>
          </w:rPr>
          <w:t>R036</w:t>
        </w:r>
      </w:hyperlink>
      <w:r>
        <w:rPr>
          <w:sz w:val="18"/>
        </w:rPr>
        <w:t xml:space="preserve"> · </w:t>
      </w:r>
      <w:hyperlink r:id="rId52">
        <w:r>
          <w:rPr>
            <w:color w:val="176C79"/>
            <w:sz w:val="18"/>
          </w:rPr>
          <w:t>R037</w:t>
        </w:r>
      </w:hyperlink>
      <w:r>
        <w:rPr>
          <w:sz w:val="18"/>
        </w:rPr>
        <w:t xml:space="preserve"> · </w:t>
      </w:r>
      <w:hyperlink r:id="rId20">
        <w:r>
          <w:rPr>
            <w:color w:val="176C79"/>
            <w:sz w:val="18"/>
          </w:rPr>
          <w:t>R038</w:t>
        </w:r>
      </w:hyperlink>
      <w:r>
        <w:rPr>
          <w:sz w:val="18"/>
        </w:rPr>
        <w:t xml:space="preserve"> · </w:t>
      </w:r>
      <w:hyperlink r:id="rId21">
        <w:r>
          <w:rPr>
            <w:color w:val="176C79"/>
            <w:sz w:val="18"/>
          </w:rPr>
          <w:t>R039</w:t>
        </w:r>
      </w:hyperlink>
      <w:r>
        <w:rPr>
          <w:sz w:val="18"/>
        </w:rPr>
        <w:t xml:space="preserve"> · </w:t>
      </w:r>
      <w:hyperlink r:id="rId22">
        <w:r>
          <w:rPr>
            <w:color w:val="176C79"/>
            <w:sz w:val="18"/>
          </w:rPr>
          <w:t>R040</w:t>
        </w:r>
      </w:hyperlink>
      <w:r>
        <w:rPr>
          <w:sz w:val="18"/>
        </w:rPr>
        <w:t xml:space="preserve"> · </w:t>
      </w:r>
      <w:hyperlink r:id="rId53">
        <w:r>
          <w:rPr>
            <w:color w:val="176C79"/>
            <w:sz w:val="18"/>
          </w:rPr>
          <w:t>R093</w:t>
        </w:r>
      </w:hyperlink>
    </w:p>
    <w:p>
      <w:pPr>
        <w:pStyle w:val="Heading2"/>
      </w:pPr>
      <w:r>
        <w:t>3.3. Альберт Великий</w:t>
      </w:r>
    </w:p>
    <w:p>
      <w:r>
        <w:t>Для современного критического латинского корпуса найден официальный доступ к Editio Coloniensis / Editio Digitalis. Это платный цифровой продукт с институциональным доступом и демонстрационными возможностями, а не открытая библиотека. Указанный пакет описывает 31 критический том, опубликованный к 2015 г.; эта граница относится к составу продукта, не к полной нынешней библиографии Альберта. Старые сведения о цене не представлены как актуальная цена покупки.</w:t>
      </w:r>
      <w:r>
        <w:rPr>
          <w:sz w:val="18"/>
        </w:rPr>
        <w:t xml:space="preserve">  </w:t>
      </w:r>
      <w:hyperlink r:id="rId54">
        <w:r>
          <w:rPr>
            <w:color w:val="176C79"/>
            <w:sz w:val="18"/>
          </w:rPr>
          <w:t>R045</w:t>
        </w:r>
      </w:hyperlink>
    </w:p>
    <w:p>
      <w:r>
        <w:t>Наиболее свободный проверенный рукописный путь — Penn LJS 482: латинские комментарии к De generatione et corruptione и Meteorologica с Public Domain Mark 1.0. Это один свидетель, не критическая реконструкция всех списков. Для De vegetabilibus и De animalibus сохранены институциональные исторические оцифровки; у De animalibus не установлено, покрывают ли 814 цифровых страниц оба тома описанного издания. Уведомление No known copyright restrictions не превращено в безусловную лицензию на все действия ToS.</w:t>
      </w:r>
      <w:r>
        <w:rPr>
          <w:sz w:val="18"/>
        </w:rPr>
        <w:t xml:space="preserve">  </w:t>
      </w:r>
      <w:hyperlink r:id="rId55">
        <w:r>
          <w:rPr>
            <w:color w:val="176C79"/>
            <w:sz w:val="18"/>
          </w:rPr>
          <w:t>R046</w:t>
        </w:r>
      </w:hyperlink>
      <w:r>
        <w:rPr>
          <w:sz w:val="18"/>
        </w:rPr>
        <w:t xml:space="preserve"> · </w:t>
      </w:r>
      <w:hyperlink r:id="rId56">
        <w:r>
          <w:rPr>
            <w:color w:val="176C79"/>
            <w:sz w:val="18"/>
          </w:rPr>
          <w:t>R047</w:t>
        </w:r>
      </w:hyperlink>
      <w:r>
        <w:rPr>
          <w:sz w:val="18"/>
        </w:rPr>
        <w:t xml:space="preserve"> · </w:t>
      </w:r>
      <w:hyperlink r:id="rId57">
        <w:r>
          <w:rPr>
            <w:color w:val="176C79"/>
            <w:sz w:val="18"/>
          </w:rPr>
          <w:t>R048</w:t>
        </w:r>
      </w:hyperlink>
    </w:p>
    <w:p>
      <w:r>
        <w:t>De fato доступен отдельным латинским текстом в Corpus Thomisticum; происхождение из фрагмента Super Dionysium и история записи под названием Fragmentum autographi S. Thomae не означают авторство Фомы. Рукопись Metaphysica Salamanca BG/Ms. 2179 найдена как конкретная каталожная запись с указанием CC BY-NC-ND 4.0, но внешний просмотр факсимиле не открылся. Для полного современного английского On Animals сохранена официальная страница двухтомного перевода Kitchell / Resnick в Ohio State University Press.</w:t>
      </w:r>
      <w:r>
        <w:rPr>
          <w:sz w:val="18"/>
        </w:rPr>
        <w:t xml:space="preserve">  </w:t>
      </w:r>
      <w:hyperlink r:id="rId18">
        <w:r>
          <w:rPr>
            <w:color w:val="176C79"/>
            <w:sz w:val="18"/>
          </w:rPr>
          <w:t>R095</w:t>
        </w:r>
      </w:hyperlink>
      <w:r>
        <w:rPr>
          <w:sz w:val="18"/>
        </w:rPr>
        <w:t xml:space="preserve"> · </w:t>
      </w:r>
      <w:hyperlink r:id="rId58">
        <w:r>
          <w:rPr>
            <w:color w:val="176C79"/>
            <w:sz w:val="18"/>
          </w:rPr>
          <w:t>R097</w:t>
        </w:r>
      </w:hyperlink>
      <w:r>
        <w:rPr>
          <w:sz w:val="18"/>
        </w:rPr>
        <w:t xml:space="preserve"> · </w:t>
      </w:r>
      <w:hyperlink r:id="rId59">
        <w:r>
          <w:rPr>
            <w:color w:val="176C79"/>
            <w:sz w:val="18"/>
          </w:rPr>
          <w:t>R094</w:t>
        </w:r>
      </w:hyperlink>
    </w:p>
    <w:p>
      <w:pPr>
        <w:pStyle w:val="Heading2"/>
      </w:pPr>
      <w:r>
        <w:t>3.4. Дунс Скот: не один взаимозаменяемый текст</w:t>
      </w:r>
    </w:p>
    <w:p>
      <w:r>
        <w:t>Lectura, Ordinatio и Reportationes представлены раздельно. Современные критические латинские части Ordinatio и Lectura доступны через издательские карточки Quaracchi; философское собрание и отдельные переводы — через Franciscan Institute. Reportatio I-A volume II и Reportatio IV-A не следует считать полным доступом ко всем парижским reportationes. Английский перевод Metaphysics указан даже при отсутствии на складе: это библиографически ценный законный ориентир, а не обещание немедленной покупки.</w:t>
      </w:r>
      <w:r>
        <w:rPr>
          <w:sz w:val="18"/>
        </w:rPr>
        <w:t xml:space="preserve">  </w:t>
      </w:r>
      <w:hyperlink r:id="rId60">
        <w:r>
          <w:rPr>
            <w:color w:val="176C79"/>
            <w:sz w:val="18"/>
          </w:rPr>
          <w:t>R050</w:t>
        </w:r>
      </w:hyperlink>
      <w:r>
        <w:rPr>
          <w:sz w:val="18"/>
        </w:rPr>
        <w:t xml:space="preserve"> · </w:t>
      </w:r>
      <w:hyperlink r:id="rId61">
        <w:r>
          <w:rPr>
            <w:color w:val="176C79"/>
            <w:sz w:val="18"/>
          </w:rPr>
          <w:t>R051</w:t>
        </w:r>
      </w:hyperlink>
      <w:r>
        <w:rPr>
          <w:sz w:val="18"/>
        </w:rPr>
        <w:t xml:space="preserve"> · </w:t>
      </w:r>
      <w:hyperlink r:id="rId62">
        <w:r>
          <w:rPr>
            <w:color w:val="176C79"/>
            <w:sz w:val="18"/>
          </w:rPr>
          <w:t>R052</w:t>
        </w:r>
      </w:hyperlink>
      <w:r>
        <w:rPr>
          <w:sz w:val="18"/>
        </w:rPr>
        <w:t xml:space="preserve"> · </w:t>
      </w:r>
      <w:hyperlink r:id="rId63">
        <w:r>
          <w:rPr>
            <w:color w:val="176C79"/>
            <w:sz w:val="18"/>
          </w:rPr>
          <w:t>R053</w:t>
        </w:r>
      </w:hyperlink>
      <w:r>
        <w:rPr>
          <w:sz w:val="18"/>
        </w:rPr>
        <w:t xml:space="preserve"> · </w:t>
      </w:r>
      <w:hyperlink r:id="rId64">
        <w:r>
          <w:rPr>
            <w:color w:val="176C79"/>
            <w:sz w:val="18"/>
          </w:rPr>
          <w:t>R054</w:t>
        </w:r>
      </w:hyperlink>
      <w:r>
        <w:rPr>
          <w:sz w:val="18"/>
        </w:rPr>
        <w:t xml:space="preserve"> · </w:t>
      </w:r>
      <w:hyperlink r:id="rId65">
        <w:r>
          <w:rPr>
            <w:color w:val="176C79"/>
            <w:sz w:val="18"/>
          </w:rPr>
          <w:t>R065</w:t>
        </w:r>
      </w:hyperlink>
      <w:r>
        <w:rPr>
          <w:sz w:val="18"/>
        </w:rPr>
        <w:t xml:space="preserve"> · </w:t>
      </w:r>
      <w:hyperlink r:id="rId66">
        <w:r>
          <w:rPr>
            <w:color w:val="176C79"/>
            <w:sz w:val="18"/>
          </w:rPr>
          <w:t>R066</w:t>
        </w:r>
      </w:hyperlink>
      <w:r>
        <w:rPr>
          <w:sz w:val="18"/>
        </w:rPr>
        <w:t xml:space="preserve"> · </w:t>
      </w:r>
      <w:hyperlink r:id="rId67">
        <w:r>
          <w:rPr>
            <w:color w:val="176C79"/>
            <w:sz w:val="18"/>
          </w:rPr>
          <w:t>R067</w:t>
        </w:r>
      </w:hyperlink>
    </w:p>
    <w:p>
      <w:r>
        <w:t>Бесплатные английские переводы Peter L. P. Simpson дают практически полезные входы к прологу Ordinatio и отдельным дистинкциям разных книг. Два проверенных документа, Ordinatio I, d. 3 и II, dd. 4–14, имеют собственное авторское разрешение на использование и адаптацию с сохранением авторства. Это не CC-лицензия и не отказ от copyright. Разрешение не перенесено на остальные PDF того же переводчика и на включённый аппарат третьих лиц.</w:t>
      </w:r>
      <w:r>
        <w:rPr>
          <w:sz w:val="18"/>
        </w:rPr>
        <w:t xml:space="preserve">  </w:t>
      </w:r>
      <w:hyperlink r:id="rId68">
        <w:r>
          <w:rPr>
            <w:color w:val="176C79"/>
            <w:sz w:val="18"/>
          </w:rPr>
          <w:t>R055</w:t>
        </w:r>
      </w:hyperlink>
      <w:r>
        <w:rPr>
          <w:sz w:val="18"/>
        </w:rPr>
        <w:t xml:space="preserve"> · </w:t>
      </w:r>
      <w:hyperlink r:id="rId69">
        <w:r>
          <w:rPr>
            <w:color w:val="176C79"/>
            <w:sz w:val="18"/>
          </w:rPr>
          <w:t>R056</w:t>
        </w:r>
      </w:hyperlink>
      <w:r>
        <w:rPr>
          <w:sz w:val="18"/>
        </w:rPr>
        <w:t xml:space="preserve"> · </w:t>
      </w:r>
      <w:hyperlink r:id="rId70">
        <w:r>
          <w:rPr>
            <w:color w:val="176C79"/>
            <w:sz w:val="18"/>
          </w:rPr>
          <w:t>R057</w:t>
        </w:r>
      </w:hyperlink>
      <w:r>
        <w:rPr>
          <w:sz w:val="18"/>
        </w:rPr>
        <w:t xml:space="preserve"> · </w:t>
      </w:r>
      <w:hyperlink r:id="rId71">
        <w:r>
          <w:rPr>
            <w:color w:val="176C79"/>
            <w:sz w:val="18"/>
          </w:rPr>
          <w:t>R058</w:t>
        </w:r>
      </w:hyperlink>
    </w:p>
    <w:p>
      <w:r>
        <w:t>Исторические тома Vivès сохраняют Ordinatio с комментарием Ликета, Reportata Parisiensia и часть Quodlibeta. Инкунабула 1497 г. объединяет метафизические quaestiones, De primo principio и Theoremata; старое заглавие и атрибуция требуют осторожности. Русско-латинский Трактат о первоначале найден у URSS как защищённое современное издание. Scotus Archiv полезен для критических проектов и истории изданий, но не назван свободным полнотекстовым зеркалом всего Скота.</w:t>
      </w:r>
      <w:r>
        <w:rPr>
          <w:sz w:val="18"/>
        </w:rPr>
        <w:t xml:space="preserve">  </w:t>
      </w:r>
      <w:hyperlink r:id="rId72">
        <w:r>
          <w:rPr>
            <w:color w:val="176C79"/>
            <w:sz w:val="18"/>
          </w:rPr>
          <w:t>R049</w:t>
        </w:r>
      </w:hyperlink>
      <w:r>
        <w:rPr>
          <w:sz w:val="18"/>
        </w:rPr>
        <w:t xml:space="preserve"> · </w:t>
      </w:r>
      <w:hyperlink r:id="rId34">
        <w:r>
          <w:rPr>
            <w:color w:val="176C79"/>
            <w:sz w:val="18"/>
          </w:rPr>
          <w:t>R068</w:t>
        </w:r>
      </w:hyperlink>
      <w:r>
        <w:rPr>
          <w:sz w:val="18"/>
        </w:rPr>
        <w:t xml:space="preserve"> · </w:t>
      </w:r>
      <w:hyperlink r:id="rId73">
        <w:r>
          <w:rPr>
            <w:color w:val="176C79"/>
            <w:sz w:val="18"/>
          </w:rPr>
          <w:t>R069</w:t>
        </w:r>
      </w:hyperlink>
      <w:r>
        <w:rPr>
          <w:sz w:val="18"/>
        </w:rPr>
        <w:t xml:space="preserve"> · </w:t>
      </w:r>
      <w:hyperlink r:id="rId74">
        <w:r>
          <w:rPr>
            <w:color w:val="176C79"/>
            <w:sz w:val="18"/>
          </w:rPr>
          <w:t>R070</w:t>
        </w:r>
      </w:hyperlink>
      <w:r>
        <w:rPr>
          <w:sz w:val="18"/>
        </w:rPr>
        <w:t xml:space="preserve"> · </w:t>
      </w:r>
      <w:hyperlink r:id="rId75">
        <w:r>
          <w:rPr>
            <w:color w:val="176C79"/>
            <w:sz w:val="18"/>
          </w:rPr>
          <w:t>R091</w:t>
        </w:r>
      </w:hyperlink>
      <w:r>
        <w:rPr>
          <w:sz w:val="18"/>
        </w:rPr>
        <w:t xml:space="preserve"> · </w:t>
      </w:r>
      <w:hyperlink r:id="rId76">
        <w:r>
          <w:rPr>
            <w:color w:val="176C79"/>
            <w:sz w:val="18"/>
          </w:rPr>
          <w:t>R074</w:t>
        </w:r>
      </w:hyperlink>
    </w:p>
    <w:p>
      <w:pPr>
        <w:pStyle w:val="Heading2"/>
      </w:pPr>
      <w:r>
        <w:t>3.5. Correctorium и ответные Correctoria</w:t>
      </w:r>
    </w:p>
    <w:p>
      <w:r>
        <w:t>Для непосредственного знакомства с Correctorium де ла Мара найден полный английский PDF Simpson. Его исходная латинская база связана с изданием Glorieux 1927 г. текста «Quare», однако свободное чтение этого PDF не даёт автоматически разрешения на его перераспространение. Каталог HathiTrust для Glorieux содержит ссылку Full View; сам просмотрщик не открылся. Поэтому запись ограничена подтверждённой каталогизацией, а возможность полного чтения оставлена как проверяемый маршрут.</w:t>
      </w:r>
      <w:r>
        <w:rPr>
          <w:sz w:val="18"/>
        </w:rPr>
        <w:t xml:space="preserve">  </w:t>
      </w:r>
      <w:hyperlink r:id="rId77">
        <w:r>
          <w:rPr>
            <w:color w:val="176C79"/>
            <w:sz w:val="18"/>
          </w:rPr>
          <w:t>R060</w:t>
        </w:r>
      </w:hyperlink>
      <w:r>
        <w:rPr>
          <w:sz w:val="18"/>
        </w:rPr>
        <w:t xml:space="preserve"> · </w:t>
      </w:r>
      <w:hyperlink r:id="rId78">
        <w:r>
          <w:rPr>
            <w:color w:val="176C79"/>
            <w:sz w:val="18"/>
          </w:rPr>
          <w:t>R061</w:t>
        </w:r>
      </w:hyperlink>
    </w:p>
    <w:p>
      <w:r>
        <w:t>Для ответа Орфорда «Sciendum» найдена страница Vrin; расхождение года между описаниями не сглажено. Для «Quaestione» сохранён ограниченный Google Books-вход без утверждения о полной доступности. Ответ Иоанна Парижского «Circa» и Apologeticum veritatis Рамберта остаются в gaps. Главу University of London Press о Кнапвелле, Орфорде и Иоанне Парижском реестр использует как специализированную библиографическую навигацию, а не как замену первичных текстов.</w:t>
      </w:r>
      <w:r>
        <w:rPr>
          <w:sz w:val="18"/>
        </w:rPr>
        <w:t xml:space="preserve">  </w:t>
      </w:r>
      <w:hyperlink r:id="rId79">
        <w:r>
          <w:rPr>
            <w:color w:val="176C79"/>
            <w:sz w:val="18"/>
          </w:rPr>
          <w:t>R062</w:t>
        </w:r>
      </w:hyperlink>
      <w:r>
        <w:rPr>
          <w:sz w:val="18"/>
        </w:rPr>
        <w:t xml:space="preserve"> · </w:t>
      </w:r>
      <w:hyperlink r:id="rId80">
        <w:r>
          <w:rPr>
            <w:color w:val="176C79"/>
            <w:sz w:val="18"/>
          </w:rPr>
          <w:t>R063</w:t>
        </w:r>
      </w:hyperlink>
      <w:r>
        <w:rPr>
          <w:sz w:val="18"/>
        </w:rPr>
        <w:t xml:space="preserve"> · </w:t>
      </w:r>
      <w:hyperlink r:id="rId81">
        <w:r>
          <w:rPr>
            <w:color w:val="176C79"/>
            <w:sz w:val="18"/>
          </w:rPr>
          <w:t>R064</w:t>
        </w:r>
      </w:hyperlink>
    </w:p>
    <w:p>
      <w:pPr>
        <w:pStyle w:val="Heading2"/>
      </w:pPr>
      <w:r>
        <w:t>3.6. Ближайшие авторы и общая Sentences-матрица</w:t>
      </w:r>
    </w:p>
    <w:p>
      <w:r>
        <w:t>На публикационном сервере Баварской академии наук найдены 14 отдельных лицензионно подтверждённых записей CC BY 4.0: издания де ла Мара, Фишакра, Килуордби и Саттона. Это наиболее полезный новый открытый латинский слой пакета. Часть крупных PDF не была загружена полностью либо дала ошибку получения; в этих случаях подтверждены карточка, лицензия и наличие ссылки, но не побайтовая целостность и не каждая страница файла.</w:t>
      </w:r>
      <w:r>
        <w:rPr>
          <w:sz w:val="18"/>
        </w:rPr>
        <w:t xml:space="preserve">  </w:t>
      </w:r>
      <w:hyperlink r:id="rId12">
        <w:r>
          <w:rPr>
            <w:color w:val="176C79"/>
            <w:sz w:val="18"/>
          </w:rPr>
          <w:t>R044</w:t>
        </w:r>
      </w:hyperlink>
      <w:r>
        <w:rPr>
          <w:sz w:val="18"/>
        </w:rPr>
        <w:t xml:space="preserve"> · </w:t>
      </w:r>
      <w:hyperlink r:id="rId13">
        <w:r>
          <w:rPr>
            <w:color w:val="176C79"/>
            <w:sz w:val="18"/>
          </w:rPr>
          <w:t>R075</w:t>
        </w:r>
      </w:hyperlink>
      <w:r>
        <w:rPr>
          <w:sz w:val="18"/>
        </w:rPr>
        <w:t xml:space="preserve"> · </w:t>
      </w:r>
      <w:hyperlink r:id="rId14">
        <w:r>
          <w:rPr>
            <w:color w:val="176C79"/>
            <w:sz w:val="18"/>
          </w:rPr>
          <w:t>R076</w:t>
        </w:r>
      </w:hyperlink>
      <w:r>
        <w:rPr>
          <w:sz w:val="18"/>
        </w:rPr>
        <w:t xml:space="preserve"> · </w:t>
      </w:r>
      <w:hyperlink r:id="rId82">
        <w:r>
          <w:rPr>
            <w:color w:val="176C79"/>
            <w:sz w:val="18"/>
          </w:rPr>
          <w:t>R077</w:t>
        </w:r>
      </w:hyperlink>
      <w:r>
        <w:rPr>
          <w:sz w:val="18"/>
        </w:rPr>
        <w:t xml:space="preserve"> · </w:t>
      </w:r>
      <w:hyperlink r:id="rId15">
        <w:r>
          <w:rPr>
            <w:color w:val="176C79"/>
            <w:sz w:val="18"/>
          </w:rPr>
          <w:t>R078</w:t>
        </w:r>
      </w:hyperlink>
      <w:r>
        <w:rPr>
          <w:sz w:val="18"/>
        </w:rPr>
        <w:t xml:space="preserve"> · </w:t>
      </w:r>
      <w:hyperlink r:id="rId83">
        <w:r>
          <w:rPr>
            <w:color w:val="176C79"/>
            <w:sz w:val="18"/>
          </w:rPr>
          <w:t>R079</w:t>
        </w:r>
      </w:hyperlink>
      <w:r>
        <w:rPr>
          <w:sz w:val="18"/>
        </w:rPr>
        <w:t xml:space="preserve"> · </w:t>
      </w:r>
      <w:hyperlink r:id="rId84">
        <w:r>
          <w:rPr>
            <w:color w:val="176C79"/>
            <w:sz w:val="18"/>
          </w:rPr>
          <w:t>R080</w:t>
        </w:r>
      </w:hyperlink>
      <w:r>
        <w:rPr>
          <w:sz w:val="18"/>
        </w:rPr>
        <w:t xml:space="preserve"> · </w:t>
      </w:r>
      <w:hyperlink r:id="rId85">
        <w:r>
          <w:rPr>
            <w:color w:val="176C79"/>
            <w:sz w:val="18"/>
          </w:rPr>
          <w:t>R081</w:t>
        </w:r>
      </w:hyperlink>
      <w:r>
        <w:rPr>
          <w:sz w:val="18"/>
        </w:rPr>
        <w:t xml:space="preserve"> · </w:t>
      </w:r>
      <w:hyperlink r:id="rId16">
        <w:r>
          <w:rPr>
            <w:color w:val="176C79"/>
            <w:sz w:val="18"/>
          </w:rPr>
          <w:t>R082</w:t>
        </w:r>
      </w:hyperlink>
      <w:r>
        <w:rPr>
          <w:sz w:val="18"/>
        </w:rPr>
        <w:t xml:space="preserve"> · </w:t>
      </w:r>
      <w:hyperlink r:id="rId86">
        <w:r>
          <w:rPr>
            <w:color w:val="176C79"/>
            <w:sz w:val="18"/>
          </w:rPr>
          <w:t>R083</w:t>
        </w:r>
      </w:hyperlink>
      <w:r>
        <w:rPr>
          <w:sz w:val="18"/>
        </w:rPr>
        <w:t xml:space="preserve"> · </w:t>
      </w:r>
      <w:hyperlink r:id="rId87">
        <w:r>
          <w:rPr>
            <w:color w:val="176C79"/>
            <w:sz w:val="18"/>
          </w:rPr>
          <w:t>R084</w:t>
        </w:r>
      </w:hyperlink>
      <w:r>
        <w:rPr>
          <w:sz w:val="18"/>
        </w:rPr>
        <w:t xml:space="preserve"> · </w:t>
      </w:r>
      <w:hyperlink r:id="rId88">
        <w:r>
          <w:rPr>
            <w:color w:val="176C79"/>
            <w:sz w:val="18"/>
          </w:rPr>
          <w:t>R085</w:t>
        </w:r>
      </w:hyperlink>
      <w:r>
        <w:rPr>
          <w:sz w:val="18"/>
        </w:rPr>
        <w:t xml:space="preserve"> · </w:t>
      </w:r>
      <w:hyperlink r:id="rId89">
        <w:r>
          <w:rPr>
            <w:color w:val="176C79"/>
            <w:sz w:val="18"/>
          </w:rPr>
          <w:t>R109</w:t>
        </w:r>
      </w:hyperlink>
      <w:r>
        <w:rPr>
          <w:sz w:val="18"/>
        </w:rPr>
        <w:t xml:space="preserve"> · </w:t>
      </w:r>
      <w:hyperlink r:id="rId90">
        <w:r>
          <w:rPr>
            <w:color w:val="176C79"/>
            <w:sz w:val="18"/>
          </w:rPr>
          <w:t>R110</w:t>
        </w:r>
      </w:hyperlink>
    </w:p>
    <w:p>
      <w:r>
        <w:t>Для Матфея Акваспартского найден исторический том De fide et de cognitione: порядок предварительных страниц требует проверки. Для Пекхама — академическая запись Summa de esse et essentia и избранных Quodlibeta; PDF-ссылка не открылась. Каутон представлен двумя официальными каталожными страницами. Ни современное издание Пекхама, ни каталоги Каутона не превращены в «свободный корпус», хотя они важны для полноты орденской полифонии.</w:t>
      </w:r>
      <w:r>
        <w:rPr>
          <w:sz w:val="18"/>
        </w:rPr>
        <w:t xml:space="preserve">  </w:t>
      </w:r>
      <w:hyperlink r:id="rId91">
        <w:r>
          <w:rPr>
            <w:color w:val="176C79"/>
            <w:sz w:val="18"/>
          </w:rPr>
          <w:t>R073</w:t>
        </w:r>
      </w:hyperlink>
      <w:r>
        <w:rPr>
          <w:sz w:val="18"/>
        </w:rPr>
        <w:t xml:space="preserve"> · </w:t>
      </w:r>
      <w:hyperlink r:id="rId92">
        <w:r>
          <w:rPr>
            <w:color w:val="176C79"/>
            <w:sz w:val="18"/>
          </w:rPr>
          <w:t>R096</w:t>
        </w:r>
      </w:hyperlink>
      <w:r>
        <w:rPr>
          <w:sz w:val="18"/>
        </w:rPr>
        <w:t xml:space="preserve"> · </w:t>
      </w:r>
      <w:hyperlink r:id="rId19">
        <w:r>
          <w:rPr>
            <w:color w:val="176C79"/>
            <w:sz w:val="18"/>
          </w:rPr>
          <w:t>R113</w:t>
        </w:r>
      </w:hyperlink>
      <w:r>
        <w:rPr>
          <w:sz w:val="18"/>
        </w:rPr>
        <w:t xml:space="preserve"> · </w:t>
      </w:r>
      <w:hyperlink r:id="rId33">
        <w:r>
          <w:rPr>
            <w:color w:val="176C79"/>
            <w:sz w:val="18"/>
          </w:rPr>
          <w:t>R114</w:t>
        </w:r>
      </w:hyperlink>
    </w:p>
    <w:p>
      <w:pPr>
        <w:pStyle w:val="Heading2"/>
      </w:pPr>
      <w:r>
        <w:t>3.7. Входящие тексты и поздние редакции</w:t>
      </w:r>
    </w:p>
    <w:p>
      <w:r>
        <w:t>Для Ломбардского лучшая современная англоязычная точка входа в найденном наборе — книга I в переводе Silano; для собственного цифрового проекта интересен SCTA, но с компонентной проверкой. Для Боэция найден полный латинско-английский исторический текст Project Gutenberg. Августин, Авиценна и Аверроэс представлены сильными современными академическими изданиями или переводами, а не случайными свободными пересказами.</w:t>
      </w:r>
      <w:r>
        <w:rPr>
          <w:sz w:val="18"/>
        </w:rPr>
        <w:t xml:space="preserve">  </w:t>
      </w:r>
      <w:hyperlink r:id="rId25">
        <w:r>
          <w:rPr>
            <w:color w:val="176C79"/>
            <w:sz w:val="18"/>
          </w:rPr>
          <w:t>R086</w:t>
        </w:r>
      </w:hyperlink>
      <w:r>
        <w:rPr>
          <w:sz w:val="18"/>
        </w:rPr>
        <w:t xml:space="preserve"> · </w:t>
      </w:r>
      <w:hyperlink r:id="rId26">
        <w:r>
          <w:rPr>
            <w:color w:val="176C79"/>
            <w:sz w:val="18"/>
          </w:rPr>
          <w:t>R087</w:t>
        </w:r>
      </w:hyperlink>
      <w:r>
        <w:rPr>
          <w:sz w:val="18"/>
        </w:rPr>
        <w:t xml:space="preserve"> · </w:t>
      </w:r>
      <w:hyperlink r:id="rId27">
        <w:r>
          <w:rPr>
            <w:color w:val="176C79"/>
            <w:sz w:val="18"/>
          </w:rPr>
          <w:t>R098</w:t>
        </w:r>
      </w:hyperlink>
      <w:r>
        <w:rPr>
          <w:sz w:val="18"/>
        </w:rPr>
        <w:t xml:space="preserve"> · </w:t>
      </w:r>
      <w:hyperlink r:id="rId30">
        <w:r>
          <w:rPr>
            <w:color w:val="176C79"/>
            <w:sz w:val="18"/>
          </w:rPr>
          <w:t>R107</w:t>
        </w:r>
      </w:hyperlink>
      <w:r>
        <w:rPr>
          <w:sz w:val="18"/>
        </w:rPr>
        <w:t xml:space="preserve"> · </w:t>
      </w:r>
      <w:hyperlink r:id="rId29">
        <w:r>
          <w:rPr>
            <w:color w:val="176C79"/>
            <w:sz w:val="18"/>
          </w:rPr>
          <w:t>R106</w:t>
        </w:r>
      </w:hyperlink>
      <w:r>
        <w:rPr>
          <w:sz w:val="18"/>
        </w:rPr>
        <w:t xml:space="preserve"> · </w:t>
      </w:r>
      <w:hyperlink r:id="rId28">
        <w:r>
          <w:rPr>
            <w:color w:val="176C79"/>
            <w:sz w:val="18"/>
          </w:rPr>
          <w:t>R100</w:t>
        </w:r>
      </w:hyperlink>
    </w:p>
    <w:p>
      <w:r>
        <w:t>Для Дионисия CCEL предлагает бесплатное чтение и несколько форматов. На copyright-странице конкретного PDF перевода Rolt прямо допускается некоммерческое распространение неизменённой копии. Именно этот PDF — лучший установленный NC-маршрут, но не открыто лицензированный греческий или средневековый латинский оригинал. Для поздней рецепции доступны исторический том Капреола, латинское продолжение Каэтана и выбранные английские выдержки из компиляции Монтефортинского; каждый путь ограничен своей частью и редакцией.</w:t>
      </w:r>
      <w:r>
        <w:rPr>
          <w:sz w:val="18"/>
        </w:rPr>
        <w:t xml:space="preserve">  </w:t>
      </w:r>
      <w:hyperlink r:id="rId31">
        <w:r>
          <w:rPr>
            <w:color w:val="176C79"/>
            <w:sz w:val="18"/>
          </w:rPr>
          <w:t>R108</w:t>
        </w:r>
      </w:hyperlink>
      <w:r>
        <w:rPr>
          <w:sz w:val="18"/>
        </w:rPr>
        <w:t xml:space="preserve"> · </w:t>
      </w:r>
      <w:hyperlink r:id="rId36">
        <w:r>
          <w:rPr>
            <w:color w:val="176C79"/>
            <w:sz w:val="18"/>
          </w:rPr>
          <w:t>R089</w:t>
        </w:r>
      </w:hyperlink>
      <w:r>
        <w:rPr>
          <w:sz w:val="18"/>
        </w:rPr>
        <w:t xml:space="preserve"> · </w:t>
      </w:r>
      <w:hyperlink r:id="rId11">
        <w:r>
          <w:rPr>
            <w:color w:val="176C79"/>
            <w:sz w:val="18"/>
          </w:rPr>
          <w:t>R031</w:t>
        </w:r>
      </w:hyperlink>
      <w:r>
        <w:rPr>
          <w:sz w:val="18"/>
        </w:rPr>
        <w:t xml:space="preserve"> · </w:t>
      </w:r>
      <w:hyperlink r:id="rId35">
        <w:r>
          <w:rPr>
            <w:color w:val="176C79"/>
            <w:sz w:val="18"/>
          </w:rPr>
          <w:t>R059</w:t>
        </w:r>
      </w:hyperlink>
    </w:p>
    <w:p>
      <w:pPr>
        <w:pStyle w:val="Heading1"/>
      </w:pPr>
      <w:r>
        <w:t>4. Карта прав и практического использования</w:t>
      </w:r>
    </w:p>
    <w:p>
      <w:pPr>
        <w:pStyle w:val="Heading2"/>
      </w:pPr>
      <w:r>
        <w:t>4.1. Слои с доказанным основанием для повторного использования</w:t>
      </w:r>
    </w:p>
    <w:p>
      <w:r>
        <w:t>CC BY 4.0 у отдельных изданий BAdW — основная зона для локального сохранения, зеркалирования с атрибуцией, OCR, полнотекстовой индексации и embeddings. Эти действия оценены раздельно как способы использования лицензированного материала; лицензия не гарантирует точности распознавания или научной пригодности результата. Следует сохранять автора и редактора, библиографию, ссылку на лицензию и отмечать изменения. Отдельно обозначенные сторонние изображения или приложения требуют своей проверки.</w:t>
      </w:r>
      <w:r>
        <w:rPr>
          <w:sz w:val="18"/>
        </w:rPr>
        <w:t xml:space="preserve">  </w:t>
      </w:r>
      <w:hyperlink r:id="rId13">
        <w:r>
          <w:rPr>
            <w:color w:val="176C79"/>
            <w:sz w:val="18"/>
          </w:rPr>
          <w:t>R075</w:t>
        </w:r>
      </w:hyperlink>
      <w:r>
        <w:rPr>
          <w:sz w:val="18"/>
        </w:rPr>
        <w:t xml:space="preserve"> · </w:t>
      </w:r>
      <w:hyperlink r:id="rId16">
        <w:r>
          <w:rPr>
            <w:color w:val="176C79"/>
            <w:sz w:val="18"/>
          </w:rPr>
          <w:t>R082</w:t>
        </w:r>
      </w:hyperlink>
      <w:r>
        <w:rPr>
          <w:sz w:val="18"/>
        </w:rPr>
        <w:t xml:space="preserve"> · </w:t>
      </w:r>
      <w:hyperlink r:id="rId89">
        <w:r>
          <w:rPr>
            <w:color w:val="176C79"/>
            <w:sz w:val="18"/>
          </w:rPr>
          <w:t>R109</w:t>
        </w:r>
      </w:hyperlink>
    </w:p>
    <w:p>
      <w:r>
        <w:t>У Penn LJS 482 и третьей части Summa Halensis указан Public Domain Mark, который является маркером статуса, не лицензией. У тома V Бонавентуры Emory имеется собственное заявление public domain. У Project Gutenberg статус явно ограничен США. Поэтому поле tos_use нельзя читать отдельно от rights_scope: возможное зеркало касается конкретной копии или текстового слоя, а не всех томов, всей традиции и всех юрисдикций.</w:t>
      </w:r>
      <w:r>
        <w:rPr>
          <w:sz w:val="18"/>
        </w:rPr>
        <w:t xml:space="preserve">  </w:t>
      </w:r>
      <w:hyperlink r:id="rId55">
        <w:r>
          <w:rPr>
            <w:color w:val="176C79"/>
            <w:sz w:val="18"/>
          </w:rPr>
          <w:t>R046</w:t>
        </w:r>
      </w:hyperlink>
      <w:r>
        <w:rPr>
          <w:sz w:val="18"/>
        </w:rPr>
        <w:t xml:space="preserve"> · </w:t>
      </w:r>
      <w:hyperlink r:id="rId17">
        <w:r>
          <w:rPr>
            <w:color w:val="176C79"/>
            <w:sz w:val="18"/>
          </w:rPr>
          <w:t>R088</w:t>
        </w:r>
      </w:hyperlink>
      <w:r>
        <w:rPr>
          <w:sz w:val="18"/>
        </w:rPr>
        <w:t xml:space="preserve"> · </w:t>
      </w:r>
      <w:hyperlink r:id="rId23">
        <w:r>
          <w:rPr>
            <w:color w:val="176C79"/>
            <w:sz w:val="18"/>
          </w:rPr>
          <w:t>R041</w:t>
        </w:r>
      </w:hyperlink>
      <w:r>
        <w:rPr>
          <w:sz w:val="18"/>
        </w:rPr>
        <w:t xml:space="preserve"> · </w:t>
      </w:r>
      <w:hyperlink r:id="rId37">
        <w:r>
          <w:rPr>
            <w:color w:val="176C79"/>
            <w:sz w:val="18"/>
          </w:rPr>
          <w:t>R090</w:t>
        </w:r>
      </w:hyperlink>
      <w:r>
        <w:rPr>
          <w:sz w:val="18"/>
        </w:rPr>
        <w:t xml:space="preserve"> · </w:t>
      </w:r>
      <w:hyperlink r:id="rId27">
        <w:r>
          <w:rPr>
            <w:color w:val="176C79"/>
            <w:sz w:val="18"/>
          </w:rPr>
          <w:t>R098</w:t>
        </w:r>
      </w:hyperlink>
    </w:p>
    <w:p>
      <w:r>
        <w:t>В SCTA разрешённые действия ограничены проверенным латинским компонентом Sententiae II, d. 24, c. 6. В другом открытом TEI-заголовке подпись говорит об Attribution 4.0, а адрес ведёт к BY-SA 4.0. Пока это расхождение не снято и остальные заголовки не проверены, наличие положительных тегов в записи не разрешает зеркалировать весь репозиторий. Сам текст помечен как draft.</w:t>
      </w:r>
      <w:r>
        <w:rPr>
          <w:sz w:val="18"/>
        </w:rPr>
        <w:t xml:space="preserve">  </w:t>
      </w:r>
      <w:hyperlink r:id="rId26">
        <w:r>
          <w:rPr>
            <w:color w:val="176C79"/>
            <w:sz w:val="18"/>
          </w:rPr>
          <w:t>R087</w:t>
        </w:r>
      </w:hyperlink>
    </w:p>
    <w:p>
      <w:pPr>
        <w:pStyle w:val="Heading2"/>
      </w:pPr>
      <w:r>
        <w:t>4.2. Некоммерческое использование и запрет изменений</w:t>
      </w:r>
    </w:p>
    <w:p>
      <w:r>
        <w:t>Две версии Index Thomisticus Treebank имеют CC BY-NC-SA 3.0. Для ToS это полезный, а не отбрасываемый слой: необходимы атрибуция, соблюдение некоммерческого условия и ShareAlike для распространяемых адаптаций в применимом объёме. Отсутствие продажи самих книг не доказывает автоматически некоммерческий характер любого сервиса вокруг них. Коммерчески лицензировать производные из этого набора без дополнительного основания нельзя.</w:t>
      </w:r>
      <w:r>
        <w:rPr>
          <w:sz w:val="18"/>
        </w:rPr>
        <w:t xml:space="preserve">  </w:t>
      </w:r>
      <w:hyperlink r:id="rId44">
        <w:r>
          <w:rPr>
            <w:color w:val="176C79"/>
            <w:sz w:val="18"/>
          </w:rPr>
          <w:t>R032</w:t>
        </w:r>
      </w:hyperlink>
      <w:r>
        <w:rPr>
          <w:sz w:val="18"/>
        </w:rPr>
        <w:t xml:space="preserve"> · </w:t>
      </w:r>
      <w:hyperlink r:id="rId45">
        <w:r>
          <w:rPr>
            <w:color w:val="176C79"/>
            <w:sz w:val="18"/>
          </w:rPr>
          <w:t>R033</w:t>
        </w:r>
      </w:hyperlink>
    </w:p>
    <w:p>
      <w:r>
        <w:t>CC BY-NC-ND 4.0 у главы о Correctoria и собственное разрешение CCEL на PDF Rolt дают иной режим: возможна некоммерческая передача неизменённой копии с сохранением уведомлений. В реестре для этих маршрутов не выведены автоматические права на публикацию исправленного OCR, переработанную транскрипцию, публичный полнотекстовый индекс или embeddings. Это осторожная рекомендация для конкретной поставки, а не утверждение, что все такие действия всегда юридически запрещены.</w:t>
      </w:r>
      <w:r>
        <w:rPr>
          <w:sz w:val="18"/>
        </w:rPr>
        <w:t xml:space="preserve">  </w:t>
      </w:r>
      <w:hyperlink r:id="rId81">
        <w:r>
          <w:rPr>
            <w:color w:val="176C79"/>
            <w:sz w:val="18"/>
          </w:rPr>
          <w:t>R064</w:t>
        </w:r>
      </w:hyperlink>
      <w:r>
        <w:rPr>
          <w:sz w:val="18"/>
        </w:rPr>
        <w:t xml:space="preserve"> · </w:t>
      </w:r>
      <w:hyperlink r:id="rId31">
        <w:r>
          <w:rPr>
            <w:color w:val="176C79"/>
            <w:sz w:val="18"/>
          </w:rPr>
          <w:t>R108</w:t>
        </w:r>
      </w:hyperlink>
    </w:p>
    <w:p>
      <w:r>
        <w:t>У рукописной записи Salamanca отдельное ND-уведомление найдено, но факсимиле не получено. Положительная лицензия в карточке не использована для обещания скачивания непроверенного объекта. Необходимо сначала установить точный файл и применимость уведомления именно к нему; пока для ToS сохранена законная внешняя ссылка и каталожная идентификация.</w:t>
      </w:r>
      <w:r>
        <w:rPr>
          <w:sz w:val="18"/>
        </w:rPr>
        <w:t xml:space="preserve">  </w:t>
      </w:r>
      <w:hyperlink r:id="rId58">
        <w:r>
          <w:rPr>
            <w:color w:val="176C79"/>
            <w:sz w:val="18"/>
          </w:rPr>
          <w:t>R097</w:t>
        </w:r>
      </w:hyperlink>
    </w:p>
    <w:p>
      <w:pPr>
        <w:pStyle w:val="Heading2"/>
      </w:pPr>
      <w:r>
        <w:t>4.3. Бесплатно читать или скачивать — не значит зеркалировать</w:t>
      </w:r>
    </w:p>
    <w:p>
      <w:r>
        <w:t>Corpus Thomisticum, многие исторические оцифровки и часть PDF Simpson предоставляют полезный доступ без доказанного разрешения на публичное повторное размещение соответствующего цифрового слоя. Здесь рабочее действие ToS — ссылка, библиографическая карточка и, когда есть разрешённая загрузка, локальная исследовательская копия. Права на весь критический аппарат, публичную индексацию и производные автоматически не назначены. Уведомление No known copyright restrictions трактуется осторожнее, чем явная открытая лицензия.</w:t>
      </w:r>
      <w:r>
        <w:rPr>
          <w:sz w:val="18"/>
        </w:rPr>
        <w:t xml:space="preserve">  </w:t>
      </w:r>
      <w:hyperlink r:id="rId11">
        <w:r>
          <w:rPr>
            <w:color w:val="176C79"/>
            <w:sz w:val="18"/>
          </w:rPr>
          <w:t>R001</w:t>
        </w:r>
      </w:hyperlink>
      <w:r>
        <w:rPr>
          <w:sz w:val="18"/>
        </w:rPr>
        <w:t xml:space="preserve"> · </w:t>
      </w:r>
      <w:hyperlink r:id="rId57">
        <w:r>
          <w:rPr>
            <w:color w:val="176C79"/>
            <w:sz w:val="18"/>
          </w:rPr>
          <w:t>R048</w:t>
        </w:r>
      </w:hyperlink>
      <w:r>
        <w:rPr>
          <w:sz w:val="18"/>
        </w:rPr>
        <w:t xml:space="preserve"> · </w:t>
      </w:r>
      <w:hyperlink r:id="rId72">
        <w:r>
          <w:rPr>
            <w:color w:val="176C79"/>
            <w:sz w:val="18"/>
          </w:rPr>
          <w:t>R049</w:t>
        </w:r>
      </w:hyperlink>
      <w:r>
        <w:rPr>
          <w:sz w:val="18"/>
        </w:rPr>
        <w:t xml:space="preserve"> · </w:t>
      </w:r>
      <w:hyperlink r:id="rId68">
        <w:r>
          <w:rPr>
            <w:color w:val="176C79"/>
            <w:sz w:val="18"/>
          </w:rPr>
          <w:t>R055</w:t>
        </w:r>
      </w:hyperlink>
      <w:r>
        <w:rPr>
          <w:sz w:val="18"/>
        </w:rPr>
        <w:t xml:space="preserve"> · </w:t>
      </w:r>
      <w:hyperlink r:id="rId69">
        <w:r>
          <w:rPr>
            <w:color w:val="176C79"/>
            <w:sz w:val="18"/>
          </w:rPr>
          <w:t>R056</w:t>
        </w:r>
      </w:hyperlink>
      <w:r>
        <w:rPr>
          <w:sz w:val="18"/>
        </w:rPr>
        <w:t xml:space="preserve"> · </w:t>
      </w:r>
      <w:hyperlink r:id="rId77">
        <w:r>
          <w:rPr>
            <w:color w:val="176C79"/>
            <w:sz w:val="18"/>
          </w:rPr>
          <w:t>R060</w:t>
        </w:r>
      </w:hyperlink>
    </w:p>
    <w:p>
      <w:r>
        <w:t>Современные защищённые книги оставлены в реестре как purchase, preview либо metadata_only. Это относится к Quaracchi / Scotus, Franciscan Institute, Aquinas Institute, URSS, Ohio State, Yale, PIMS и другим издателям. Покупка экземпляра сама по себе не позволяет ToS распространять PDF. Полноценный маршрут библиотечной выдачи или Controlled Digital Lending в этом запуске не был подтверждён; он не подменён предположением «раз есть каталог, можно взять».</w:t>
      </w:r>
      <w:r>
        <w:rPr>
          <w:sz w:val="18"/>
        </w:rPr>
        <w:t xml:space="preserve">  </w:t>
      </w:r>
      <w:hyperlink r:id="rId49">
        <w:r>
          <w:rPr>
            <w:color w:val="176C79"/>
            <w:sz w:val="18"/>
          </w:rPr>
          <w:t>R034</w:t>
        </w:r>
      </w:hyperlink>
      <w:r>
        <w:rPr>
          <w:sz w:val="18"/>
        </w:rPr>
        <w:t xml:space="preserve"> · </w:t>
      </w:r>
      <w:hyperlink r:id="rId65">
        <w:r>
          <w:rPr>
            <w:color w:val="176C79"/>
            <w:sz w:val="18"/>
          </w:rPr>
          <w:t>R065</w:t>
        </w:r>
      </w:hyperlink>
      <w:r>
        <w:rPr>
          <w:sz w:val="18"/>
        </w:rPr>
        <w:t xml:space="preserve"> · </w:t>
      </w:r>
      <w:hyperlink r:id="rId25">
        <w:r>
          <w:rPr>
            <w:color w:val="176C79"/>
            <w:sz w:val="18"/>
          </w:rPr>
          <w:t>R086</w:t>
        </w:r>
      </w:hyperlink>
      <w:r>
        <w:rPr>
          <w:sz w:val="18"/>
        </w:rPr>
        <w:t xml:space="preserve"> · </w:t>
      </w:r>
      <w:hyperlink r:id="rId75">
        <w:r>
          <w:rPr>
            <w:color w:val="176C79"/>
            <w:sz w:val="18"/>
          </w:rPr>
          <w:t>R091</w:t>
        </w:r>
      </w:hyperlink>
      <w:r>
        <w:rPr>
          <w:sz w:val="18"/>
        </w:rPr>
        <w:t xml:space="preserve"> · </w:t>
      </w:r>
      <w:hyperlink r:id="rId59">
        <w:r>
          <w:rPr>
            <w:color w:val="176C79"/>
            <w:sz w:val="18"/>
          </w:rPr>
          <w:t>R094</w:t>
        </w:r>
      </w:hyperlink>
      <w:r>
        <w:rPr>
          <w:sz w:val="18"/>
        </w:rPr>
        <w:t xml:space="preserve"> · </w:t>
      </w:r>
      <w:hyperlink r:id="rId28">
        <w:r>
          <w:rPr>
            <w:color w:val="176C79"/>
            <w:sz w:val="18"/>
          </w:rPr>
          <w:t>R100</w:t>
        </w:r>
      </w:hyperlink>
      <w:r>
        <w:rPr>
          <w:sz w:val="18"/>
        </w:rPr>
        <w:t xml:space="preserve"> · </w:t>
      </w:r>
      <w:hyperlink r:id="rId38">
        <w:r>
          <w:rPr>
            <w:color w:val="176C79"/>
            <w:sz w:val="18"/>
          </w:rPr>
          <w:t>R101</w:t>
        </w:r>
      </w:hyperlink>
    </w:p>
    <w:p>
      <w:pPr>
        <w:pStyle w:val="Heading2"/>
      </w:pPr>
      <w:r>
        <w:t>4.4. Чистая основа собственного перевода ToS</w:t>
      </w:r>
    </w:p>
    <w:p>
      <w:r>
        <w:t>OWN_TRANSLATION_POSSIBLE назначен там, где указан конкретный исходный латинский слой: лицензированные критические издания BAdW; доступный средневековый свидетель LJS 482; третья часть Summa Halensis; историческая латынь тома V Бонавентуры в границах применимого PD-статуса; латинский Боэций Project Gutenberg в США; соответствующий слой ITTB с NC-SA; один проверенный компонент SCTA. При неполном coverage это возможность перевести именно часть или свидетель, а не всё произведение.</w:t>
      </w:r>
      <w:r>
        <w:rPr>
          <w:sz w:val="18"/>
        </w:rPr>
        <w:t xml:space="preserve">  </w:t>
      </w:r>
      <w:hyperlink r:id="rId12">
        <w:r>
          <w:rPr>
            <w:color w:val="176C79"/>
            <w:sz w:val="18"/>
          </w:rPr>
          <w:t>R044</w:t>
        </w:r>
      </w:hyperlink>
      <w:r>
        <w:rPr>
          <w:sz w:val="18"/>
        </w:rPr>
        <w:t xml:space="preserve"> · </w:t>
      </w:r>
      <w:hyperlink r:id="rId55">
        <w:r>
          <w:rPr>
            <w:color w:val="176C79"/>
            <w:sz w:val="18"/>
          </w:rPr>
          <w:t>R046</w:t>
        </w:r>
      </w:hyperlink>
      <w:r>
        <w:rPr>
          <w:sz w:val="18"/>
        </w:rPr>
        <w:t xml:space="preserve"> · </w:t>
      </w:r>
      <w:hyperlink r:id="rId13">
        <w:r>
          <w:rPr>
            <w:color w:val="176C79"/>
            <w:sz w:val="18"/>
          </w:rPr>
          <w:t>R075</w:t>
        </w:r>
      </w:hyperlink>
      <w:r>
        <w:rPr>
          <w:sz w:val="18"/>
        </w:rPr>
        <w:t xml:space="preserve"> · </w:t>
      </w:r>
      <w:hyperlink r:id="rId16">
        <w:r>
          <w:rPr>
            <w:color w:val="176C79"/>
            <w:sz w:val="18"/>
          </w:rPr>
          <w:t>R082</w:t>
        </w:r>
      </w:hyperlink>
      <w:r>
        <w:rPr>
          <w:sz w:val="18"/>
        </w:rPr>
        <w:t xml:space="preserve"> · </w:t>
      </w:r>
      <w:hyperlink r:id="rId17">
        <w:r>
          <w:rPr>
            <w:color w:val="176C79"/>
            <w:sz w:val="18"/>
          </w:rPr>
          <w:t>R088</w:t>
        </w:r>
      </w:hyperlink>
      <w:r>
        <w:rPr>
          <w:sz w:val="18"/>
        </w:rPr>
        <w:t xml:space="preserve"> · </w:t>
      </w:r>
      <w:hyperlink r:id="rId23">
        <w:r>
          <w:rPr>
            <w:color w:val="176C79"/>
            <w:sz w:val="18"/>
          </w:rPr>
          <w:t>R041</w:t>
        </w:r>
      </w:hyperlink>
      <w:r>
        <w:rPr>
          <w:sz w:val="18"/>
        </w:rPr>
        <w:t xml:space="preserve"> · </w:t>
      </w:r>
      <w:hyperlink r:id="rId27">
        <w:r>
          <w:rPr>
            <w:color w:val="176C79"/>
            <w:sz w:val="18"/>
          </w:rPr>
          <w:t>R098</w:t>
        </w:r>
      </w:hyperlink>
      <w:r>
        <w:rPr>
          <w:sz w:val="18"/>
        </w:rPr>
        <w:t xml:space="preserve"> · </w:t>
      </w:r>
      <w:hyperlink r:id="rId44">
        <w:r>
          <w:rPr>
            <w:color w:val="176C79"/>
            <w:sz w:val="18"/>
          </w:rPr>
          <w:t>R032</w:t>
        </w:r>
      </w:hyperlink>
      <w:r>
        <w:rPr>
          <w:sz w:val="18"/>
        </w:rPr>
        <w:t xml:space="preserve"> · </w:t>
      </w:r>
      <w:hyperlink r:id="rId26">
        <w:r>
          <w:rPr>
            <w:color w:val="176C79"/>
            <w:sz w:val="18"/>
          </w:rPr>
          <w:t>R087</w:t>
        </w:r>
      </w:hyperlink>
    </w:p>
    <w:p>
      <w:r>
        <w:t>Современные английские переводы Simpson, Rolt, Hayes, Monti, Marmura и Taylor не объявлены чистой основой нового перевода с оригинала. Даже широкое разрешение автора английской версии не решает вопрос о правах на чужую реконструкцию или аппарат. Когда доступен только защищённый критический латинский текст, в реестре оставлены права на чтение и дальнейшая правовая проверка, а не безусловное обещание свободного русского издания.</w:t>
      </w:r>
    </w:p>
    <w:p>
      <w:pPr>
        <w:pStyle w:val="Heading1"/>
      </w:pPr>
      <w:r>
        <w:t>5. Характерные правовые и текстологические тонкости</w:t>
      </w:r>
    </w:p>
    <w:p>
      <w:r>
        <w:t>Первая повторяющаяся особенность — разрыв между древностью произведения и современностью текста, которым фактически пользуется исследователь. Латынь XIII в., критическая реконструкция XX в., перевод XXI в. и цифровая разметка представляют разные объекты. Поэтому четыре поля прав заполнены отдельно. Свободный исторический текст не освобождает перевод или научный аппарат, а ограниченное уведомление цифровой площадки не следует механически выдавать за новое право на само средневековое произведение.</w:t>
      </w:r>
    </w:p>
    <w:p>
      <w:r>
        <w:t>Вторая — степень редакционной завершённости. Lectura, Ordinatio, reportatio и позднее Opera omnia не являются взаимозаменяемыми свидетелями одной окончательной книги. Старый сборник может включать спорные атрибуции, поздний комментарий или материалы репортаторов. Практическая доступность инкунабулы полезна для трансмиссии, но не делает её чтения автоматически лучшими для реконструкции позиции Скота. Это основание параллельно сохранять старые сканы и современные платные критические издания.</w:t>
      </w:r>
      <w:r>
        <w:rPr>
          <w:sz w:val="18"/>
        </w:rPr>
        <w:t xml:space="preserve">  </w:t>
      </w:r>
      <w:hyperlink r:id="rId72">
        <w:r>
          <w:rPr>
            <w:color w:val="176C79"/>
            <w:sz w:val="18"/>
          </w:rPr>
          <w:t>R049</w:t>
        </w:r>
      </w:hyperlink>
      <w:r>
        <w:rPr>
          <w:sz w:val="18"/>
        </w:rPr>
        <w:t xml:space="preserve"> · </w:t>
      </w:r>
      <w:hyperlink r:id="rId61">
        <w:r>
          <w:rPr>
            <w:color w:val="176C79"/>
            <w:sz w:val="18"/>
          </w:rPr>
          <w:t>R051</w:t>
        </w:r>
      </w:hyperlink>
      <w:r>
        <w:rPr>
          <w:sz w:val="18"/>
        </w:rPr>
        <w:t xml:space="preserve"> · </w:t>
      </w:r>
      <w:hyperlink r:id="rId62">
        <w:r>
          <w:rPr>
            <w:color w:val="176C79"/>
            <w:sz w:val="18"/>
          </w:rPr>
          <w:t>R052</w:t>
        </w:r>
      </w:hyperlink>
      <w:r>
        <w:rPr>
          <w:sz w:val="18"/>
        </w:rPr>
        <w:t xml:space="preserve"> · </w:t>
      </w:r>
      <w:hyperlink r:id="rId63">
        <w:r>
          <w:rPr>
            <w:color w:val="176C79"/>
            <w:sz w:val="18"/>
          </w:rPr>
          <w:t>R053</w:t>
        </w:r>
      </w:hyperlink>
      <w:r>
        <w:rPr>
          <w:sz w:val="18"/>
        </w:rPr>
        <w:t xml:space="preserve"> · </w:t>
      </w:r>
      <w:hyperlink r:id="rId34">
        <w:r>
          <w:rPr>
            <w:color w:val="176C79"/>
            <w:sz w:val="18"/>
          </w:rPr>
          <w:t>R068</w:t>
        </w:r>
      </w:hyperlink>
      <w:r>
        <w:rPr>
          <w:sz w:val="18"/>
        </w:rPr>
        <w:t xml:space="preserve"> · </w:t>
      </w:r>
      <w:hyperlink r:id="rId73">
        <w:r>
          <w:rPr>
            <w:color w:val="176C79"/>
            <w:sz w:val="18"/>
          </w:rPr>
          <w:t>R069</w:t>
        </w:r>
      </w:hyperlink>
      <w:r>
        <w:rPr>
          <w:sz w:val="18"/>
        </w:rPr>
        <w:t xml:space="preserve"> · </w:t>
      </w:r>
      <w:hyperlink r:id="rId76">
        <w:r>
          <w:rPr>
            <w:color w:val="176C79"/>
            <w:sz w:val="18"/>
          </w:rPr>
          <w:t>R074</w:t>
        </w:r>
      </w:hyperlink>
    </w:p>
    <w:p>
      <w:r>
        <w:t>Третья — несовпадение каталога и цифровой копии. Дата начала Opera omnia может ошибочно стоять у каждого тома; языковой автоматический ярлык не всегда соответствует латыни; указание двухтомного издания не доказывает наличие обоих томов в одном файле. Отдельно отмечены pdf_degraded у Emory, обрезанные маргиналии Бонавентуры IV, предварительные страницы Акваспарты и ошибки получения крупных BAdW PDF. Это ограничения пригодности, а не доказательства отсутствия произведений.</w:t>
      </w:r>
      <w:r>
        <w:rPr>
          <w:sz w:val="18"/>
        </w:rPr>
        <w:t xml:space="preserve">  </w:t>
      </w:r>
      <w:hyperlink r:id="rId23">
        <w:r>
          <w:rPr>
            <w:color w:val="176C79"/>
            <w:sz w:val="18"/>
          </w:rPr>
          <w:t>R041</w:t>
        </w:r>
      </w:hyperlink>
      <w:r>
        <w:rPr>
          <w:sz w:val="18"/>
        </w:rPr>
        <w:t xml:space="preserve"> · </w:t>
      </w:r>
      <w:hyperlink r:id="rId57">
        <w:r>
          <w:rPr>
            <w:color w:val="176C79"/>
            <w:sz w:val="18"/>
          </w:rPr>
          <w:t>R048</w:t>
        </w:r>
      </w:hyperlink>
      <w:r>
        <w:rPr>
          <w:sz w:val="18"/>
        </w:rPr>
        <w:t xml:space="preserve"> · </w:t>
      </w:r>
      <w:hyperlink r:id="rId48">
        <w:r>
          <w:rPr>
            <w:color w:val="176C79"/>
            <w:sz w:val="18"/>
          </w:rPr>
          <w:t>R071</w:t>
        </w:r>
      </w:hyperlink>
      <w:r>
        <w:rPr>
          <w:sz w:val="18"/>
        </w:rPr>
        <w:t xml:space="preserve"> · </w:t>
      </w:r>
      <w:hyperlink r:id="rId91">
        <w:r>
          <w:rPr>
            <w:color w:val="176C79"/>
            <w:sz w:val="18"/>
          </w:rPr>
          <w:t>R073</w:t>
        </w:r>
      </w:hyperlink>
      <w:r>
        <w:rPr>
          <w:sz w:val="18"/>
        </w:rPr>
        <w:t xml:space="preserve"> · </w:t>
      </w:r>
      <w:hyperlink r:id="rId14">
        <w:r>
          <w:rPr>
            <w:color w:val="176C79"/>
            <w:sz w:val="18"/>
          </w:rPr>
          <w:t>R076</w:t>
        </w:r>
      </w:hyperlink>
      <w:r>
        <w:rPr>
          <w:sz w:val="18"/>
        </w:rPr>
        <w:t xml:space="preserve"> · </w:t>
      </w:r>
      <w:hyperlink r:id="rId82">
        <w:r>
          <w:rPr>
            <w:color w:val="176C79"/>
            <w:sz w:val="18"/>
          </w:rPr>
          <w:t>R077</w:t>
        </w:r>
      </w:hyperlink>
      <w:r>
        <w:rPr>
          <w:sz w:val="18"/>
        </w:rPr>
        <w:t xml:space="preserve"> · </w:t>
      </w:r>
      <w:hyperlink r:id="rId15">
        <w:r>
          <w:rPr>
            <w:color w:val="176C79"/>
            <w:sz w:val="18"/>
          </w:rPr>
          <w:t>R078</w:t>
        </w:r>
      </w:hyperlink>
    </w:p>
    <w:p>
      <w:r>
        <w:t>Четвёртая — смешанные условия внутри одной инфраструктуры. CC BY у отдельного издания BAdW не перенесена на весь сервер и его API. Доступность GitHub не заменяет лицензию данных. Разрешение CCEL на неизменённый PDF имеет более узкую область, чем список предлагаемых форматов; общие условия сайта не отменяют необходимости прочитать уведомление конкретного файла. Авторское разрешение в двух документах Simpson не распространяется на все его переводы.</w:t>
      </w:r>
      <w:r>
        <w:rPr>
          <w:sz w:val="18"/>
        </w:rPr>
        <w:t xml:space="preserve">  </w:t>
      </w:r>
      <w:hyperlink r:id="rId93">
        <w:r>
          <w:rPr>
            <w:color w:val="176C79"/>
            <w:sz w:val="18"/>
          </w:rPr>
          <w:t>R115</w:t>
        </w:r>
      </w:hyperlink>
      <w:r>
        <w:rPr>
          <w:sz w:val="18"/>
        </w:rPr>
        <w:t xml:space="preserve"> · </w:t>
      </w:r>
      <w:hyperlink r:id="rId26">
        <w:r>
          <w:rPr>
            <w:color w:val="176C79"/>
            <w:sz w:val="18"/>
          </w:rPr>
          <w:t>R087</w:t>
        </w:r>
      </w:hyperlink>
      <w:r>
        <w:rPr>
          <w:sz w:val="18"/>
        </w:rPr>
        <w:t xml:space="preserve"> · </w:t>
      </w:r>
      <w:hyperlink r:id="rId31">
        <w:r>
          <w:rPr>
            <w:color w:val="176C79"/>
            <w:sz w:val="18"/>
          </w:rPr>
          <w:t>R108</w:t>
        </w:r>
      </w:hyperlink>
      <w:r>
        <w:rPr>
          <w:sz w:val="18"/>
        </w:rPr>
        <w:t xml:space="preserve"> · </w:t>
      </w:r>
      <w:hyperlink r:id="rId70">
        <w:r>
          <w:rPr>
            <w:color w:val="176C79"/>
            <w:sz w:val="18"/>
          </w:rPr>
          <w:t>R057</w:t>
        </w:r>
      </w:hyperlink>
      <w:r>
        <w:rPr>
          <w:sz w:val="18"/>
        </w:rPr>
        <w:t xml:space="preserve"> · </w:t>
      </w:r>
      <w:hyperlink r:id="rId71">
        <w:r>
          <w:rPr>
            <w:color w:val="176C79"/>
            <w:sz w:val="18"/>
          </w:rPr>
          <w:t>R058</w:t>
        </w:r>
      </w:hyperlink>
    </w:p>
    <w:p>
      <w:r>
        <w:t>Пятая — неустранённые библиографические расхождения. Для Kilwardby, Quaestiones III: Tugendlehre, страница проекта и публикационный сервер расходятся в имени редактора; титул PDF ещё не проверен. Для русского Itinerarium расходятся инициалы переводчика. У «Sciendum» расходятся датировки издательской и библиографической записи. Эти случаи не скрыты за единственным уверенным значением: варианты и необходимая проверка сохранены в notes.</w:t>
      </w:r>
      <w:r>
        <w:rPr>
          <w:sz w:val="18"/>
        </w:rPr>
        <w:t xml:space="preserve">  </w:t>
      </w:r>
      <w:hyperlink r:id="rId89">
        <w:r>
          <w:rPr>
            <w:color w:val="176C79"/>
            <w:sz w:val="18"/>
          </w:rPr>
          <w:t>R109</w:t>
        </w:r>
      </w:hyperlink>
      <w:r>
        <w:rPr>
          <w:sz w:val="18"/>
        </w:rPr>
        <w:t xml:space="preserve"> · </w:t>
      </w:r>
      <w:hyperlink r:id="rId53">
        <w:r>
          <w:rPr>
            <w:color w:val="176C79"/>
            <w:sz w:val="18"/>
          </w:rPr>
          <w:t>R093</w:t>
        </w:r>
      </w:hyperlink>
      <w:r>
        <w:rPr>
          <w:sz w:val="18"/>
        </w:rPr>
        <w:t xml:space="preserve"> · </w:t>
      </w:r>
      <w:hyperlink r:id="rId79">
        <w:r>
          <w:rPr>
            <w:color w:val="176C79"/>
            <w:sz w:val="18"/>
          </w:rPr>
          <w:t>R062</w:t>
        </w:r>
      </w:hyperlink>
    </w:p>
    <w:p>
      <w:r>
        <w:t>Наконец, OAI-PMH, TEI и treebank — разные типы доступа. OAI-PMH BAdW обеспечивает обнаружение метаданных, но сам по себе не выдаёт разрешение на массовую публикацию всех PDF. Аннотированные деревья ITTB удобны для поиска и вычислительной обработки, но покрывают ограниченный слой. Репозиторий SCTA требует проверки по компонентам. Машиночитаемость не является самостоятельным юридическим разрешением.</w:t>
      </w:r>
      <w:r>
        <w:rPr>
          <w:sz w:val="18"/>
        </w:rPr>
        <w:t xml:space="preserve">  </w:t>
      </w:r>
      <w:hyperlink r:id="rId93">
        <w:r>
          <w:rPr>
            <w:color w:val="176C79"/>
            <w:sz w:val="18"/>
          </w:rPr>
          <w:t>R115</w:t>
        </w:r>
      </w:hyperlink>
      <w:r>
        <w:rPr>
          <w:sz w:val="18"/>
        </w:rPr>
        <w:t xml:space="preserve"> · </w:t>
      </w:r>
      <w:hyperlink r:id="rId44">
        <w:r>
          <w:rPr>
            <w:color w:val="176C79"/>
            <w:sz w:val="18"/>
          </w:rPr>
          <w:t>R032</w:t>
        </w:r>
      </w:hyperlink>
      <w:r>
        <w:rPr>
          <w:sz w:val="18"/>
        </w:rPr>
        <w:t xml:space="preserve"> · </w:t>
      </w:r>
      <w:hyperlink r:id="rId45">
        <w:r>
          <w:rPr>
            <w:color w:val="176C79"/>
            <w:sz w:val="18"/>
          </w:rPr>
          <w:t>R033</w:t>
        </w:r>
      </w:hyperlink>
      <w:r>
        <w:rPr>
          <w:sz w:val="18"/>
        </w:rPr>
        <w:t xml:space="preserve"> · </w:t>
      </w:r>
      <w:hyperlink r:id="rId26">
        <w:r>
          <w:rPr>
            <w:color w:val="176C79"/>
            <w:sz w:val="18"/>
          </w:rPr>
          <w:t>R087</w:t>
        </w:r>
      </w:hyperlink>
    </w:p>
    <w:p>
      <w:pPr>
        <w:pStyle w:val="Heading1"/>
      </w:pPr>
      <w:r>
        <w:t>6. Пробелы и дальнейший поиск</w:t>
      </w:r>
    </w:p>
    <w:p>
      <w:r>
        <w:t>Лист gaps содержит 28 конкретных позиций. Это не перечень «несуществующих» произведений и не исключение текстов за неудобную дату. В нём различены отсутствие проверенного цифрового входа, недоступность файла, неполная проверка прав, непрояснённая связь и unverified_candidate. Неподтверждённые кандидаты не включены в основной registry как установленные цифровые объекты.</w:t>
      </w:r>
    </w:p>
    <w:p>
      <w:pPr>
        <w:pStyle w:val="Heading2"/>
      </w:pPr>
      <w:r>
        <w:t>Приоритетные направления</w:t>
      </w:r>
    </w:p>
    <w:p>
      <w:r>
        <w:t>1. Латинский Correctorium-комплекс. Открыть реальный Full View Glorieux 1927, найти официальные цифровые входы к «Circa» Иоанна Парижского и Apologeticum veritatis Рамберта, уточнить атрибуцию и полный доступ к «Quaestione». Это главный пробел ядра: английский де ла Мар и академическая карта спора не заменяют всех ответных первичных текстов. Связанные позиции: G001, G002, G013, G014.</w:t>
      </w:r>
      <w:r>
        <w:rPr>
          <w:sz w:val="18"/>
        </w:rPr>
        <w:t xml:space="preserve">  </w:t>
      </w:r>
      <w:hyperlink r:id="rId77">
        <w:r>
          <w:rPr>
            <w:color w:val="176C79"/>
            <w:sz w:val="18"/>
          </w:rPr>
          <w:t>R060</w:t>
        </w:r>
      </w:hyperlink>
      <w:r>
        <w:rPr>
          <w:sz w:val="18"/>
        </w:rPr>
        <w:t xml:space="preserve"> · </w:t>
      </w:r>
      <w:hyperlink r:id="rId78">
        <w:r>
          <w:rPr>
            <w:color w:val="176C79"/>
            <w:sz w:val="18"/>
          </w:rPr>
          <w:t>R061</w:t>
        </w:r>
      </w:hyperlink>
      <w:r>
        <w:rPr>
          <w:sz w:val="18"/>
        </w:rPr>
        <w:t xml:space="preserve"> · </w:t>
      </w:r>
      <w:hyperlink r:id="rId79">
        <w:r>
          <w:rPr>
            <w:color w:val="176C79"/>
            <w:sz w:val="18"/>
          </w:rPr>
          <w:t>R062</w:t>
        </w:r>
      </w:hyperlink>
      <w:r>
        <w:rPr>
          <w:sz w:val="18"/>
        </w:rPr>
        <w:t xml:space="preserve"> · </w:t>
      </w:r>
      <w:hyperlink r:id="rId80">
        <w:r>
          <w:rPr>
            <w:color w:val="176C79"/>
            <w:sz w:val="18"/>
          </w:rPr>
          <w:t>R063</w:t>
        </w:r>
      </w:hyperlink>
      <w:r>
        <w:rPr>
          <w:sz w:val="18"/>
        </w:rPr>
        <w:t xml:space="preserve"> · </w:t>
      </w:r>
      <w:hyperlink r:id="rId81">
        <w:r>
          <w:rPr>
            <w:color w:val="176C79"/>
            <w:sz w:val="18"/>
          </w:rPr>
          <w:t>R064</w:t>
        </w:r>
      </w:hyperlink>
    </w:p>
    <w:p>
      <w:r>
        <w:t>2. Альберт на уровне конкретных критических томов. Установить item-level доступ к De anima, De intellectu, Metaphysica и Liber de causis в Editio Coloniensis; повторно проверить недоступный научный веб-вход Waterloo и факсимиле Salamanca. Для исторического De animalibus определить, какой том реально представлен. Сохранить различие между критическим текстом, исторической печатью и одним списком. Основная позиция: G005.</w:t>
      </w:r>
      <w:r>
        <w:rPr>
          <w:sz w:val="18"/>
        </w:rPr>
        <w:t xml:space="preserve">  </w:t>
      </w:r>
      <w:hyperlink r:id="rId54">
        <w:r>
          <w:rPr>
            <w:color w:val="176C79"/>
            <w:sz w:val="18"/>
          </w:rPr>
          <w:t>R045</w:t>
        </w:r>
      </w:hyperlink>
      <w:r>
        <w:rPr>
          <w:sz w:val="18"/>
        </w:rPr>
        <w:t xml:space="preserve"> · </w:t>
      </w:r>
      <w:hyperlink r:id="rId57">
        <w:r>
          <w:rPr>
            <w:color w:val="176C79"/>
            <w:sz w:val="18"/>
          </w:rPr>
          <w:t>R048</w:t>
        </w:r>
      </w:hyperlink>
      <w:r>
        <w:rPr>
          <w:sz w:val="18"/>
        </w:rPr>
        <w:t xml:space="preserve"> · </w:t>
      </w:r>
      <w:hyperlink r:id="rId58">
        <w:r>
          <w:rPr>
            <w:color w:val="176C79"/>
            <w:sz w:val="18"/>
          </w:rPr>
          <w:t>R097</w:t>
        </w:r>
      </w:hyperlink>
    </w:p>
    <w:p>
      <w:r>
        <w:t>3. Недостающая часть Бонавентуры. Найти второй том комментария к Sententiae, проверить качество тома V и титулы русско-латинского Itinerarium. Рукопись Basel UB A I 20 пока остаётся unverified_candidate: навигационный след не подтвердился открытым институциональным объектом, а возможные права отдельного изображения не заменяют прав всего кодекса. Позиции: G003, G016.</w:t>
      </w:r>
      <w:r>
        <w:rPr>
          <w:sz w:val="18"/>
        </w:rPr>
        <w:t xml:space="preserve">  </w:t>
      </w:r>
      <w:hyperlink r:id="rId23">
        <w:r>
          <w:rPr>
            <w:color w:val="176C79"/>
            <w:sz w:val="18"/>
          </w:rPr>
          <w:t>R041</w:t>
        </w:r>
      </w:hyperlink>
      <w:r>
        <w:rPr>
          <w:sz w:val="18"/>
        </w:rPr>
        <w:t xml:space="preserve"> · </w:t>
      </w:r>
      <w:hyperlink r:id="rId46">
        <w:r>
          <w:rPr>
            <w:color w:val="176C79"/>
            <w:sz w:val="18"/>
          </w:rPr>
          <w:t>R042</w:t>
        </w:r>
      </w:hyperlink>
      <w:r>
        <w:rPr>
          <w:sz w:val="18"/>
        </w:rPr>
        <w:t xml:space="preserve"> · </w:t>
      </w:r>
      <w:hyperlink r:id="rId47">
        <w:r>
          <w:rPr>
            <w:color w:val="176C79"/>
            <w:sz w:val="18"/>
          </w:rPr>
          <w:t>R043</w:t>
        </w:r>
      </w:hyperlink>
      <w:r>
        <w:rPr>
          <w:sz w:val="18"/>
        </w:rPr>
        <w:t xml:space="preserve"> · </w:t>
      </w:r>
      <w:hyperlink r:id="rId48">
        <w:r>
          <w:rPr>
            <w:color w:val="176C79"/>
            <w:sz w:val="18"/>
          </w:rPr>
          <w:t>R071</w:t>
        </w:r>
      </w:hyperlink>
      <w:r>
        <w:rPr>
          <w:sz w:val="18"/>
        </w:rPr>
        <w:t xml:space="preserve"> · </w:t>
      </w:r>
      <w:hyperlink r:id="rId53">
        <w:r>
          <w:rPr>
            <w:color w:val="176C79"/>
            <w:sz w:val="18"/>
          </w:rPr>
          <w:t>R093</w:t>
        </w:r>
      </w:hyperlink>
    </w:p>
    <w:p>
      <w:r>
        <w:t>4. Полный критический и рукописный Скот. Сверить инвентарь томов Ordinatio и Lectura; отдельно найти критический латинский De primo principio, конкретные рукописные факсимиле и рабочую страницу издания лекций 1305 г., связанных с William of Godin. Для переводов Simpson проверять уведомление каждого файла, не имя автора в целом. Позиции: G004, G010–G012, G017.</w:t>
      </w:r>
      <w:r>
        <w:rPr>
          <w:sz w:val="18"/>
        </w:rPr>
        <w:t xml:space="preserve">  </w:t>
      </w:r>
      <w:hyperlink r:id="rId60">
        <w:r>
          <w:rPr>
            <w:color w:val="176C79"/>
            <w:sz w:val="18"/>
          </w:rPr>
          <w:t>R050</w:t>
        </w:r>
      </w:hyperlink>
      <w:r>
        <w:rPr>
          <w:sz w:val="18"/>
        </w:rPr>
        <w:t xml:space="preserve"> · </w:t>
      </w:r>
      <w:hyperlink r:id="rId61">
        <w:r>
          <w:rPr>
            <w:color w:val="176C79"/>
            <w:sz w:val="18"/>
          </w:rPr>
          <w:t>R051</w:t>
        </w:r>
      </w:hyperlink>
      <w:r>
        <w:rPr>
          <w:sz w:val="18"/>
        </w:rPr>
        <w:t xml:space="preserve"> · </w:t>
      </w:r>
      <w:hyperlink r:id="rId62">
        <w:r>
          <w:rPr>
            <w:color w:val="176C79"/>
            <w:sz w:val="18"/>
          </w:rPr>
          <w:t>R052</w:t>
        </w:r>
      </w:hyperlink>
      <w:r>
        <w:rPr>
          <w:sz w:val="18"/>
        </w:rPr>
        <w:t xml:space="preserve"> · </w:t>
      </w:r>
      <w:hyperlink r:id="rId68">
        <w:r>
          <w:rPr>
            <w:color w:val="176C79"/>
            <w:sz w:val="18"/>
          </w:rPr>
          <w:t>R055</w:t>
        </w:r>
      </w:hyperlink>
      <w:r>
        <w:rPr>
          <w:sz w:val="18"/>
        </w:rPr>
        <w:t xml:space="preserve"> · </w:t>
      </w:r>
      <w:hyperlink r:id="rId70">
        <w:r>
          <w:rPr>
            <w:color w:val="176C79"/>
            <w:sz w:val="18"/>
          </w:rPr>
          <w:t>R057</w:t>
        </w:r>
      </w:hyperlink>
      <w:r>
        <w:rPr>
          <w:sz w:val="18"/>
        </w:rPr>
        <w:t xml:space="preserve"> · </w:t>
      </w:r>
      <w:hyperlink r:id="rId65">
        <w:r>
          <w:rPr>
            <w:color w:val="176C79"/>
            <w:sz w:val="18"/>
          </w:rPr>
          <w:t>R065</w:t>
        </w:r>
      </w:hyperlink>
      <w:r>
        <w:rPr>
          <w:sz w:val="18"/>
        </w:rPr>
        <w:t xml:space="preserve"> · </w:t>
      </w:r>
      <w:hyperlink r:id="rId76">
        <w:r>
          <w:rPr>
            <w:color w:val="176C79"/>
            <w:sz w:val="18"/>
          </w:rPr>
          <w:t>R074</w:t>
        </w:r>
      </w:hyperlink>
      <w:r>
        <w:rPr>
          <w:sz w:val="18"/>
        </w:rPr>
        <w:t xml:space="preserve"> · </w:t>
      </w:r>
      <w:hyperlink r:id="rId75">
        <w:r>
          <w:rPr>
            <w:color w:val="176C79"/>
            <w:sz w:val="18"/>
          </w:rPr>
          <w:t>R091</w:t>
        </w:r>
      </w:hyperlink>
    </w:p>
    <w:p>
      <w:r>
        <w:t>5. Ранние и ближайшие комментаторы. Продолжить поиск Фишакра I и IV, Уильяма Уэра, полного латинского Пекхама и остальных quaestiones Матфея Акваспартского. Получить файлы каутоновских изданий 2020 г.; для части II, dd. 15–38, изданной в 2025 г., не переносить автоматически лицензию соседних томов или вывод о завершившемся эмбарго. Позиции: G006–G009, G022–G024.</w:t>
      </w:r>
      <w:r>
        <w:rPr>
          <w:sz w:val="18"/>
        </w:rPr>
        <w:t xml:space="preserve">  </w:t>
      </w:r>
      <w:hyperlink r:id="rId91">
        <w:r>
          <w:rPr>
            <w:color w:val="176C79"/>
            <w:sz w:val="18"/>
          </w:rPr>
          <w:t>R073</w:t>
        </w:r>
      </w:hyperlink>
      <w:r>
        <w:rPr>
          <w:sz w:val="18"/>
        </w:rPr>
        <w:t xml:space="preserve"> · </w:t>
      </w:r>
      <w:hyperlink r:id="rId13">
        <w:r>
          <w:rPr>
            <w:color w:val="176C79"/>
            <w:sz w:val="18"/>
          </w:rPr>
          <w:t>R075</w:t>
        </w:r>
      </w:hyperlink>
      <w:r>
        <w:rPr>
          <w:sz w:val="18"/>
        </w:rPr>
        <w:t xml:space="preserve"> · </w:t>
      </w:r>
      <w:hyperlink r:id="rId92">
        <w:r>
          <w:rPr>
            <w:color w:val="176C79"/>
            <w:sz w:val="18"/>
          </w:rPr>
          <w:t>R096</w:t>
        </w:r>
      </w:hyperlink>
      <w:r>
        <w:rPr>
          <w:sz w:val="18"/>
        </w:rPr>
        <w:t xml:space="preserve"> · </w:t>
      </w:r>
      <w:hyperlink r:id="rId19">
        <w:r>
          <w:rPr>
            <w:color w:val="176C79"/>
            <w:sz w:val="18"/>
          </w:rPr>
          <w:t>R113</w:t>
        </w:r>
      </w:hyperlink>
      <w:r>
        <w:rPr>
          <w:sz w:val="18"/>
        </w:rPr>
        <w:t xml:space="preserve"> · </w:t>
      </w:r>
      <w:hyperlink r:id="rId33">
        <w:r>
          <w:rPr>
            <w:color w:val="176C79"/>
            <w:sz w:val="18"/>
          </w:rPr>
          <w:t>R114</w:t>
        </w:r>
      </w:hyperlink>
    </w:p>
    <w:p>
      <w:r>
        <w:t>6. Подлинные входящие версии. Найти конкретные средневековые латинские переводы Аристотеля, Avicenna Latinus, самостоятельный Liber de causis и греческий либо исторический латинский Дионисий. Современные английские версии уже дают чтение, но не воспроизводят автоматически средневековую трансмиссию. Позиции: G018–G021.</w:t>
      </w:r>
      <w:r>
        <w:rPr>
          <w:sz w:val="18"/>
        </w:rPr>
        <w:t xml:space="preserve">  </w:t>
      </w:r>
      <w:hyperlink r:id="rId32">
        <w:r>
          <w:rPr>
            <w:color w:val="176C79"/>
            <w:sz w:val="18"/>
          </w:rPr>
          <w:t>R099</w:t>
        </w:r>
      </w:hyperlink>
      <w:r>
        <w:rPr>
          <w:sz w:val="18"/>
        </w:rPr>
        <w:t xml:space="preserve"> · </w:t>
      </w:r>
      <w:hyperlink r:id="rId28">
        <w:r>
          <w:rPr>
            <w:color w:val="176C79"/>
            <w:sz w:val="18"/>
          </w:rPr>
          <w:t>R100</w:t>
        </w:r>
      </w:hyperlink>
      <w:r>
        <w:rPr>
          <w:sz w:val="18"/>
        </w:rPr>
        <w:t xml:space="preserve"> · </w:t>
      </w:r>
      <w:hyperlink r:id="rId29">
        <w:r>
          <w:rPr>
            <w:color w:val="176C79"/>
            <w:sz w:val="18"/>
          </w:rPr>
          <w:t>R106</w:t>
        </w:r>
      </w:hyperlink>
      <w:r>
        <w:rPr>
          <w:sz w:val="18"/>
        </w:rPr>
        <w:t xml:space="preserve"> · </w:t>
      </w:r>
      <w:hyperlink r:id="rId31">
        <w:r>
          <w:rPr>
            <w:color w:val="176C79"/>
            <w:sz w:val="18"/>
          </w:rPr>
          <w:t>R108</w:t>
        </w:r>
      </w:hyperlink>
    </w:p>
    <w:p>
      <w:r>
        <w:t>7. Дальнейшая прямая рецепция. Проверить Additiones magnae и линию Уильяма Алнвикского, Антония Андреа и Франциска Мейроннского; выделить конкретные тексты оккамистского ответа Скоту. Сейчас это направления с неполной проверкой связи и цифрового доступа, а не установленная общая библиография позднего скотизма или номинализма. Позиции: G026–G027.</w:t>
      </w:r>
    </w:p>
    <w:p>
      <w:r>
        <w:t>8. Повторная техническая и правовая проверка. Получить неоткрывшиеся BAdW PDF, закрепить версии ITTB, проверить лицензии остальных TEI SCTA, выяснить фактические библиотечные режимы и национальные ограничения исторических изданий. Конкретные Vatican shelfmarks 9850/9851 оставлены кандидатами: открытого подтверждения состава каждого свидетеля недостаточно. Проверить работающий reader Aquinas.cc, не подменяя им будущие печатные тома. Позиции: G015, G025, G028 и ограничения внутри записей.</w:t>
      </w:r>
      <w:r>
        <w:rPr>
          <w:sz w:val="18"/>
        </w:rPr>
        <w:t xml:space="preserve">  </w:t>
      </w:r>
      <w:hyperlink r:id="rId44">
        <w:r>
          <w:rPr>
            <w:color w:val="176C79"/>
            <w:sz w:val="18"/>
          </w:rPr>
          <w:t>R032</w:t>
        </w:r>
      </w:hyperlink>
      <w:r>
        <w:rPr>
          <w:sz w:val="18"/>
        </w:rPr>
        <w:t xml:space="preserve"> · </w:t>
      </w:r>
      <w:hyperlink r:id="rId45">
        <w:r>
          <w:rPr>
            <w:color w:val="176C79"/>
            <w:sz w:val="18"/>
          </w:rPr>
          <w:t>R033</w:t>
        </w:r>
      </w:hyperlink>
      <w:r>
        <w:rPr>
          <w:sz w:val="18"/>
        </w:rPr>
        <w:t xml:space="preserve"> · </w:t>
      </w:r>
      <w:hyperlink r:id="rId26">
        <w:r>
          <w:rPr>
            <w:color w:val="176C79"/>
            <w:sz w:val="18"/>
          </w:rPr>
          <w:t>R087</w:t>
        </w:r>
      </w:hyperlink>
      <w:r>
        <w:rPr>
          <w:sz w:val="18"/>
        </w:rPr>
        <w:t xml:space="preserve"> · </w:t>
      </w:r>
      <w:hyperlink r:id="rId41">
        <w:r>
          <w:rPr>
            <w:color w:val="176C79"/>
            <w:sz w:val="18"/>
          </w:rPr>
          <w:t>R104</w:t>
        </w:r>
      </w:hyperlink>
      <w:r>
        <w:rPr>
          <w:sz w:val="18"/>
        </w:rPr>
        <w:t xml:space="preserve"> · </w:t>
      </w:r>
      <w:hyperlink r:id="rId94">
        <w:r>
          <w:rPr>
            <w:color w:val="176C79"/>
            <w:sz w:val="18"/>
          </w:rPr>
          <w:t>R111</w:t>
        </w:r>
      </w:hyperlink>
    </w:p>
    <w:p>
      <w:r>
        <w:t>Технически не подтверждённый доступ сосредоточен в просмотрщике HathiTrust, отдельных больших PDF BAdW, ссылке на файл Пекхама, внешнем факсимиле Salamanca и нескольких рукописных страницах. Внепериодные продолжения не удалены из-за дат: проверенные Капреол, Каэтан, Ликет и Монтефортинский включены; непроверенная более широкая скотистская рецепция оставлена для адресного продолжения.</w:t>
      </w:r>
    </w:p>
    <w:p>
      <w:pPr>
        <w:pStyle w:val="Heading1"/>
      </w:pPr>
      <w:r>
        <w:t>7. Итоговая оценка</w:t>
      </w:r>
    </w:p>
    <w:p>
      <w:r>
        <w:t>Корпус покрыт широко, но не исчерпывающе. Для центральных произведений имеются реальные текстовые, издательские либо каталожные входы; особенно хорошо представлены Фома и основные небольшие сочинения Бонавентуры. Самый серьёзный дефицит первичного полного доступа остаётся в латинских Correctoria, отдельных критических томах Альберта, полном критическом Скотусе и ряде менее известных Sentences-комментариев.</w:t>
      </w:r>
    </w:p>
    <w:p>
      <w:r>
        <w:t>Латинские оригиналы доступны существенно лучше, чем полностью свободные современные переводы. Английские варианты многочисленны, но часто защищены; русские пути найдены точечно и требуют проверки состава и переводческого титула. Наиболее свободный научный слой — конкретные CC BY 4.0 издания BAdW. Его дополняют ограниченные исторические факсимиле и тексты с public-domain statements, а для некоммерческой вычислительной работы — ITTB с условиями NC-SA.</w:t>
      </w:r>
    </w:p>
    <w:p>
      <w:r>
        <w:t>Пакет пригоден для передачи Codex как исследовательский реестр: 32 требуемых поля, простые локальные идентификаторы, самостоятельные access source и rights evidence, отдельные слои прав и лист незавершённых проверок. Он не является разрешением на автоматический массовый импорт. Перед каждым публичным зеркалом, производным текстом или новым переводом необходимо прочитать rights_scope, coverage и notes; наличие RIGHTS_REVIEW_REQUIRED блокирует расширительное толкование положительных тегов.</w:t>
      </w:r>
    </w:p>
    <w:p>
      <w:r>
        <w:t>Исторические границы и статус A мастер-строки сохранены. Результат фиксирует не только то, что можно распространять, но и то, что законно читать, скачивать для исследования, искать через каталог или приобретать. Неизвестное право оставлено неизвестным, а отсутствие проверенного файла — отдельной задачей, не отсутствием текста.</w:t>
      </w:r>
    </w:p>
    <w:sectPr w:rsidR="00FC693F" w:rsidRPr="0006063C" w:rsidSect="00034616">
      <w:headerReference w:type="default" r:id="rId9"/>
      <w:footerReference w:type="default" r:id="rId10"/>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Проверка: 4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8707A"/>
        <w:sz w:val="16"/>
      </w:rPr>
      <w:t>ToS / Древо Софии                                               CORPUS &amp; RIGHTS • T2-25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24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63F4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6C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63F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63F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425E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24364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rpusthomisticum.org/wintroen.html" TargetMode="External"/><Relationship Id="rId12" Type="http://schemas.openxmlformats.org/officeDocument/2006/relationships/hyperlink" Target="https://publikationen.badw.de/de/014113732" TargetMode="External"/><Relationship Id="rId13" Type="http://schemas.openxmlformats.org/officeDocument/2006/relationships/hyperlink" Target="https://publikationen.badw.de/de/023200409" TargetMode="External"/><Relationship Id="rId14" Type="http://schemas.openxmlformats.org/officeDocument/2006/relationships/hyperlink" Target="https://publikationen.badw.de/de/010205773" TargetMode="External"/><Relationship Id="rId15" Type="http://schemas.openxmlformats.org/officeDocument/2006/relationships/hyperlink" Target="https://publikationen.badw.de/de/007100703" TargetMode="External"/><Relationship Id="rId16" Type="http://schemas.openxmlformats.org/officeDocument/2006/relationships/hyperlink" Target="https://publikationen.badw.de/de/000958439" TargetMode="External"/><Relationship Id="rId17" Type="http://schemas.openxmlformats.org/officeDocument/2006/relationships/hyperlink" Target="https://archive.org/details/A336090" TargetMode="External"/><Relationship Id="rId18" Type="http://schemas.openxmlformats.org/officeDocument/2006/relationships/hyperlink" Target="https://www.corpusthomisticum.org/xpz.html" TargetMode="External"/><Relationship Id="rId19" Type="http://schemas.openxmlformats.org/officeDocument/2006/relationships/hyperlink" Target="https://petruslombardus.badw.de/publikationen.html?cHash=4f20aafefb256588c3a0d977c8147dd4&amp;tx_badwdb_publications%5Baction%5D=show&amp;tx_badwdb_publications%5Bactive%5D=1&amp;tx_badwdb_publications%5BcomeFromListView%5D=true&amp;tx_badwdb_publications%5Bcontroller%5D=Publications&amp;tx_badwdb_publications%5Bfilter%5D%5Bfor_id%5D=45&amp;tx_badwdb_publications%5Bpub_id%5D=15111&amp;tx_badwdb_publications%5BsortBy%5D=badw_pub_jahr&amp;tx_badwdb_publications%5BsortHow%5D=DESC" TargetMode="External"/><Relationship Id="rId20" Type="http://schemas.openxmlformats.org/officeDocument/2006/relationships/hyperlink" Target="https://www.franciscanpublications.com/collections/st-bonaventure-and-works-of-st-bonaventure/products/on-the-reduction-of-arts-to-theology" TargetMode="External"/><Relationship Id="rId21" Type="http://schemas.openxmlformats.org/officeDocument/2006/relationships/hyperlink" Target="https://www.franciscanpublications.com/collections/st-bonaventure-and-works-of-st-bonaventure/products/disputed-questions-on-evangelical-perfection-works-of-st-bonaventure-volume-xiii" TargetMode="External"/><Relationship Id="rId22" Type="http://schemas.openxmlformats.org/officeDocument/2006/relationships/hyperlink" Target="https://www.franciscanpublications.com/collections/st-bonaventure-and-works-of-st-bonaventure/products/defense-of-the-mendicants" TargetMode="External"/><Relationship Id="rId23" Type="http://schemas.openxmlformats.org/officeDocument/2006/relationships/hyperlink" Target="https://archive.org/details/05636860.5.emory.edu" TargetMode="External"/><Relationship Id="rId24" Type="http://schemas.openxmlformats.org/officeDocument/2006/relationships/hyperlink" Target="https://archive.org/details/doctorisseraphic10bona" TargetMode="External"/><Relationship Id="rId25" Type="http://schemas.openxmlformats.org/officeDocument/2006/relationships/hyperlink" Target="https://pims.ca/publication/isbn-978-0-88844-292-5/" TargetMode="External"/><Relationship Id="rId26" Type="http://schemas.openxmlformats.org/officeDocument/2006/relationships/hyperlink" Target="https://github.com/scta-texts/lombardsententia/blob/master/pl-l2d24c6/pl-l2d24c6.xml" TargetMode="External"/><Relationship Id="rId27" Type="http://schemas.openxmlformats.org/officeDocument/2006/relationships/hyperlink" Target="https://www.gutenberg.org/ebooks/13316" TargetMode="External"/><Relationship Id="rId28" Type="http://schemas.openxmlformats.org/officeDocument/2006/relationships/hyperlink" Target="https://yalebooks.co.uk/book/9780300178296/long-commentary-on-the-de-anima-of-aristotle/" TargetMode="External"/><Relationship Id="rId29" Type="http://schemas.openxmlformats.org/officeDocument/2006/relationships/hyperlink" Target="https://press.uchicago.edu/ucp/books/book/distributed/M/bo3622795.html" TargetMode="External"/><Relationship Id="rId30" Type="http://schemas.openxmlformats.org/officeDocument/2006/relationships/hyperlink" Target="https://www.brepols.net/products/IS-9782503580500-1" TargetMode="External"/><Relationship Id="rId31" Type="http://schemas.openxmlformats.org/officeDocument/2006/relationships/hyperlink" Target="https://www.ccel.org/ccel/r/rolt/dionysius/cache/dionysius.pdf" TargetMode="External"/><Relationship Id="rId32" Type="http://schemas.openxmlformats.org/officeDocument/2006/relationships/hyperlink" Target="https://www.brepols.net/series/ald-o" TargetMode="External"/><Relationship Id="rId33" Type="http://schemas.openxmlformats.org/officeDocument/2006/relationships/hyperlink" Target="https://petruslombardus.badw.de/publikationen.html?cHash=04f15d0a97a38eb692277c04a7d7fe4c&amp;tx_badwdb_publications%5Baction%5D=show&amp;tx_badwdb_publications%5Bactive%5D=1&amp;tx_badwdb_publications%5BcomeFromListView%5D=true&amp;tx_badwdb_publications%5Bcontroller%5D=Publications&amp;tx_badwdb_publications%5Bfilter%5D%5Bfor_id%5D=45&amp;tx_badwdb_publications%5Bpub_id%5D=15110&amp;tx_badwdb_publications%5BsortBy%5D=badw_pub_jahr&amp;tx_badwdb_publications%5BsortHow%5D=DESC" TargetMode="External"/><Relationship Id="rId34" Type="http://schemas.openxmlformats.org/officeDocument/2006/relationships/hyperlink" Target="https://archive.org/details/operaomni08duns" TargetMode="External"/><Relationship Id="rId35" Type="http://schemas.openxmlformats.org/officeDocument/2006/relationships/hyperlink" Target="https://www.aristotelophile.com/Books/Translations/A%20Scotus%20Summa.pdf" TargetMode="External"/><Relationship Id="rId36" Type="http://schemas.openxmlformats.org/officeDocument/2006/relationships/hyperlink" Target="https://archive.org/details/defensionestheol01capr" TargetMode="External"/><Relationship Id="rId37" Type="http://schemas.openxmlformats.org/officeDocument/2006/relationships/hyperlink" Target="https://www.gutenberg.org/ebooks/17611" TargetMode="External"/><Relationship Id="rId38" Type="http://schemas.openxmlformats.org/officeDocument/2006/relationships/hyperlink" Target="https://stpaulcenter.com/emmaus-academic/summa-theologiae-complete-set" TargetMode="External"/><Relationship Id="rId39" Type="http://schemas.openxmlformats.org/officeDocument/2006/relationships/hyperlink" Target="https://stpaulcenter.com/emmaus-academic/summa-contra-gentiles-books-i-ii-latin-english-opera-omnia" TargetMode="External"/><Relationship Id="rId40" Type="http://schemas.openxmlformats.org/officeDocument/2006/relationships/hyperlink" Target="https://stpaulcenter.com/emmaus-academic/vol-1-commentary-on-the-sentences-book-i-distinctions-1-20-latin-english-opera-omnia" TargetMode="External"/><Relationship Id="rId41" Type="http://schemas.openxmlformats.org/officeDocument/2006/relationships/hyperlink" Target="https://stpaulcenter.com/emmaus-academic/vol-3-commentary-on-the-sentences-book-ii-distinctions-1-20-latin-english-opera-omnia" TargetMode="External"/><Relationship Id="rId42" Type="http://schemas.openxmlformats.org/officeDocument/2006/relationships/hyperlink" Target="https://stpaulcenter.com/emmaus-academic/commentary-on-the-sentences-book-iv-1-13-latin-english-edition" TargetMode="External"/><Relationship Id="rId43" Type="http://schemas.openxmlformats.org/officeDocument/2006/relationships/hyperlink" Target="https://urss.ru/cgi-bin/db.pl?blang=ru&amp;id=225996&amp;lang=Ru&amp;page=Book" TargetMode="External"/><Relationship Id="rId44" Type="http://schemas.openxmlformats.org/officeDocument/2006/relationships/hyperlink" Target="https://github.com/CIRCSE/IT-TB#license" TargetMode="External"/><Relationship Id="rId45" Type="http://schemas.openxmlformats.org/officeDocument/2006/relationships/hyperlink" Target="https://github.com/UniversalDependencies/UD_Latin-ITTB/blob/master/LICENSE.txt" TargetMode="External"/><Relationship Id="rId46" Type="http://schemas.openxmlformats.org/officeDocument/2006/relationships/hyperlink" Target="https://archive.org/details/operaomnia01bona" TargetMode="External"/><Relationship Id="rId47" Type="http://schemas.openxmlformats.org/officeDocument/2006/relationships/hyperlink" Target="https://archive.org/details/operaomnia03bona" TargetMode="External"/><Relationship Id="rId48" Type="http://schemas.openxmlformats.org/officeDocument/2006/relationships/hyperlink" Target="https://archive.org/details/doctorisseraphic04bona" TargetMode="External"/><Relationship Id="rId49" Type="http://schemas.openxmlformats.org/officeDocument/2006/relationships/hyperlink" Target="https://www.franciscanpublications.com/products/disputed-questions-on-the-knowledge-of-christ" TargetMode="External"/><Relationship Id="rId50" Type="http://schemas.openxmlformats.org/officeDocument/2006/relationships/hyperlink" Target="https://www.franciscanpublications.com/collections/st-bonaventure-and-works-of-st-bonaventure/products/breviloquium" TargetMode="External"/><Relationship Id="rId51" Type="http://schemas.openxmlformats.org/officeDocument/2006/relationships/hyperlink" Target="https://www.franciscanpublications.com/collections/st-bonaventure-and-works-of-st-bonaventure/products/itinerarium-mentis-in-deum" TargetMode="External"/><Relationship Id="rId52" Type="http://schemas.openxmlformats.org/officeDocument/2006/relationships/hyperlink" Target="https://www.franciscanpublications.com/products/collations-on-the-hexaemeron" TargetMode="External"/><Relationship Id="rId53" Type="http://schemas.openxmlformats.org/officeDocument/2006/relationships/hyperlink" Target="https://urss.ru/cgi-bin/db.pl?blang=ru&amp;id=171061&amp;lang=Ru&amp;page=Book" TargetMode="External"/><Relationship Id="rId54" Type="http://schemas.openxmlformats.org/officeDocument/2006/relationships/hyperlink" Target="https://www.aschendorff-buchverlag.de/digibib/?attr=albertus-magnus&amp;digiview=&amp;opus=0370" TargetMode="External"/><Relationship Id="rId55" Type="http://schemas.openxmlformats.org/officeDocument/2006/relationships/hyperlink" Target="https://archive.org/details/ljs482" TargetMode="External"/><Relationship Id="rId56" Type="http://schemas.openxmlformats.org/officeDocument/2006/relationships/hyperlink" Target="https://archive.org/details/mobot31753000811098" TargetMode="External"/><Relationship Id="rId57" Type="http://schemas.openxmlformats.org/officeDocument/2006/relationships/hyperlink" Target="https://archive.org/details/albertusmagnusde00albe" TargetMode="External"/><Relationship Id="rId58" Type="http://schemas.openxmlformats.org/officeDocument/2006/relationships/hyperlink" Target="https://www.cervantesvirtual.com/obra/metaphysica-ms-2179-1384667/" TargetMode="External"/><Relationship Id="rId59" Type="http://schemas.openxmlformats.org/officeDocument/2006/relationships/hyperlink" Target="https://ohiostatepress.org/books/titles/9780814213735.html" TargetMode="External"/><Relationship Id="rId60" Type="http://schemas.openxmlformats.org/officeDocument/2006/relationships/hyperlink" Target="https://www.franciscanpublications.com/collections/john-duns-scotus/products/john-duns-scotus-early-oxford-lecture-on-individuation" TargetMode="External"/><Relationship Id="rId61" Type="http://schemas.openxmlformats.org/officeDocument/2006/relationships/hyperlink" Target="https://www.franciscanpublications.com/collections/john-duns-scotus/products/john-duns-scotus-the-examined-report-of-the-paris-lecture-reportatio-1-a-volume-ii" TargetMode="External"/><Relationship Id="rId62" Type="http://schemas.openxmlformats.org/officeDocument/2006/relationships/hyperlink" Target="https://www.franciscanpublications.com/collections/john-duns-scotus/products/john-duns-scotus-the-examined-report-of-the-paris-lecture-reportatio-iv-a-volumes-1-and-2" TargetMode="External"/><Relationship Id="rId63" Type="http://schemas.openxmlformats.org/officeDocument/2006/relationships/hyperlink" Target="https://www.franciscanpublications.com/collections/john-duns-scotus/products/the-philosophical-writings-of-john-duns-scotus" TargetMode="External"/><Relationship Id="rId64" Type="http://schemas.openxmlformats.org/officeDocument/2006/relationships/hyperlink" Target="https://www.franciscanpublications.com/collections/john-duns-scotus/products/questions-on-the-metaphysics-of-aristotle-by-john-duns-scotus" TargetMode="External"/><Relationship Id="rId65" Type="http://schemas.openxmlformats.org/officeDocument/2006/relationships/hyperlink" Target="https://www.quaracchi.org/en/publications/tom-iii-ordinatio-liber-primus-distinctio-3/" TargetMode="External"/><Relationship Id="rId66" Type="http://schemas.openxmlformats.org/officeDocument/2006/relationships/hyperlink" Target="https://www.quaracchi.org/en/publications/tom-xvi-lectura-in-librum-primum-sententiarum-prologus-et-distinctiones-1-7/" TargetMode="External"/><Relationship Id="rId67" Type="http://schemas.openxmlformats.org/officeDocument/2006/relationships/hyperlink" Target="https://www.quaracchi.org/en/publications/tom-xix-lectura-in-librum-secundum-sententiarum-distinctiones-7-44/" TargetMode="External"/><Relationship Id="rId68" Type="http://schemas.openxmlformats.org/officeDocument/2006/relationships/hyperlink" Target="https://www.aristotelophile.com/Books/Translations/Scotus%20Prologue.pdf" TargetMode="External"/><Relationship Id="rId69" Type="http://schemas.openxmlformats.org/officeDocument/2006/relationships/hyperlink" Target="https://www.aristotelophile.com/Books/Translations/Scotus%20Ordinatio%20IV%20d.1-7.pdf" TargetMode="External"/><Relationship Id="rId70" Type="http://schemas.openxmlformats.org/officeDocument/2006/relationships/hyperlink" Target="https://www.academia.edu/145457914/Scotus_Ordinatio_I_d_3" TargetMode="External"/><Relationship Id="rId71" Type="http://schemas.openxmlformats.org/officeDocument/2006/relationships/hyperlink" Target="https://www.academia.edu/144945514/Scotus_Ordinatio_II_dd_4_14" TargetMode="External"/><Relationship Id="rId72" Type="http://schemas.openxmlformats.org/officeDocument/2006/relationships/hyperlink" Target="https://archive.org/details/questionessubtil00duns" TargetMode="External"/><Relationship Id="rId73" Type="http://schemas.openxmlformats.org/officeDocument/2006/relationships/hyperlink" Target="https://archive.org/details/operaomnia22duns" TargetMode="External"/><Relationship Id="rId74" Type="http://schemas.openxmlformats.org/officeDocument/2006/relationships/hyperlink" Target="https://archive.org/details/operaomnia25duns" TargetMode="External"/><Relationship Id="rId75" Type="http://schemas.openxmlformats.org/officeDocument/2006/relationships/hyperlink" Target="https://urss.ru/cgi-bin/db.pl?blang=ru&amp;id=222854&amp;lang=Ru&amp;page=Book" TargetMode="External"/><Relationship Id="rId76" Type="http://schemas.openxmlformats.org/officeDocument/2006/relationships/hyperlink" Target="https://www.scotus.de/about-contact" TargetMode="External"/><Relationship Id="rId77" Type="http://schemas.openxmlformats.org/officeDocument/2006/relationships/hyperlink" Target="https://www.aristotelophile.com/Books/Translations/DelaMare%20format.pdf" TargetMode="External"/><Relationship Id="rId78" Type="http://schemas.openxmlformats.org/officeDocument/2006/relationships/hyperlink" Target="https://catalog.hathitrust.org/Record/102768321" TargetMode="External"/><Relationship Id="rId79" Type="http://schemas.openxmlformats.org/officeDocument/2006/relationships/hyperlink" Target="https://www.vrin.fr/livre/9782711603077/les-premieres-polemiques-thomistes-ii-le-correctorium-corruptorii-sciendum" TargetMode="External"/><Relationship Id="rId80" Type="http://schemas.openxmlformats.org/officeDocument/2006/relationships/hyperlink" Target="https://books.google.com/books/about/Le_Correctorium_corruptorii_Quaestione.html?id=fOt50QEACAAJ" TargetMode="External"/><Relationship Id="rId81" Type="http://schemas.openxmlformats.org/officeDocument/2006/relationships/hyperlink" Target="https://read.uolpress.co.uk/read/individuals-and-institutions-in-medieval-scholasticism/section/8decdfb0-7ee8-4810-a3c1-def08871dd1b" TargetMode="External"/><Relationship Id="rId82" Type="http://schemas.openxmlformats.org/officeDocument/2006/relationships/hyperlink" Target="https://publikationen.badw.de/de/002117256" TargetMode="External"/><Relationship Id="rId83" Type="http://schemas.openxmlformats.org/officeDocument/2006/relationships/hyperlink" Target="https://publikationen.badw.de/de/039572960" TargetMode="External"/><Relationship Id="rId84" Type="http://schemas.openxmlformats.org/officeDocument/2006/relationships/hyperlink" Target="https://publikationen.badw.de/de/039743935" TargetMode="External"/><Relationship Id="rId85" Type="http://schemas.openxmlformats.org/officeDocument/2006/relationships/hyperlink" Target="https://publikationen.badw.de/de/017544018" TargetMode="External"/><Relationship Id="rId86" Type="http://schemas.openxmlformats.org/officeDocument/2006/relationships/hyperlink" Target="https://publikationen.badw.de/de/000956193" TargetMode="External"/><Relationship Id="rId87" Type="http://schemas.openxmlformats.org/officeDocument/2006/relationships/hyperlink" Target="https://publikationen.badw.de/de/000561544" TargetMode="External"/><Relationship Id="rId88" Type="http://schemas.openxmlformats.org/officeDocument/2006/relationships/hyperlink" Target="https://publikationen.badw.de/de/008096425" TargetMode="External"/><Relationship Id="rId89" Type="http://schemas.openxmlformats.org/officeDocument/2006/relationships/hyperlink" Target="https://publikationen.badw.de/de/000025851" TargetMode="External"/><Relationship Id="rId90" Type="http://schemas.openxmlformats.org/officeDocument/2006/relationships/hyperlink" Target="https://publikationen.badw.de/de/000025849" TargetMode="External"/><Relationship Id="rId91" Type="http://schemas.openxmlformats.org/officeDocument/2006/relationships/hyperlink" Target="https://archive.org/details/quaestionesdispu01matt_0" TargetMode="External"/><Relationship Id="rId92" Type="http://schemas.openxmlformats.org/officeDocument/2006/relationships/hyperlink" Target="https://lirias.kuleuven.be/3720341" TargetMode="External"/><Relationship Id="rId93" Type="http://schemas.openxmlformats.org/officeDocument/2006/relationships/hyperlink" Target="https://publikationen.badw.de/de/-/api" TargetMode="External"/><Relationship Id="rId94" Type="http://schemas.openxmlformats.org/officeDocument/2006/relationships/hyperlink" Target="https://www.commissio-leonina.org/pres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T2-25</dc:title>
  <dc:subject>Доминикано-францисканская полифония поздней схоластики</dc:subject>
  <dc:creator>ToS / Древо Софии</dc:creator>
  <cp:keywords>T2-25; corpus; rights; scholasticism</cp:keywords>
  <dc:description>generated by python-docx</dc:description>
  <cp:lastModifiedBy/>
  <cp:revision>1</cp:revision>
  <dcterms:created xsi:type="dcterms:W3CDTF">2013-12-23T23:15:00Z</dcterms:created>
  <dcterms:modified xsi:type="dcterms:W3CDTF">2013-12-23T23:15:00Z</dcterms:modified>
  <cp:category/>
</cp:coreProperties>
</file>