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ToS Corpus &amp; Rights Registry</w:t>
      </w:r>
    </w:p>
    <w:p>
      <w:pPr>
        <w:pStyle w:val="Subtitle"/>
      </w:pPr>
      <w:r>
        <w:t>A07 — Элам: proto-Elamite и Linear Elamite frontier</w:t>
      </w:r>
    </w:p>
    <w:p>
      <w:pPr>
        <w:pStyle w:val="ToSLead"/>
      </w:pPr>
      <w:r>
        <w:t>Исследовательская карта корпуса, законных путей доступа и границ повторного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751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ToSCallout"/>
            </w:pPr>
            <w:r>
              <w:rPr>
                <w:b/>
              </w:rPr>
              <w:t xml:space="preserve">Результат. </w:t>
            </w:r>
            <w:r>
              <w:t>Реестр содержит 93 практически отличимых записей доступа и 12 зафиксированных пробелов. Он объединяет центральные корпуса, конкретные свидетели, исторические и современные издания, машиночитаемые инструменты, предшествующие административные традиции и поздние линии передачи — не меняя ID A07, статус C и исторические границы мастер-строки.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2381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370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7"/>
              </w:rPr>
              <w:t>ID / статус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7"/>
              </w:rPr>
              <w:t>A07 / C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7"/>
              </w:rPr>
              <w:t>Дата проверки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7"/>
              </w:rPr>
              <w:t>03.09.2026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7"/>
              </w:rPr>
              <w:t>Исходный документ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7"/>
              </w:rPr>
              <w:t>ToS Deep Research_ A07 — Элам_ proto-Elamite и Linear Elamite frontier.docx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7"/>
              </w:rPr>
              <w:t>Итоговые файлы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7"/>
              </w:rPr>
              <w:t>XLSX registry + DOCX report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7"/>
              </w:rPr>
              <w:t>Правовой принцип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7"/>
              </w:rPr>
              <w:t>Доступ ≠ разрешение на зеркалирование; права разделены по произведению, версии, цифровому объекту и платформе.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Паспорт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2268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483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Строка ToS</w:t>
            </w:r>
          </w:p>
        </w:tc>
        <w:tc>
          <w:tcPr>
            <w:tcW w:type="dxa" w:w="74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A07 — «Элам: proto-Elamite и Linear Elamite frontier»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Исходный статус</w:t>
            </w:r>
          </w:p>
        </w:tc>
        <w:tc>
          <w:tcPr>
            <w:tcW w:type="dxa" w:w="74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C. Статус и ID не изменялись.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Исходный DR</w:t>
            </w:r>
          </w:p>
        </w:tc>
        <w:tc>
          <w:tcPr>
            <w:tcW w:type="dxa" w:w="74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ToS Deep Research_ A07 — Элам_ proto-Elamite и Linear Elamite frontier.docx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Дата живой проверки</w:t>
            </w:r>
          </w:p>
        </w:tc>
        <w:tc>
          <w:tcPr>
            <w:tcW w:type="dxa" w:w="74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03 сентября 2026 года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Языки поиска</w:t>
            </w:r>
          </w:p>
        </w:tc>
        <w:tc>
          <w:tcPr>
            <w:tcW w:type="dxa" w:w="74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Русский и английский; французские названия серий и музейных записей; выборочно немецкие, итальянские и персидские/транслитерированные варианты.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Историческое ядро</w:t>
            </w:r>
          </w:p>
        </w:tc>
        <w:tc>
          <w:tcPr>
            <w:tcW w:type="dxa" w:w="74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Proto-Elamite administrative tablets (прежде всего Сузы и региональные кластеры плато), числовые и метрологические системы, Linear Elamite inscriptions, эпиграфический комплекс Пузур-Иншушинака, Table au Lion, Narundi, конусы/блоки и серебряные сосуды.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Типы объектов</w:t>
            </w:r>
          </w:p>
        </w:tc>
        <w:tc>
          <w:tcPr>
            <w:tcW w:type="dxa" w:w="74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work; corpus; physical_witness; translation_or_edition; digital_text_or_facsimile; dataset_or_api; digital_project_or_catalogue; secondary_navigation.</w:t>
            </w:r>
          </w:p>
        </w:tc>
      </w:tr>
    </w:tbl>
    <w:p>
      <w:pPr>
        <w:spacing w:after="20"/>
      </w:pPr>
    </w:p>
    <w:p>
      <w:r>
        <w:rPr>
          <w:b/>
        </w:rPr>
        <w:t xml:space="preserve">Метод. </w:t>
      </w:r>
      <w:r>
        <w:t>Исходный Deep Research использовался как карта, а не как закрытый список. После инвентаризации ядра выполнены отдельные проходы назад (Uruk IV/III, Susiana sealings/tokens, Chogha Mish, ранние административные технологии) и вперёд (Old/Middle/Neo-Elamite cuneiform, Achaemenid Elamite, ARIo, Persepolis Fortification Archive, современные критические и вычислительные линии).</w:t>
      </w:r>
    </w:p>
    <w:p>
      <w:r>
        <w:rPr>
          <w:b/>
        </w:rPr>
        <w:t xml:space="preserve">Единица реестра. </w:t>
      </w:r>
      <w:r>
        <w:t>Одна строка XLSX — один практически различимый способ доступа к конкретному произведению, корпусу, версии, свидетелю или цифровому объекту. Несколько форматов одного и того же пакета объединены; портал не раздут в десятки фиктивных записей.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751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ToSCallout"/>
            </w:pPr>
            <w:r>
              <w:rPr>
                <w:b/>
              </w:rPr>
              <w:t xml:space="preserve">Ограничение отчёта. </w:t>
            </w:r>
            <w:r>
              <w:t>Это исследовательская, а не юридическая квалификация. Сильные повторно-использовательские рекомендации даны только там, где обнаружено официальное license/rights statement. Во всех смешанных случаях реестр сохраняет законную ссылку, но ставит RIGHTS_REVIEW_REQUIRED.</w:t>
            </w:r>
          </w:p>
        </w:tc>
      </w:tr>
    </w:tbl>
    <w:p>
      <w:pPr>
        <w:spacing w:after="20"/>
      </w:pPr>
    </w:p>
    <w:p>
      <w:pPr>
        <w:pStyle w:val="Heading1"/>
      </w:pPr>
      <w:r>
        <w:t>2. Охват корпуса</w:t>
      </w:r>
    </w:p>
    <w:p>
      <w:pPr>
        <w:pStyle w:val="Heading2"/>
      </w:pPr>
      <w:r>
        <w:t>2.1. Количественная картина без смешения объектов и ссылок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2948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Что посчитано</w:t>
            </w:r>
          </w:p>
        </w:tc>
        <w:tc>
          <w:tcPr>
            <w:tcW w:type="dxa" w:w="1247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Количество</w:t>
            </w:r>
          </w:p>
        </w:tc>
        <w:tc>
          <w:tcPr>
            <w:tcW w:type="dxa" w:w="5556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Практические записи доступа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93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Строки основного листа registry; это не число произведений.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Именованные первичные объекты и корпусы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39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Отдельные works/corpora/physical witnesses в реестре; варианты доступа могут повторять концептуальный объект.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Конкретные физические свидетели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22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Таблички, статуи, конусы, сосуд и другие item-level объекты.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Корпусы и подкорпусы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16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Proto-Elamite, Linear Elamite, региональные и поздние корпусные слои.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Издания / переводы / научные публикации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35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Исторические тома, критические издания, статьи и монографии.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Dataset/API и цифровые каталоги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9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CDLI API, Hatamti, GEAS, Louvre, PFA и прочая инфраструктура.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Свободное онлайн-чтение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81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Записи, где найдено полное или item-level бесплатное чтение; coverage уточняет объём.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Бесплатное скачивание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70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Скачивание не означает право повторного размещения.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Purchase / institutional / preview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8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Сохранены лучшие современные варианты, даже когда они защищены.</w:t>
            </w:r>
          </w:p>
        </w:tc>
      </w:tr>
    </w:tbl>
    <w:p>
      <w:pPr>
        <w:spacing w:after="20"/>
      </w:pPr>
    </w:p>
    <w:p>
      <w:pPr>
        <w:pStyle w:val="Heading2"/>
      </w:pPr>
      <w:r>
        <w:t>2.2. Ядро: proto-Elamite</w:t>
      </w:r>
    </w:p>
    <w:p>
      <w:pPr>
        <w:pStyle w:val="ToSLead"/>
      </w:pPr>
      <w:r>
        <w:t>Центральный слой A07 — не философское «произведение» в обычном смысле, а административный письменный массив. Поэтому реестр строится вокруг корпусов табличек, систем счёта, публикационных серий и конкретных археологических свидетелей.</w:t>
      </w:r>
    </w:p>
    <w:p>
      <w:pPr>
        <w:pStyle w:val="ListBullet"/>
        <w:spacing w:after="50"/>
        <w:ind w:left="312" w:hanging="125"/>
      </w:pPr>
      <w:r>
        <w:t>CDLI period-filtered Proto-Elamite corpus — основной цифровой вход. В live-проходе отображалось 1 755 записей, из них 1 634 из Суз; число динамическое и не используется как вечная константа.</w:t>
      </w:r>
    </w:p>
    <w:p>
      <w:pPr>
        <w:pStyle w:val="ListBullet"/>
        <w:spacing w:after="50"/>
        <w:ind w:left="312" w:hanging="125"/>
      </w:pPr>
      <w:r>
        <w:t>Региональные подкорпусы: Tepe Yahya, Tepe Sofalin, Malyan/Anshan и Tepe Sialk. Они включены как same_corpus_or_tradition, поскольку показывают реальное распространение системы за пределами Суз.</w:t>
      </w:r>
    </w:p>
    <w:p>
      <w:pPr>
        <w:pStyle w:val="ListBullet"/>
        <w:spacing w:after="50"/>
        <w:ind w:left="312" w:hanging="125"/>
      </w:pPr>
      <w:r>
        <w:t>Исторические публикационные серии MDP 6, 17, 26, 31 и TCL 32 разведены на уровне полного тома и конкретных item-level планшетов. Для MDP 6 найден полный публичнодоменный скан; для остальных полный законный цифровой том не всегда найден.</w:t>
      </w:r>
    </w:p>
    <w:p>
      <w:pPr>
        <w:pStyle w:val="ListBullet"/>
        <w:spacing w:after="50"/>
        <w:ind w:left="312" w:hanging="125"/>
      </w:pPr>
      <w:r>
        <w:t>Числовой слой, метрология, sign frequencies и complex graphemes выделены как самостоятельные пути к пониманию корпуса, но научные статьи не подменяют первичные свидетели.</w:t>
      </w:r>
    </w:p>
    <w:p>
      <w:pPr>
        <w:pStyle w:val="Heading2"/>
      </w:pPr>
      <w:r>
        <w:t>2.3. Ядро: Linear Elamite</w:t>
      </w:r>
    </w:p>
    <w:p>
      <w:pPr>
        <w:pStyle w:val="ListBullet"/>
        <w:spacing w:after="50"/>
        <w:ind w:left="312" w:hanging="125"/>
      </w:pPr>
      <w:r>
        <w:t>CDLI Linear Elamite corpus, Hatamti database и GEAS/Elamicon дают три разные оптики: item-level каталог, современную корпусную редакцию с переводами и Unicode-ориентированный инструмент анализа.</w:t>
      </w:r>
    </w:p>
    <w:p>
      <w:pPr>
        <w:pStyle w:val="ListBullet"/>
        <w:spacing w:after="50"/>
        <w:ind w:left="312" w:hanging="125"/>
      </w:pPr>
      <w:r>
        <w:t>Пузур-Иншушинак представлен конкретными Louvre objects: Table au Lion, Narundi, SB 6, SB 139, SB 155, SB 17831 и связанными Akkadian control texts. Bilingual/parallel anchors отделены от чисто Linear Elamite объектов.</w:t>
      </w:r>
    </w:p>
    <w:p>
      <w:pPr>
        <w:pStyle w:val="ListBullet"/>
        <w:spacing w:after="50"/>
        <w:ind w:left="312" w:hanging="125"/>
      </w:pPr>
      <w:r>
        <w:t>Серебряные сосуды внесены отдельным корпусным кластером и одним репрезентативным CDLI item. Их научная роль велика, но unprovenanced/market-history объекты требуют двойной проверки — аутентичности и прав на фотографии.</w:t>
      </w:r>
    </w:p>
    <w:p>
      <w:pPr>
        <w:pStyle w:val="ListBullet"/>
        <w:spacing w:after="50"/>
        <w:ind w:left="312" w:hanging="125"/>
      </w:pPr>
      <w:r>
        <w:t>Лучшее текущее научное издание — François Desset, Linear Elamite Inscriptions and Related Cuneiform Texts I (OrientLab Series Maior 10, 2026). Полный PDF официально бесплатен, но открытая лицензия не обнаружена.</w:t>
      </w:r>
    </w:p>
    <w:p>
      <w:pPr>
        <w:pStyle w:val="Heading2"/>
      </w:pPr>
      <w:r>
        <w:t>2.4. Поиск назад во времени: antecedent</w:t>
      </w:r>
    </w:p>
    <w:p>
      <w:r>
        <w:t>Включены только конкретные входящие линии, а не общая предыстория письма:</w:t>
      </w:r>
    </w:p>
    <w:p>
      <w:pPr>
        <w:pStyle w:val="ListBullet"/>
        <w:spacing w:after="50"/>
        <w:ind w:left="312" w:hanging="125"/>
      </w:pPr>
      <w:r>
        <w:t>Uruk IV и Uruk III proto-cuneiform corpora — прямые сравнительные источники для числовых, метрологических и административных conventions.</w:t>
      </w:r>
    </w:p>
    <w:p>
      <w:pPr>
        <w:pStyle w:val="ListBullet"/>
        <w:spacing w:after="50"/>
        <w:ind w:left="312" w:hanging="125"/>
      </w:pPr>
      <w:r>
        <w:t>Chogha Mish I–II, Susiana tokens/bullae/sealings и открытая статья From Impression to Inscription — материальная цепь административной технологии до полноценной записи.</w:t>
      </w:r>
    </w:p>
    <w:p>
      <w:pPr>
        <w:pStyle w:val="ListBullet"/>
        <w:spacing w:after="50"/>
        <w:ind w:left="312" w:hanging="125"/>
      </w:pPr>
      <w:r>
        <w:t>Tepe Yahya potter’s marks — пограничный региональный antecedent: важен как mark-making comparator, но не объявлен расшифрованным письмом.</w:t>
      </w:r>
    </w:p>
    <w:p>
      <w:pPr>
        <w:pStyle w:val="ListBullet"/>
        <w:spacing w:after="50"/>
        <w:ind w:left="312" w:hanging="125"/>
      </w:pPr>
      <w:r>
        <w:t>Akkadian royal epigraphy Пузур-Иншушинака классифицирована по функции как control/transmission layer, а не просто по дате: она помогает проверять Linear Elamite readings.</w:t>
      </w:r>
    </w:p>
    <w:p>
      <w:pPr>
        <w:pStyle w:val="Heading2"/>
      </w:pPr>
      <w:r>
        <w:t>2.5. Поиск вперёд: continuation, transmission, reception</w:t>
      </w:r>
    </w:p>
    <w:p>
      <w:pPr>
        <w:pStyle w:val="ListBullet"/>
        <w:spacing w:after="50"/>
        <w:ind w:left="312" w:hanging="125"/>
      </w:pPr>
      <w:r>
        <w:t>Old, Middle и Neo-Elamite cuneiform corpora показывают поздние фазы письменного Элама. Они не названы потомками Linear Elamite script без доказательства.</w:t>
      </w:r>
    </w:p>
    <w:p>
      <w:pPr>
        <w:pStyle w:val="ListBullet"/>
        <w:spacing w:after="50"/>
        <w:ind w:left="312" w:hanging="125"/>
      </w:pPr>
      <w:r>
        <w:t>Achaemenid Elamite, ARIo и Persepolis Fortification Archive показывают институциональное продолжение Elamite как языка администрации и многоязычной имперской практики.</w:t>
      </w:r>
    </w:p>
    <w:p>
      <w:pPr>
        <w:pStyle w:val="ListBullet"/>
        <w:spacing w:after="50"/>
        <w:ind w:left="312" w:hanging="125"/>
      </w:pPr>
      <w:r>
        <w:t>Современная рецепция представлена критическими изданиями, polemical/critical responses, computational decipherment, Unicode proposals и DH-инфраструктурой. Эти объекты включены потому, что через них ранний материал идентифицируется и становится машиночитаемым.</w:t>
      </w:r>
    </w:p>
    <w:p>
      <w:pPr>
        <w:pStyle w:val="Heading2"/>
      </w:pPr>
      <w:r>
        <w:t>2.6. Распределение по relevance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2835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relevance</w:t>
            </w:r>
          </w:p>
        </w:tc>
        <w:tc>
          <w:tcPr>
            <w:tcW w:type="dxa" w:w="1134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Записей</w:t>
            </w:r>
          </w:p>
        </w:tc>
        <w:tc>
          <w:tcPr>
            <w:tcW w:type="dxa" w:w="5783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Роль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core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28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ядро A07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same_corpus_or_tradition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11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тот же корпус/традиция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antecedent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10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ранние входящие источники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continuation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5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позднее продолжение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commentary_or_reception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0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комментарий/рецепция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transmission_or_preservation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5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передача/сохранение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supporting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18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прямо полезный вспомогательный слой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boundary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0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пограничный объект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infrastructure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10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корпусная/цифровая инфраструктура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secondary_navigation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6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вторичная навигация</w:t>
            </w:r>
          </w:p>
        </w:tc>
      </w:tr>
    </w:tbl>
    <w:p>
      <w:pPr>
        <w:spacing w:after="20"/>
      </w:pPr>
    </w:p>
    <w:p>
      <w:pPr>
        <w:pStyle w:val="ToSSmall"/>
      </w:pPr>
      <w:r>
        <w:t>Нулевая строка в отдельных категориях означает не отсутствие исторической связи вообще, а то, что конкретные найденные объекты были точнее классифицированы иначе.</w:t>
      </w:r>
    </w:p>
    <w:p>
      <w:pPr>
        <w:pStyle w:val="Heading1"/>
      </w:pPr>
      <w:r>
        <w:t>3. Лучшие пути доступа</w:t>
      </w:r>
    </w:p>
    <w:p>
      <w:pPr>
        <w:pStyle w:val="ToSLead"/>
      </w:pPr>
      <w:r>
        <w:t>Ниже названы лучшие practically useful routes. Полная детализация версии, coverage, formats и component-level rights находится в XLSX.</w:t>
      </w:r>
    </w:p>
    <w:p>
      <w:pPr>
        <w:pStyle w:val="Heading2"/>
      </w:pPr>
      <w:r>
        <w:t>3.1. Proto-Elamite corpus и отдельные таблички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2381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Задача</w:t>
            </w:r>
          </w:p>
        </w:tc>
        <w:tc>
          <w:tcPr>
            <w:tcW w:type="dxa" w:w="3231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Лучший найденный путь</w:t>
            </w:r>
          </w:p>
        </w:tc>
        <w:tc>
          <w:tcPr>
            <w:tcW w:type="dxa" w:w="4139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Почему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Бесплатное чтение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CDLI Proto-Elamite period corpus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Самый широкий item-level каталог с транслитерациями, метаданными и изображениями там, где они есть.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Машиночитаемый доступ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CDLI REST API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JSON/JSON-LD/RDF/C-ATF/CoNLL/CSV/TSV/XLSX; пригодно для локального индекса и графовой нормализации.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Старое PD-издание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MDP 6 на Internet Archive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Полный 1905 scan, item-level Public Domain Mark; лучший чистый слой для OCR и переработки в пределах тома.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Региональный подкорпус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Tepe Yahya publication group + institutional book PDF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CDLI даёт concrete items, Stony Brook — полный современный том для исследования.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Современная ориентация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Englund 2004; Dahl 2002/2005; Kelley 2026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История decipherment, sign statistics и самое новое synthesis; права на каждую версию различаются.</w:t>
            </w:r>
          </w:p>
        </w:tc>
      </w:tr>
    </w:tbl>
    <w:p>
      <w:pPr>
        <w:spacing w:after="20"/>
      </w:pPr>
    </w:p>
    <w:p>
      <w:pPr>
        <w:spacing w:after="40"/>
      </w:pPr>
      <w:hyperlink r:id="rId11">
        <w:r>
          <w:rPr>
            <w:color w:val="0563C1"/>
            <w:u w:val="single"/>
            <w:rFonts w:ascii="DejaVu Sans" w:hAnsi="DejaVu Sans" w:eastAsia="DejaVu Sans"/>
            <w:sz w:val="19"/>
          </w:rPr>
          <w:t>CDLI: Proto-Elamite corpus</w:t>
        </w:r>
      </w:hyperlink>
    </w:p>
    <w:p>
      <w:pPr>
        <w:spacing w:after="40"/>
      </w:pPr>
      <w:hyperlink r:id="rId12">
        <w:r>
          <w:rPr>
            <w:color w:val="0563C1"/>
            <w:u w:val="single"/>
            <w:rFonts w:ascii="DejaVu Sans" w:hAnsi="DejaVu Sans" w:eastAsia="DejaVu Sans"/>
            <w:sz w:val="19"/>
          </w:rPr>
          <w:t>CDLI API documentation</w:t>
        </w:r>
      </w:hyperlink>
    </w:p>
    <w:p>
      <w:pPr>
        <w:spacing w:after="40"/>
      </w:pPr>
      <w:hyperlink r:id="rId13">
        <w:r>
          <w:rPr>
            <w:color w:val="0563C1"/>
            <w:u w:val="single"/>
            <w:rFonts w:ascii="DejaVu Sans" w:hAnsi="DejaVu Sans" w:eastAsia="DejaVu Sans"/>
            <w:sz w:val="19"/>
          </w:rPr>
          <w:t>MDP 6 — Internet Archive</w:t>
        </w:r>
      </w:hyperlink>
    </w:p>
    <w:p>
      <w:pPr>
        <w:spacing w:after="40"/>
      </w:pPr>
      <w:hyperlink r:id="rId14">
        <w:r>
          <w:rPr>
            <w:color w:val="0563C1"/>
            <w:u w:val="single"/>
            <w:rFonts w:ascii="DejaVu Sans" w:hAnsi="DejaVu Sans" w:eastAsia="DejaVu Sans"/>
            <w:sz w:val="19"/>
          </w:rPr>
          <w:t>Tepe Yahya — Stony Brook repository</w:t>
        </w:r>
      </w:hyperlink>
    </w:p>
    <w:p>
      <w:pPr>
        <w:pStyle w:val="Heading2"/>
      </w:pPr>
      <w:r>
        <w:t>3.2. Linear Elamite corpus и Puzur-Inshushinak dossier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2381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Задача</w:t>
            </w:r>
          </w:p>
        </w:tc>
        <w:tc>
          <w:tcPr>
            <w:tcW w:type="dxa" w:w="3231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Лучший найденный путь</w:t>
            </w:r>
          </w:p>
        </w:tc>
        <w:tc>
          <w:tcPr>
            <w:tcW w:type="dxa" w:w="4139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Почему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Текущий corpus browser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Hatamti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Document/sign/allograph/token model, transliterations/transcriptions, EN/FR/FA translations; free read, but no open corpus license found.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Unicode/sign analysis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GEAS/Elamicon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Character picker, dynamic syllabary, regex/frequencies, copy/paste; distinguishes corpus rights from the OFL font.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Официальные факсимиле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Louvre object pages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Stable ARKs, multiple images, JSON metadata and precise SB/LEI identifiers.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Лучшее текущее critical edition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Desset 2026, OrientLab Series Maior 10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Complete official free PDF; most current Susa corpus, but protected and link-only for republication.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Ключевая decipherment article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Desset et al. 2022 via ORBi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Full lawful repository copy with explicit noncommercial/unchanged-use terms.</w:t>
            </w:r>
          </w:p>
        </w:tc>
      </w:tr>
    </w:tbl>
    <w:p>
      <w:pPr>
        <w:spacing w:after="20"/>
      </w:pPr>
    </w:p>
    <w:p>
      <w:pPr>
        <w:spacing w:after="40"/>
      </w:pPr>
      <w:hyperlink r:id="rId15">
        <w:r>
          <w:rPr>
            <w:color w:val="0563C1"/>
            <w:u w:val="single"/>
            <w:rFonts w:ascii="DejaVu Sans" w:hAnsi="DejaVu Sans" w:eastAsia="DejaVu Sans"/>
            <w:sz w:val="19"/>
          </w:rPr>
          <w:t>Hatamti–Linear Elamite Database</w:t>
        </w:r>
      </w:hyperlink>
    </w:p>
    <w:p>
      <w:pPr>
        <w:spacing w:after="40"/>
      </w:pPr>
      <w:hyperlink r:id="rId16">
        <w:r>
          <w:rPr>
            <w:color w:val="0563C1"/>
            <w:u w:val="single"/>
            <w:rFonts w:ascii="DejaVu Sans" w:hAnsi="DejaVu Sans" w:eastAsia="DejaVu Sans"/>
            <w:sz w:val="19"/>
          </w:rPr>
          <w:t>GEAS decipherment tool</w:t>
        </w:r>
      </w:hyperlink>
    </w:p>
    <w:p>
      <w:pPr>
        <w:spacing w:after="40"/>
      </w:pPr>
      <w:hyperlink r:id="rId17">
        <w:r>
          <w:rPr>
            <w:color w:val="0563C1"/>
            <w:u w:val="single"/>
            <w:rFonts w:ascii="DejaVu Sans" w:hAnsi="DejaVu Sans" w:eastAsia="DejaVu Sans"/>
            <w:sz w:val="19"/>
          </w:rPr>
          <w:t>Table au Lion — Louvre</w:t>
        </w:r>
      </w:hyperlink>
    </w:p>
    <w:p>
      <w:pPr>
        <w:spacing w:after="40"/>
      </w:pPr>
      <w:hyperlink r:id="rId18">
        <w:r>
          <w:rPr>
            <w:color w:val="0563C1"/>
            <w:u w:val="single"/>
            <w:rFonts w:ascii="DejaVu Sans" w:hAnsi="DejaVu Sans" w:eastAsia="DejaVu Sans"/>
            <w:sz w:val="19"/>
          </w:rPr>
          <w:t>Narundi — Louvre</w:t>
        </w:r>
      </w:hyperlink>
    </w:p>
    <w:p>
      <w:pPr>
        <w:spacing w:after="40"/>
      </w:pPr>
      <w:hyperlink r:id="rId19">
        <w:r>
          <w:rPr>
            <w:color w:val="0563C1"/>
            <w:u w:val="single"/>
            <w:rFonts w:ascii="DejaVu Sans" w:hAnsi="DejaVu Sans" w:eastAsia="DejaVu Sans"/>
            <w:sz w:val="19"/>
          </w:rPr>
          <w:t>OrientLab publications / full 2026 edition</w:t>
        </w:r>
      </w:hyperlink>
    </w:p>
    <w:p>
      <w:pPr>
        <w:spacing w:after="40"/>
      </w:pPr>
      <w:hyperlink r:id="rId20">
        <w:r>
          <w:rPr>
            <w:color w:val="0563C1"/>
            <w:u w:val="single"/>
            <w:rFonts w:ascii="DejaVu Sans" w:hAnsi="DejaVu Sans" w:eastAsia="DejaVu Sans"/>
            <w:sz w:val="19"/>
          </w:rPr>
          <w:t>ORBi: The Decipherment of Linear Elamite Writing</w:t>
        </w:r>
      </w:hyperlink>
    </w:p>
    <w:p>
      <w:pPr>
        <w:pStyle w:val="Heading2"/>
      </w:pPr>
      <w:r>
        <w:t>3.3. Предшественники и поздние линии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2381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3969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Лучший маршрут</w:t>
            </w:r>
          </w:p>
        </w:tc>
        <w:tc>
          <w:tcPr>
            <w:tcW w:type="dxa" w:w="3402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Uruk IV/III proto-cuneiform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CDLI period corpora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Item-level mixed rights; no blanket image mirror.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Pre-writing administration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ISAC OIP 101/130 + PMC article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ISAC PDFs noncommercial; PMC article CC BY 4.0.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Later Elamite cuneiform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CDLI Old/Middle/Neo-Elamite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Поздняя традиция, но не доказанная script genealogy.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Achaemenid Elamite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ARIo + Persepolis Fortification Archive + OIP 92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Excellent research access; data/images/version rights mixed.</w:t>
            </w:r>
          </w:p>
        </w:tc>
      </w:tr>
    </w:tbl>
    <w:p>
      <w:pPr>
        <w:spacing w:after="20"/>
      </w:pPr>
    </w:p>
    <w:p>
      <w:pPr>
        <w:pStyle w:val="Heading2"/>
      </w:pPr>
      <w:r>
        <w:t>3.4. Наиболее свободные слои</w:t>
      </w:r>
    </w:p>
    <w:p>
      <w:pPr>
        <w:pStyle w:val="ListBullet"/>
        <w:spacing w:after="50"/>
        <w:ind w:left="312" w:hanging="125"/>
      </w:pPr>
      <w:r>
        <w:t>MDP 6 (1905) на Internet Archive: наиболее сильный кандидат для MIRROR_OK/OCR/index/embeddings и самостоятельной переработки; Public Domain Mark трактуется как rights label, а не как лицензия.</w:t>
      </w:r>
    </w:p>
    <w:p>
      <w:pPr>
        <w:pStyle w:val="ListBullet"/>
        <w:spacing w:after="50"/>
        <w:ind w:left="312" w:hanging="125"/>
      </w:pPr>
      <w:r>
        <w:t>CDLI Journal/Bulletin/Notes articles и ACL Anthology papers: CC BY 4.0 для текста статьи с атрибуцией; third-party figures and source data remain separate.</w:t>
      </w:r>
    </w:p>
    <w:p>
      <w:pPr>
        <w:pStyle w:val="ListBullet"/>
        <w:spacing w:after="50"/>
        <w:ind w:left="312" w:hanging="125"/>
      </w:pPr>
      <w:r>
        <w:t>PMC article From Impression to Inscription: CC BY 4.0 with HTML/PDF/XML, удобна для полнотекстовой индексации.</w:t>
      </w:r>
    </w:p>
    <w:p>
      <w:pPr>
        <w:pStyle w:val="ListBullet"/>
        <w:spacing w:after="50"/>
        <w:ind w:left="312" w:hanging="125"/>
      </w:pPr>
      <w:r>
        <w:t>Louvre textual metadata: Etalab Open Licence. Это не распространяется автоматически на photographs.</w:t>
      </w:r>
    </w:p>
    <w:p>
      <w:pPr>
        <w:pStyle w:val="ListBullet"/>
        <w:spacing w:after="50"/>
        <w:ind w:left="312" w:hanging="125"/>
      </w:pPr>
      <w:r>
        <w:t>ISAC electronic monographs: официально free-to-all for non-commercial use; сохранять файл/атрибуцию, а image derivatives проверять отдельно.</w:t>
      </w:r>
    </w:p>
    <w:p>
      <w:pPr>
        <w:pStyle w:val="Heading1"/>
      </w:pPr>
      <w:r>
        <w:t>4. Карта прав и практического использования</w:t>
      </w:r>
    </w:p>
    <w:p>
      <w:pPr>
        <w:pStyle w:val="Heading2"/>
      </w:pPr>
      <w:r>
        <w:t>4.1. Что ToS потенциально может зеркалировать</w:t>
      </w:r>
    </w:p>
    <w:p>
      <w:pPr>
        <w:pStyle w:val="ListBullet"/>
        <w:spacing w:after="50"/>
        <w:ind w:left="312" w:hanging="125"/>
      </w:pPr>
      <w:r>
        <w:t>В 31 записях найдено хотя бы одно доказанное или условно доказанное mirror-направление. Это не blanket permission: каждый тег ограничен rights_scope и coverage.</w:t>
      </w:r>
    </w:p>
    <w:p>
      <w:pPr>
        <w:pStyle w:val="ListBullet"/>
        <w:spacing w:after="50"/>
        <w:ind w:left="312" w:hanging="125"/>
      </w:pPr>
      <w:r>
        <w:t>MIRROR_OK: прежде всего MDP 6 IA derivatives, с provenance/jurisdiction caveat.</w:t>
      </w:r>
    </w:p>
    <w:p>
      <w:pPr>
        <w:pStyle w:val="ListBullet"/>
        <w:spacing w:after="50"/>
        <w:ind w:left="312" w:hanging="125"/>
      </w:pPr>
      <w:r>
        <w:t>MIRROR_WITH_ATTRIBUTION: CC BY 4.0 article text; Louvre textual metadata under Etalab. Attribution/source/date and change notice must be retained.</w:t>
      </w:r>
    </w:p>
    <w:p>
      <w:pPr>
        <w:pStyle w:val="ListBullet"/>
        <w:spacing w:after="50"/>
        <w:ind w:left="312" w:hanging="125"/>
      </w:pPr>
      <w:r>
        <w:t>MIRROR_NONCOMMERCIAL + UNCHANGED_ONLY: eligible ORBi deposited files и ISAC EPI PDFs. Разрешение не переносится на publisher version, внешние изображения или весь сайт.</w:t>
      </w:r>
    </w:p>
    <w:p>
      <w:pPr>
        <w:pStyle w:val="Heading2"/>
      </w:pPr>
      <w:r>
        <w:t>4.2. Бесплатно читать/скачивать, но не размещать заново</w:t>
      </w:r>
    </w:p>
    <w:p>
      <w:pPr>
        <w:pStyle w:val="ListBullet"/>
        <w:spacing w:after="50"/>
        <w:ind w:left="312" w:hanging="125"/>
      </w:pPr>
      <w:r>
        <w:t>OrientLab 2026 edition: official full PDF is free, yet no open redistribution license was found. ToS should link to the publisher and keep only a local research copy.</w:t>
      </w:r>
    </w:p>
    <w:p>
      <w:pPr>
        <w:pStyle w:val="ListBullet"/>
        <w:spacing w:after="50"/>
        <w:ind w:left="312" w:hanging="125"/>
      </w:pPr>
      <w:r>
        <w:t>Hatamti: free full consultation, © 2025 database, no open corpus/data license located. Link-only until permission or a machine-readable license is obtained.</w:t>
      </w:r>
    </w:p>
    <w:p>
      <w:pPr>
        <w:pStyle w:val="ListBullet"/>
        <w:spacing w:after="50"/>
        <w:ind w:left="312" w:hanging="125"/>
      </w:pPr>
      <w:r>
        <w:t>ORA, HAL, Persée, MPIWG and DiVA repository copies: lawful read/download, but a free button is not treated as proof of mirror/derivative rights.</w:t>
      </w:r>
    </w:p>
    <w:p>
      <w:pPr>
        <w:pStyle w:val="ListBullet"/>
        <w:spacing w:after="50"/>
        <w:ind w:left="312" w:hanging="125"/>
      </w:pPr>
      <w:r>
        <w:t>CDLI corpus/API: local research indexing is practical, but bulk public mirror of metadata/transliterations/images remains review-required.</w:t>
      </w:r>
    </w:p>
    <w:p>
      <w:pPr>
        <w:pStyle w:val="Heading2"/>
      </w:pPr>
      <w:r>
        <w:t>4.3. Link-only, borrow, preview, purchase</w:t>
      </w:r>
    </w:p>
    <w:p>
      <w:pPr>
        <w:pStyle w:val="ListBullet"/>
        <w:spacing w:after="50"/>
        <w:ind w:left="312" w:hanging="125"/>
      </w:pPr>
      <w:r>
        <w:t>Cambridge Element Proto-Elamite (2026), Potts, The Elamite World, Peeters critical article and Taylor &amp; Francis vessel edition remain institutional/preview/purchase routes.</w:t>
      </w:r>
    </w:p>
    <w:p>
      <w:pPr>
        <w:pStyle w:val="ListBullet"/>
        <w:spacing w:after="50"/>
        <w:ind w:left="312" w:hanging="125"/>
      </w:pPr>
      <w:r>
        <w:t>MDP 17/26 library records and NLI holding preserve lawful discovery when full scans are absent.</w:t>
      </w:r>
    </w:p>
    <w:p>
      <w:pPr>
        <w:pStyle w:val="ListBullet"/>
        <w:spacing w:after="50"/>
        <w:ind w:left="312" w:hanging="125"/>
      </w:pPr>
      <w:r>
        <w:t>Publisher version of Desset et al. 2022 remains protected even though an ORBi manuscript is available under repository conditions.</w:t>
      </w:r>
    </w:p>
    <w:p>
      <w:pPr>
        <w:pStyle w:val="Heading2"/>
      </w:pPr>
      <w:r>
        <w:t>4.4. OCR, full-text index и embeddings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1701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Действие</w:t>
            </w:r>
          </w:p>
        </w:tc>
        <w:tc>
          <w:tcPr>
            <w:tcW w:type="dxa" w:w="2835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Зелёный слой</w:t>
            </w:r>
          </w:p>
        </w:tc>
        <w:tc>
          <w:tcPr>
            <w:tcW w:type="dxa" w:w="3005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Жёлтый слой</w:t>
            </w:r>
          </w:p>
        </w:tc>
        <w:tc>
          <w:tcPr>
            <w:tcW w:type="dxa" w:w="2268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Красный/стоп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5"/>
              </w:rPr>
              <w:t>OCR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5"/>
              </w:rPr>
              <w:t>PD scan; CC BY article; permitted ISAC/Louvre component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5"/>
              </w:rPr>
              <w:t>Free PDF with no explicit license; item images with mixed credits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5"/>
              </w:rPr>
              <w:t>Publisher-only modern edition or restricted photograph without permission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5"/>
              </w:rPr>
              <w:t>Full-text index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5"/>
              </w:rPr>
              <w:t>CC BY/PD; ORBi user-license files; local CDLI research export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5"/>
              </w:rPr>
              <w:t>Repository copies with unclear derivative terms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5"/>
              </w:rPr>
              <w:t>Public redistribution of protected full text without licence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5"/>
              </w:rPr>
              <w:t>Embeddings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5"/>
              </w:rPr>
              <w:t>PD/CC BY article text; open metadata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5"/>
              </w:rPr>
              <w:t>CDLI/Hatamti corpus where dataset terms are incomplete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5"/>
              </w:rPr>
              <w:t>Treating protected critical reconstruction/translation as freely redistributable training data</w:t>
            </w:r>
          </w:p>
        </w:tc>
      </w:tr>
    </w:tbl>
    <w:p>
      <w:pPr>
        <w:spacing w:after="20"/>
      </w:pPr>
    </w:p>
    <w:p>
      <w:pPr>
        <w:pStyle w:val="ToSSmall"/>
      </w:pPr>
      <w:r>
        <w:t>FULLTEXT_INDEX_OK/EMBEDDINGS_OK в XLSX означают только заявленный rights_scope. Они не расширяют coverage и не превращают ограниченное изображение в открытый корпус.</w:t>
      </w:r>
    </w:p>
    <w:p>
      <w:pPr>
        <w:pStyle w:val="Heading2"/>
      </w:pPr>
      <w:r>
        <w:t>4.5. Собственный перевод ToS</w:t>
      </w:r>
    </w:p>
    <w:p>
      <w:pPr>
        <w:pStyle w:val="ListBullet"/>
        <w:spacing w:after="50"/>
        <w:ind w:left="312" w:hanging="125"/>
      </w:pPr>
      <w:r>
        <w:t>Тег OWN_TRANSLATION_POSSIBLE поставлен в 13 записях, только там, где указана конкретная witness-level основа.</w:t>
      </w:r>
    </w:p>
    <w:p>
      <w:pPr>
        <w:pStyle w:val="ListBullet"/>
        <w:spacing w:after="50"/>
        <w:ind w:left="312" w:hanging="125"/>
      </w:pPr>
      <w:r>
        <w:t>Для proto-Elamite слово «перевод» часто методологически неверно: язык не расшифрован. ToS может создавать собственные catalogue descriptions, sign sequences, metrological interpretations и clearly labelled hypotheses — но не выдавать их за устойчивый языковой перевод.</w:t>
      </w:r>
    </w:p>
    <w:p>
      <w:pPr>
        <w:pStyle w:val="ListBullet"/>
        <w:spacing w:after="50"/>
        <w:ind w:left="312" w:hanging="125"/>
      </w:pPr>
      <w:r>
        <w:t>Для Linear Elamite независимый перевод возможен только от конкретной древней надписи/факсимиле/открытой транскрипции. Нельзя переписать защищённые readings/translations Desset 2026 или Hatamti и назвать результат собственным.</w:t>
      </w:r>
    </w:p>
    <w:p>
      <w:pPr>
        <w:pStyle w:val="ListBullet"/>
        <w:spacing w:after="50"/>
        <w:ind w:left="312" w:hanging="125"/>
      </w:pPr>
      <w:r>
        <w:t>Самая чистая историческая основа — public-domain MDP 6 scan; наиболее authoritative visual basis — Louvre witnesses, но права на музейные photographs purpose-limited.</w:t>
      </w:r>
    </w:p>
    <w:p>
      <w:pPr>
        <w:pStyle w:val="Heading1"/>
      </w:pPr>
      <w:r>
        <w:t>5. Характерные правовые тонкости</w:t>
      </w:r>
    </w:p>
    <w:p>
      <w:pPr>
        <w:spacing w:after="80"/>
      </w:pPr>
      <w:r>
        <w:rPr>
          <w:b/>
        </w:rPr>
        <w:t xml:space="preserve">Древний оригинал ≠ свободная современная версия. </w:t>
      </w:r>
      <w:r>
        <w:t>Proto-/Linear Elamite inscriptions сами по возрасту не охраняются авторским правом, но drawings, reconstructions, sign values, translations, critical apparatus and database structure may be protected.</w:t>
      </w:r>
    </w:p>
    <w:p>
      <w:pPr>
        <w:spacing w:after="80"/>
      </w:pPr>
      <w:r>
        <w:rPr>
          <w:b/>
        </w:rPr>
        <w:t xml:space="preserve">Public Domain Mark ≠ лицензия. </w:t>
      </w:r>
      <w:r>
        <w:t>Для MDP 6 это сильный rights signal, но не договорная лицензия. Реестр сохраняет item provenance и юрисдикционную оговорку.</w:t>
      </w:r>
    </w:p>
    <w:p>
      <w:pPr>
        <w:spacing w:after="80"/>
      </w:pPr>
      <w:r>
        <w:rPr>
          <w:b/>
        </w:rPr>
        <w:t xml:space="preserve">Открытые Louvre metadata ≠ открытые фотографии. </w:t>
      </w:r>
      <w:r>
        <w:t>Textual entry content is under Etalab; medium-format photographs have a purpose-limited permission with credit/permalink, while other uses require authorization.</w:t>
      </w:r>
    </w:p>
    <w:p>
      <w:pPr>
        <w:spacing w:after="80"/>
      </w:pPr>
      <w:r>
        <w:rPr>
          <w:b/>
        </w:rPr>
        <w:t xml:space="preserve">ORBi license applies only to deposited files. </w:t>
      </w:r>
      <w:r>
        <w:t>Нельзя переносить noncommercial/unchanged permission с repository manuscript или excerpt на publisher PDF, весь сайт, external images or the underlying ancient corpus.</w:t>
      </w:r>
    </w:p>
    <w:p>
      <w:pPr>
        <w:spacing w:after="80"/>
      </w:pPr>
      <w:r>
        <w:rPr>
          <w:b/>
        </w:rPr>
        <w:t xml:space="preserve">Official free download ≠ republication right. </w:t>
      </w:r>
      <w:r>
        <w:t>OrientLab 2026 is the clearest example: full PDF is lawfully downloadable, but no open reuse license was located.</w:t>
      </w:r>
    </w:p>
    <w:p>
      <w:pPr>
        <w:spacing w:after="80"/>
      </w:pPr>
      <w:r>
        <w:rPr>
          <w:b/>
        </w:rPr>
        <w:t xml:space="preserve">CDLI is component-mixed. </w:t>
      </w:r>
      <w:r>
        <w:t>Metadata, transliterations, line art and photographs can have different creators and credits. API availability is not a blanket open-data declaration.</w:t>
      </w:r>
    </w:p>
    <w:p>
      <w:pPr>
        <w:spacing w:after="80"/>
      </w:pPr>
      <w:r>
        <w:rPr>
          <w:b/>
        </w:rPr>
        <w:t xml:space="preserve">Scientific uncertainty is separate from copyright. </w:t>
      </w:r>
      <w:r>
        <w:t>Для серебряных сосудов и новых decipherment proposals authenticity/provenance and philological acceptance must be tracked even when access itself is lawful.</w:t>
      </w:r>
    </w:p>
    <w:p>
      <w:pPr>
        <w:spacing w:after="80"/>
      </w:pPr>
      <w:r>
        <w:rPr>
          <w:b/>
        </w:rPr>
        <w:t xml:space="preserve">Coverage is never silently expanded. </w:t>
      </w:r>
      <w:r>
        <w:t>OWN_TRANSLATION_POSSIBLE for a fragment, one witness or one printed volume means exactly that layer—not the whole script, corpus or historical period.</w:t>
      </w:r>
    </w:p>
    <w:p>
      <w:pPr>
        <w:pStyle w:val="Heading1"/>
      </w:pPr>
      <w:r>
        <w:t>6. Пробелы и дальнейший поиск</w:t>
      </w:r>
    </w:p>
    <w:p>
      <w:pPr>
        <w:pStyle w:val="ToSLead"/>
      </w:pPr>
      <w:r>
        <w:t>Лист gaps содержит 12 конкретных незакрытых объектов/задач. Ниже — приоритеты, которые дадут максимальный прирост, а не общий список библиотек.</w:t>
      </w:r>
    </w:p>
    <w:p>
      <w:pPr>
        <w:pStyle w:val="Heading2"/>
      </w:pPr>
      <w:r>
        <w:t>6.1. Основные незакрытые пробелы</w:t>
      </w:r>
    </w:p>
    <w:p>
      <w:pPr>
        <w:pStyle w:val="ListBullet"/>
        <w:spacing w:after="50"/>
        <w:ind w:left="312" w:hanging="125"/>
      </w:pPr>
      <w:r>
        <w:t>Полные legal digital scans MDP 17, MDP 26, MDP 31 и TCL 32 не подтверждены; item-level CDLI доступ не заменяет полный том.</w:t>
      </w:r>
    </w:p>
    <w:p>
      <w:pPr>
        <w:pStyle w:val="ListBullet"/>
        <w:spacing w:after="50"/>
        <w:ind w:left="312" w:hanging="125"/>
      </w:pPr>
      <w:r>
        <w:t>Hatamti/OCLEI: не найден открыто лицензированный bulk dataset/API с component-level rights.</w:t>
      </w:r>
    </w:p>
    <w:p>
      <w:pPr>
        <w:pStyle w:val="ListBullet"/>
        <w:spacing w:after="50"/>
        <w:ind w:left="312" w:hanging="125"/>
      </w:pPr>
      <w:r>
        <w:t>Официальный item-level digital catalogue National Museum of Iran для Tehran-held proto-Elamite subset не подтверждён.</w:t>
      </w:r>
    </w:p>
    <w:p>
      <w:pPr>
        <w:pStyle w:val="ListBullet"/>
        <w:spacing w:after="50"/>
        <w:ind w:left="312" w:hanging="125"/>
      </w:pPr>
      <w:r>
        <w:t>Silver-vessel corpus не сведён в complete provenance-checked crosswalk; права на изображения особенно неоднородны.</w:t>
      </w:r>
    </w:p>
    <w:p>
      <w:pPr>
        <w:pStyle w:val="ListBullet"/>
        <w:spacing w:after="50"/>
        <w:ind w:left="312" w:hanging="125"/>
      </w:pPr>
      <w:r>
        <w:t>Tepe Sialk и малые Iranian clusters не получили полноценный completeness audit against excavation inventories.</w:t>
      </w:r>
    </w:p>
    <w:p>
      <w:pPr>
        <w:pStyle w:val="ListBullet"/>
        <w:spacing w:after="50"/>
        <w:ind w:left="312" w:hanging="125"/>
      </w:pPr>
      <w:r>
        <w:t>Полная concordance SB ↔ LEI ↔ CDLI ↔ Hatamti ↔ OrientLab 2026 для Puzur-Inshushinak dossier ещё не построена.</w:t>
      </w:r>
    </w:p>
    <w:p>
      <w:pPr>
        <w:pStyle w:val="ListBullet"/>
        <w:spacing w:after="50"/>
        <w:ind w:left="312" w:hanging="125"/>
      </w:pPr>
      <w:r>
        <w:t>Final Unicode status for Linear Elamite needs an authoritative post-2025 check.</w:t>
      </w:r>
    </w:p>
    <w:p>
      <w:pPr>
        <w:pStyle w:val="ListBullet"/>
        <w:spacing w:after="50"/>
        <w:ind w:left="312" w:hanging="125"/>
      </w:pPr>
      <w:r>
        <w:t>CDLI component-level rights for public bulk redistribution, especially images/line art, require direct confirmation.</w:t>
      </w:r>
    </w:p>
    <w:p>
      <w:pPr>
        <w:pStyle w:val="Heading2"/>
      </w:pPr>
      <w:r>
        <w:t>6.2. Ссылки и верификация</w:t>
      </w:r>
    </w:p>
    <w:p>
      <w:pPr>
        <w:pStyle w:val="ListBullet"/>
        <w:spacing w:after="50"/>
        <w:ind w:left="312" w:hanging="125"/>
      </w:pPr>
      <w:r>
        <w:t>В ходе финальной перепроверки CDLI иногда отвечал 502/временно не открывался; item IDs и URLs сохранены по успешному live-проходу. Это отражено в verification_status, а не замаскировано как окончательная недоступность.</w:t>
      </w:r>
    </w:p>
    <w:p>
      <w:pPr>
        <w:pStyle w:val="ListBullet"/>
        <w:spacing w:after="50"/>
        <w:ind w:left="312" w:hanging="125"/>
      </w:pPr>
      <w:r>
        <w:t>Для 일부 search/filter URLs динамическое число записей меняется; отчёт фиксирует дату и не считает число постоянным.</w:t>
      </w:r>
    </w:p>
    <w:p>
      <w:pPr>
        <w:pStyle w:val="ListBullet"/>
        <w:spacing w:after="50"/>
        <w:ind w:left="312" w:hanging="125"/>
      </w:pPr>
      <w:r>
        <w:t>Несколько modern repository articles были доступны полностью, но explicit reusable licence не была найдена: они оставлены FREE_READ/FREE_DOWNLOAD + LINK_ONLY + RIGHTS_REVIEW_REQUIRED.</w:t>
      </w:r>
    </w:p>
    <w:p>
      <w:pPr>
        <w:pStyle w:val="Heading2"/>
      </w:pPr>
      <w:r>
        <w:t>6.3. Targeted follow-up: восемь направлений</w:t>
      </w:r>
    </w:p>
    <w:p>
      <w:pPr>
        <w:pStyle w:val="ListNumber"/>
        <w:spacing w:after="50"/>
        <w:ind w:left="340" w:hanging="142"/>
      </w:pPr>
      <w:r>
        <w:t>BnF/Gallica–Persée–HathiTrust pass по точным serial/volume titles MDP 17/26/31 и TCL 32, включая французские варианты названия серии.</w:t>
      </w:r>
    </w:p>
    <w:p>
      <w:pPr>
        <w:pStyle w:val="ListNumber"/>
        <w:spacing w:after="50"/>
        <w:ind w:left="340" w:hanging="142"/>
      </w:pPr>
      <w:r>
        <w:t>Прямой запрос Hatamti/VariGraph team: versioned export, API, licence for corpus text, images, translations and noncommercial embeddings.</w:t>
      </w:r>
    </w:p>
    <w:p>
      <w:pPr>
        <w:pStyle w:val="ListNumber"/>
        <w:spacing w:after="50"/>
        <w:ind w:left="340" w:hanging="142"/>
      </w:pPr>
      <w:r>
        <w:t>Персидскоязычный поиск National Museum of Iran по inventory IDs из CDLI и запрос item-level media/rights statements.</w:t>
      </w:r>
    </w:p>
    <w:p>
      <w:pPr>
        <w:pStyle w:val="ListNumber"/>
        <w:spacing w:after="50"/>
        <w:ind w:left="340" w:hanging="142"/>
      </w:pPr>
      <w:r>
        <w:t>Crosswalk silver vessels: LEI label, CDLI P-number, Hatamti document, GEAS source, collection/provenance, authenticity flag and image rights.</w:t>
      </w:r>
    </w:p>
    <w:p>
      <w:pPr>
        <w:pStyle w:val="ListNumber"/>
        <w:spacing w:after="50"/>
        <w:ind w:left="340" w:hanging="142"/>
      </w:pPr>
      <w:r>
        <w:t>Puzur-Inshushinak concordance from OrientLab 2026 + Louvre JSON + CDLI, with one row per monument/inscription rather than one row per publication mention.</w:t>
      </w:r>
    </w:p>
    <w:p>
      <w:pPr>
        <w:pStyle w:val="ListNumber"/>
        <w:spacing w:after="50"/>
        <w:ind w:left="340" w:hanging="142"/>
      </w:pPr>
      <w:r>
        <w:t>Tepe Sialk/Tepe Sofalin/Malyan completeness audit against excavation publications and museum inventories.</w:t>
      </w:r>
    </w:p>
    <w:p>
      <w:pPr>
        <w:pStyle w:val="ListNumber"/>
        <w:spacing w:after="50"/>
        <w:ind w:left="340" w:hanging="142"/>
      </w:pPr>
      <w:r>
        <w:t>Current Unicode/SEI pipeline check for both Proto-Elamite and Linear Elamite, including final code-point status and data interchange recommendations.</w:t>
      </w:r>
    </w:p>
    <w:p>
      <w:pPr>
        <w:pStyle w:val="ListNumber"/>
        <w:spacing w:after="50"/>
        <w:ind w:left="340" w:hanging="142"/>
      </w:pPr>
      <w:r>
        <w:t>Formal CDLI rights clarification for bulk catalogue/transliteration export, OCR/embeddings and public derivative datasets; keep photographs outside any assumed open scope.</w:t>
      </w:r>
    </w:p>
    <w:p>
      <w:pPr>
        <w:pStyle w:val="Heading1"/>
      </w:pPr>
      <w:r>
        <w:t>7. Итоговая оценка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2041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Измерение</w:t>
            </w:r>
          </w:p>
        </w:tc>
        <w:tc>
          <w:tcPr>
            <w:tcW w:type="dxa" w:w="2948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Оценка</w:t>
            </w:r>
          </w:p>
        </w:tc>
        <w:tc>
          <w:tcPr>
            <w:tcW w:type="dxa" w:w="4762"/>
            <w:shd w:fill="203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Вывод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Покрытие корпуса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Хорошее для ядра, среднее для полного исторического serial layer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Основные corpora, regional clusters, Puzur dossier and current digital projects captured; complete MDP/TCL volumes remain the main gap.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Оригиналы / свидетели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Хорошее item-level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CDLI and Louvre give many concrete objects; National Museum Iran and some regional corpora need official item pages.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Переводы / readings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Среднее–хорошее, но правово ограниченное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Best current Linear Elamite reading is accessible; proto-Elamite remains undeciphered and modern readings are protected/contested.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Наиболее свободный слой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MDP 6 PD scan + CC BY research text + Etalab metadata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This is the best starting layer for ToS ingestion and public reuse.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Главные ограничения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Mixed image/data rights; protected critical editions; incomplete full-volume scans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Free access frequently supports linking/local research, not public mirroring.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Готовность для Codex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Да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/>
            </w:pPr>
            <w:r>
              <w:rPr>
                <w:rFonts w:ascii="DejaVu Sans" w:hAnsi="DejaVu Sans" w:eastAsia="DejaVu Sans"/>
                <w:sz w:val="16"/>
              </w:rPr>
              <w:t>Stable IDs, item URLs, access modes, coverage, component rights, rights evidence and scoped ToS tags are present.</w:t>
            </w:r>
          </w:p>
        </w:tc>
      </w:tr>
    </w:tbl>
    <w:p>
      <w:pPr>
        <w:spacing w:after="20"/>
      </w:pPr>
    </w:p>
    <w:p>
      <w:r>
        <w:rPr>
          <w:b/>
        </w:rPr>
        <w:t xml:space="preserve">Итог. </w:t>
      </w:r>
      <w:r>
        <w:t>Пакет пригоден для передачи Codex как исследовательский слой: он достаточно широк, чтобы не потерять read-only, preview, library and purchase routes, и достаточно строг, чтобы не путать древность произведения со свободой современной версии. Главный следующий прирост даст не ещё один общий портал, а targeted recovery of MDP/TCL volumes, component-level CDLI/Hatamti rights and authoritative Iranian item records.</w:t>
      </w:r>
    </w:p>
    <w:p>
      <w:pPr>
        <w:pStyle w:val="Heading2"/>
      </w:pPr>
      <w:r>
        <w:t>Ключевые официальные точки проверки</w:t>
      </w:r>
    </w:p>
    <w:p>
      <w:pPr>
        <w:spacing w:after="40"/>
      </w:pPr>
      <w:hyperlink r:id="rId11">
        <w:r>
          <w:rPr>
            <w:color w:val="0563C1"/>
            <w:u w:val="single"/>
            <w:rFonts w:ascii="DejaVu Sans" w:hAnsi="DejaVu Sans" w:eastAsia="DejaVu Sans"/>
            <w:sz w:val="19"/>
          </w:rPr>
          <w:t>CDLI Proto-Elamite corpus</w:t>
        </w:r>
      </w:hyperlink>
    </w:p>
    <w:p>
      <w:pPr>
        <w:spacing w:after="40"/>
      </w:pPr>
      <w:hyperlink r:id="rId21">
        <w:r>
          <w:rPr>
            <w:color w:val="0563C1"/>
            <w:u w:val="single"/>
            <w:rFonts w:ascii="DejaVu Sans" w:hAnsi="DejaVu Sans" w:eastAsia="DejaVu Sans"/>
            <w:sz w:val="19"/>
          </w:rPr>
          <w:t>CDLI Linear Elamite corpus</w:t>
        </w:r>
      </w:hyperlink>
    </w:p>
    <w:p>
      <w:pPr>
        <w:spacing w:after="40"/>
      </w:pPr>
      <w:hyperlink r:id="rId12">
        <w:r>
          <w:rPr>
            <w:color w:val="0563C1"/>
            <w:u w:val="single"/>
            <w:rFonts w:ascii="DejaVu Sans" w:hAnsi="DejaVu Sans" w:eastAsia="DejaVu Sans"/>
            <w:sz w:val="19"/>
          </w:rPr>
          <w:t>CDLI API</w:t>
        </w:r>
      </w:hyperlink>
    </w:p>
    <w:p>
      <w:pPr>
        <w:spacing w:after="40"/>
      </w:pPr>
      <w:hyperlink r:id="rId22">
        <w:r>
          <w:rPr>
            <w:color w:val="0563C1"/>
            <w:u w:val="single"/>
            <w:rFonts w:ascii="DejaVu Sans" w:hAnsi="DejaVu Sans" w:eastAsia="DejaVu Sans"/>
            <w:sz w:val="19"/>
          </w:rPr>
          <w:t>Louvre Terms of Use</w:t>
        </w:r>
      </w:hyperlink>
    </w:p>
    <w:p>
      <w:pPr>
        <w:spacing w:after="40"/>
      </w:pPr>
      <w:hyperlink r:id="rId23">
        <w:r>
          <w:rPr>
            <w:color w:val="0563C1"/>
            <w:u w:val="single"/>
            <w:rFonts w:ascii="DejaVu Sans" w:hAnsi="DejaVu Sans" w:eastAsia="DejaVu Sans"/>
            <w:sz w:val="19"/>
          </w:rPr>
          <w:t>Hatamti About / corpus description</w:t>
        </w:r>
      </w:hyperlink>
    </w:p>
    <w:p>
      <w:pPr>
        <w:spacing w:after="40"/>
      </w:pPr>
      <w:hyperlink r:id="rId24">
        <w:r>
          <w:rPr>
            <w:color w:val="0563C1"/>
            <w:u w:val="single"/>
            <w:rFonts w:ascii="DejaVu Sans" w:hAnsi="DejaVu Sans" w:eastAsia="DejaVu Sans"/>
            <w:sz w:val="19"/>
          </w:rPr>
          <w:t>GEAS tool introduction</w:t>
        </w:r>
      </w:hyperlink>
    </w:p>
    <w:p>
      <w:pPr>
        <w:spacing w:after="40"/>
      </w:pPr>
      <w:hyperlink r:id="rId19">
        <w:r>
          <w:rPr>
            <w:color w:val="0563C1"/>
            <w:u w:val="single"/>
            <w:rFonts w:ascii="DejaVu Sans" w:hAnsi="DejaVu Sans" w:eastAsia="DejaVu Sans"/>
            <w:sz w:val="19"/>
          </w:rPr>
          <w:t>OrientLab current publications</w:t>
        </w:r>
      </w:hyperlink>
    </w:p>
    <w:p>
      <w:pPr>
        <w:spacing w:after="40"/>
      </w:pPr>
      <w:hyperlink r:id="rId25">
        <w:r>
          <w:rPr>
            <w:color w:val="0563C1"/>
            <w:u w:val="single"/>
            <w:rFonts w:ascii="DejaVu Sans" w:hAnsi="DejaVu Sans" w:eastAsia="DejaVu Sans"/>
            <w:sz w:val="19"/>
          </w:rPr>
          <w:t>ORBi user license</w:t>
        </w:r>
      </w:hyperlink>
    </w:p>
    <w:p>
      <w:pPr>
        <w:spacing w:after="40"/>
      </w:pPr>
      <w:hyperlink r:id="rId26">
        <w:r>
          <w:rPr>
            <w:color w:val="0563C1"/>
            <w:u w:val="single"/>
            <w:rFonts w:ascii="DejaVu Sans" w:hAnsi="DejaVu Sans" w:eastAsia="DejaVu Sans"/>
            <w:sz w:val="19"/>
          </w:rPr>
          <w:t>ISAC Electronic Publications Initiative</w:t>
        </w:r>
      </w:hyperlink>
    </w:p>
    <w:p>
      <w:pPr>
        <w:spacing w:after="40"/>
      </w:pPr>
      <w:hyperlink r:id="rId27">
        <w:r>
          <w:rPr>
            <w:color w:val="0563C1"/>
            <w:u w:val="single"/>
            <w:rFonts w:ascii="DejaVu Sans" w:hAnsi="DejaVu Sans" w:eastAsia="DejaVu Sans"/>
            <w:sz w:val="19"/>
          </w:rPr>
          <w:t>ACL Anthology copyright policy</w:t>
        </w:r>
      </w:hyperlink>
    </w:p>
    <w:p>
      <w:pPr>
        <w:pStyle w:val="ToSSmall"/>
      </w:pPr>
      <w:r>
        <w:t>Все URL, item identifiers, rights statements и более детальные оговорки находятся в ToS_Corpus_Rights_A07_registry.xlsx. Документ и таблица описывают один и тот же набор результатов; gaps вынесены во второй лист того же XLSX.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/>
        <w:color w:val="6B7280"/>
        <w:sz w:val="16"/>
      </w:rPr>
      <w:t xml:space="preserve">Tree of Sophia · A07 · </w:t>
    </w:r>
    <w:r>
      <w:fldChar w:fldCharType="begin"/>
      <w:instrText xml:space="preserve">PAGE</w:instrText>
      <w:fldChar w:fldCharType="end"/>
    </w:r>
    <w: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eastAsia="DejaVu Sans"/>
        <w:color w:val="6B7280"/>
        <w:sz w:val="16"/>
      </w:rPr>
      <w:t>ToS • Corpus &amp; Rights Registry • A07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20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20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DejaVu Sans" w:hAnsi="DejaVu Sans" w:eastAsia="DejaVu Sans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SLead">
    <w:name w:val="ToS Lead"/>
    <w:pPr>
      <w:spacing w:line="269" w:lineRule="auto" w:after="160"/>
    </w:pPr>
    <w:rPr>
      <w:rFonts w:ascii="DejaVu Sans" w:hAnsi="DejaVu Sans" w:eastAsia="DejaVu Sans"/>
      <w:color w:val="404040"/>
      <w:sz w:val="22"/>
    </w:rPr>
  </w:style>
  <w:style w:type="paragraph" w:customStyle="1" w:styleId="ToSSmall">
    <w:name w:val="ToS Small"/>
    <w:pPr>
      <w:spacing w:after="40"/>
    </w:pPr>
    <w:rPr>
      <w:rFonts w:ascii="DejaVu Sans" w:hAnsi="DejaVu Sans" w:eastAsia="DejaVu Sans"/>
      <w:color w:val="666666"/>
      <w:sz w:val="16"/>
    </w:rPr>
  </w:style>
  <w:style w:type="paragraph" w:customStyle="1" w:styleId="ToSCallout">
    <w:name w:val="ToS Callout"/>
    <w:pPr>
      <w:spacing w:after="60"/>
    </w:pPr>
    <w:rPr>
      <w:rFonts w:ascii="DejaVu Sans" w:hAnsi="DejaVu Sans" w:eastAsia="DejaVu Sans"/>
      <w:color w:val="20386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dli.earth/search?layout=full&amp;period=Proto-Elamite" TargetMode="External"/><Relationship Id="rId12" Type="http://schemas.openxmlformats.org/officeDocument/2006/relationships/hyperlink" Target="https://cdli.earth/docs/api" TargetMode="External"/><Relationship Id="rId13" Type="http://schemas.openxmlformats.org/officeDocument/2006/relationships/hyperlink" Target="https://archive.org/details/mmoires06franuoft" TargetMode="External"/><Relationship Id="rId14" Type="http://schemas.openxmlformats.org/officeDocument/2006/relationships/hyperlink" Target="https://commons.library.stonybrook.edu/amar/421/" TargetMode="External"/><Relationship Id="rId15" Type="http://schemas.openxmlformats.org/officeDocument/2006/relationships/hyperlink" Target="https://hatamti-elam.uliege.be/" TargetMode="External"/><Relationship Id="rId16" Type="http://schemas.openxmlformats.org/officeDocument/2006/relationships/hyperlink" Target="https://center-for-decipherment.ch/tool/" TargetMode="External"/><Relationship Id="rId17" Type="http://schemas.openxmlformats.org/officeDocument/2006/relationships/hyperlink" Target="https://collections.louvre.fr/en/ark:/53355/cl010174448" TargetMode="External"/><Relationship Id="rId18" Type="http://schemas.openxmlformats.org/officeDocument/2006/relationships/hyperlink" Target="https://collections.louvre.fr/en/ark:/53355/cl010174482" TargetMode="External"/><Relationship Id="rId19" Type="http://schemas.openxmlformats.org/officeDocument/2006/relationships/hyperlink" Target="https://www.orientlab.net/pubs/" TargetMode="External"/><Relationship Id="rId20" Type="http://schemas.openxmlformats.org/officeDocument/2006/relationships/hyperlink" Target="https://orbi.uliege.be/handle/2268/334018" TargetMode="External"/><Relationship Id="rId21" Type="http://schemas.openxmlformats.org/officeDocument/2006/relationships/hyperlink" Target="https://cdli.earth/search?layout=full&amp;period=Linear+Elamite" TargetMode="External"/><Relationship Id="rId22" Type="http://schemas.openxmlformats.org/officeDocument/2006/relationships/hyperlink" Target="https://collections.louvre.fr/en/page/cgu" TargetMode="External"/><Relationship Id="rId23" Type="http://schemas.openxmlformats.org/officeDocument/2006/relationships/hyperlink" Target="https://hatamti-elam.uliege.be/doc_about" TargetMode="External"/><Relationship Id="rId24" Type="http://schemas.openxmlformats.org/officeDocument/2006/relationships/hyperlink" Target="https://center-for-decipherment.ch/tool-introduction/" TargetMode="External"/><Relationship Id="rId25" Type="http://schemas.openxmlformats.org/officeDocument/2006/relationships/hyperlink" Target="https://orbi.uliege.be/page/user-license" TargetMode="External"/><Relationship Id="rId26" Type="http://schemas.openxmlformats.org/officeDocument/2006/relationships/hyperlink" Target="https://isac.uchicago.edu/research/electronic-publications-initiative-institute-study-ancient-cultures" TargetMode="External"/><Relationship Id="rId27" Type="http://schemas.openxmlformats.org/officeDocument/2006/relationships/hyperlink" Target="https://aclanthology.org/info/copyrigh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A07</dc:title>
  <dc:subject>Elam, Proto-Elamite, Linear Elamite: lawful corpus access and rights</dc:subject>
  <dc:creator>Tree of Sophia / ToS research workflow</dc:creator>
  <cp:keywords>ToS, A07, Proto-Elamite, Linear Elamite, corpus, rights, CDLI, Louvre, Hatamti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