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Noto Sans" w:hAnsi="Noto Sans"/>
          <w:b/>
          <w:color w:val="164E63"/>
          <w:sz w:val="54"/>
        </w:rPr>
        <w:t>ToS Corpus &amp; Rights Registry</w:t>
      </w:r>
    </w:p>
    <w:p>
      <w:pPr>
        <w:jc w:val="center"/>
      </w:pPr>
      <w:r>
        <w:rPr>
          <w:b/>
          <w:color w:val="0E7490"/>
          <w:sz w:val="34"/>
        </w:rPr>
        <w:t>A39 — Аксум / geʿez / раннехристианская письменность</w:t>
      </w:r>
    </w:p>
    <w:p>
      <w:pPr>
        <w:jc w:val="center"/>
      </w:pPr>
      <w:r>
        <w:rPr>
          <w:i/>
          <w:color w:val="475569"/>
          <w:sz w:val="22"/>
        </w:rPr>
        <w:t>исследовательский пакет доступа, прав и практического использования</w:t>
      </w:r>
    </w:p>
    <w:p/>
    <w:tbl>
      <w:tblPr>
        <w:tblW w:type="auto" w:w="0"/>
        <w:jc w:val="center"/>
        <w:tblLayout w:type="autofit"/>
        <w:tblLook w:firstColumn="1" w:firstRow="1" w:lastColumn="0" w:lastRow="0" w:noHBand="0" w:noVBand="1" w:val="04A0"/>
      </w:tblPr>
      <w:tblGrid>
        <w:gridCol w:w="9994"/>
      </w:tblGrid>
      <w:tr>
        <w:tc>
          <w:tcPr>
            <w:tcW w:type="dxa" w:w="9994"/>
            <w:shd w:fill="F0FDFA"/>
            <w:tcMar>
              <w:top w:w="120" w:type="dxa"/>
              <w:start w:w="150" w:type="dxa"/>
              <w:bottom w:w="120" w:type="dxa"/>
              <w:end w:w="150" w:type="dxa"/>
            </w:tcMar>
          </w:tcPr>
          <w:p>
            <w:pPr>
              <w:pStyle w:val="ToSCallout"/>
            </w:pPr>
            <w:r>
              <w:t>76 practically distinct access records · 16 documented gaps · исходный статус B сохранён. Реестр фиксирует не только открытые материалы, но и законные library, preview, purchase и metadata-only пути.</w:t>
            </w:r>
          </w:p>
        </w:tc>
      </w:tr>
    </w:tbl>
    <w:p/>
    <w:tbl>
      <w:tblPr>
        <w:tblStyle w:val="TableGrid"/>
        <w:tblW w:type="auto" w:w="0"/>
        <w:jc w:val="center"/>
        <w:tblLook w:firstColumn="1" w:firstRow="1" w:lastColumn="0" w:lastRow="0" w:noHBand="0" w:noVBand="1" w:val="04A0"/>
      </w:tblPr>
      <w:tblGrid>
        <w:gridCol w:w="4997"/>
        <w:gridCol w:w="4997"/>
      </w:tblGrid>
      <w:tr>
        <w:tc>
          <w:tcPr>
            <w:tcW w:type="dxa" w:w="3096"/>
            <w:vAlign w:val="top"/>
            <w:shd w:fill="F1F5F9"/>
            <w:tcMar>
              <w:top w:w="80" w:type="dxa"/>
              <w:start w:w="100" w:type="dxa"/>
              <w:bottom w:w="80" w:type="dxa"/>
              <w:end w:w="100" w:type="dxa"/>
            </w:tcMar>
          </w:tcPr>
          <w:p>
            <w:pPr>
              <w:spacing w:after="0"/>
            </w:pPr>
            <w:r>
              <w:rPr>
                <w:b/>
                <w:sz w:val="17"/>
              </w:rPr>
              <w:t>Строка ToS</w:t>
            </w:r>
          </w:p>
        </w:tc>
        <w:tc>
          <w:tcPr>
            <w:tcW w:type="dxa" w:w="6984"/>
            <w:vAlign w:val="top"/>
            <w:tcMar>
              <w:top w:w="80" w:type="dxa"/>
              <w:start w:w="100" w:type="dxa"/>
              <w:bottom w:w="80" w:type="dxa"/>
              <w:end w:w="100" w:type="dxa"/>
            </w:tcMar>
          </w:tcPr>
          <w:p>
            <w:pPr>
              <w:spacing w:after="0"/>
            </w:pPr>
            <w:r>
              <w:rPr>
                <w:sz w:val="17"/>
              </w:rPr>
              <w:t>A39 — Аксум / geʿez / раннехристианская письменность</w:t>
            </w:r>
          </w:p>
        </w:tc>
      </w:tr>
      <w:tr>
        <w:tc>
          <w:tcPr>
            <w:tcW w:type="dxa" w:w="3096"/>
            <w:vAlign w:val="top"/>
            <w:shd w:fill="F1F5F9"/>
            <w:tcMar>
              <w:top w:w="80" w:type="dxa"/>
              <w:start w:w="100" w:type="dxa"/>
              <w:bottom w:w="80" w:type="dxa"/>
              <w:end w:w="100" w:type="dxa"/>
            </w:tcMar>
          </w:tcPr>
          <w:p>
            <w:pPr>
              <w:spacing w:after="0"/>
            </w:pPr>
            <w:r>
              <w:rPr>
                <w:b/>
                <w:sz w:val="17"/>
              </w:rPr>
              <w:t>Исходный статус</w:t>
            </w:r>
          </w:p>
        </w:tc>
        <w:tc>
          <w:tcPr>
            <w:tcW w:type="dxa" w:w="6984"/>
            <w:vAlign w:val="top"/>
            <w:tcMar>
              <w:top w:w="80" w:type="dxa"/>
              <w:start w:w="100" w:type="dxa"/>
              <w:bottom w:w="80" w:type="dxa"/>
              <w:end w:w="100" w:type="dxa"/>
            </w:tcMar>
          </w:tcPr>
          <w:p>
            <w:pPr>
              <w:spacing w:after="0"/>
            </w:pPr>
            <w:r>
              <w:rPr>
                <w:sz w:val="17"/>
              </w:rPr>
              <w:t>B</w:t>
            </w:r>
          </w:p>
        </w:tc>
      </w:tr>
      <w:tr>
        <w:tc>
          <w:tcPr>
            <w:tcW w:type="dxa" w:w="3096"/>
            <w:vAlign w:val="top"/>
            <w:shd w:fill="F1F5F9"/>
            <w:tcMar>
              <w:top w:w="80" w:type="dxa"/>
              <w:start w:w="100" w:type="dxa"/>
              <w:bottom w:w="80" w:type="dxa"/>
              <w:end w:w="100" w:type="dxa"/>
            </w:tcMar>
          </w:tcPr>
          <w:p>
            <w:pPr>
              <w:spacing w:after="0"/>
            </w:pPr>
            <w:r>
              <w:rPr>
                <w:b/>
                <w:sz w:val="17"/>
              </w:rPr>
              <w:t>Дата проверки</w:t>
            </w:r>
          </w:p>
        </w:tc>
        <w:tc>
          <w:tcPr>
            <w:tcW w:type="dxa" w:w="6984"/>
            <w:vAlign w:val="top"/>
            <w:tcMar>
              <w:top w:w="80" w:type="dxa"/>
              <w:start w:w="100" w:type="dxa"/>
              <w:bottom w:w="80" w:type="dxa"/>
              <w:end w:w="100" w:type="dxa"/>
            </w:tcMar>
          </w:tcPr>
          <w:p>
            <w:pPr>
              <w:spacing w:after="0"/>
            </w:pPr>
            <w:r>
              <w:rPr>
                <w:sz w:val="17"/>
              </w:rPr>
              <w:t>4 сентября 2026</w:t>
            </w:r>
          </w:p>
        </w:tc>
      </w:tr>
      <w:tr>
        <w:tc>
          <w:tcPr>
            <w:tcW w:type="dxa" w:w="3096"/>
            <w:vAlign w:val="top"/>
            <w:shd w:fill="F1F5F9"/>
            <w:tcMar>
              <w:top w:w="80" w:type="dxa"/>
              <w:start w:w="100" w:type="dxa"/>
              <w:bottom w:w="80" w:type="dxa"/>
              <w:end w:w="100" w:type="dxa"/>
            </w:tcMar>
          </w:tcPr>
          <w:p>
            <w:pPr>
              <w:spacing w:after="0"/>
            </w:pPr>
            <w:r>
              <w:rPr>
                <w:b/>
                <w:sz w:val="17"/>
              </w:rPr>
              <w:t>Исходный DR</w:t>
            </w:r>
          </w:p>
        </w:tc>
        <w:tc>
          <w:tcPr>
            <w:tcW w:type="dxa" w:w="6984"/>
            <w:vAlign w:val="top"/>
            <w:tcMar>
              <w:top w:w="80" w:type="dxa"/>
              <w:start w:w="100" w:type="dxa"/>
              <w:bottom w:w="80" w:type="dxa"/>
              <w:end w:w="100" w:type="dxa"/>
            </w:tcMar>
          </w:tcPr>
          <w:p>
            <w:pPr>
              <w:spacing w:after="0"/>
            </w:pPr>
            <w:r>
              <w:rPr>
                <w:sz w:val="17"/>
              </w:rPr>
              <w:t>ToS Deep Research_ A39 — Аксум _ geʿez _ раннехристианская письменность(2).docx</w:t>
            </w:r>
          </w:p>
        </w:tc>
      </w:tr>
      <w:tr>
        <w:tc>
          <w:tcPr>
            <w:tcW w:type="dxa" w:w="3096"/>
            <w:vAlign w:val="top"/>
            <w:shd w:fill="F1F5F9"/>
            <w:tcMar>
              <w:top w:w="80" w:type="dxa"/>
              <w:start w:w="100" w:type="dxa"/>
              <w:bottom w:w="80" w:type="dxa"/>
              <w:end w:w="100" w:type="dxa"/>
            </w:tcMar>
          </w:tcPr>
          <w:p>
            <w:pPr>
              <w:spacing w:after="0"/>
            </w:pPr>
            <w:r>
              <w:rPr>
                <w:b/>
                <w:sz w:val="17"/>
              </w:rPr>
              <w:t>Файлы пакета</w:t>
            </w:r>
          </w:p>
        </w:tc>
        <w:tc>
          <w:tcPr>
            <w:tcW w:type="dxa" w:w="6984"/>
            <w:vAlign w:val="top"/>
            <w:tcMar>
              <w:top w:w="80" w:type="dxa"/>
              <w:start w:w="100" w:type="dxa"/>
              <w:bottom w:w="80" w:type="dxa"/>
              <w:end w:w="100" w:type="dxa"/>
            </w:tcMar>
          </w:tcPr>
          <w:p>
            <w:pPr>
              <w:spacing w:after="0"/>
            </w:pPr>
            <w:r>
              <w:rPr>
                <w:sz w:val="17"/>
              </w:rPr>
              <w:t>ToS_Corpus_Rights_A39_registry.xlsx и настоящий DOCX-отчёт</w:t>
            </w:r>
          </w:p>
        </w:tc>
      </w:tr>
    </w:tbl>
    <w:p>
      <w:pPr>
        <w:spacing w:after="0"/>
      </w:pPr>
    </w:p>
    <w:p/>
    <w:p>
      <w:pPr>
        <w:pStyle w:val="ToSSmall"/>
        <w:jc w:val="center"/>
      </w:pPr>
      <w:r>
        <w:t>Правовая квалификация в пакете — исследовательская, а не юридическое заключение. Положительные теги действуют только в пределах указанного rights_scope и coverage.</w:t>
      </w:r>
    </w:p>
    <w:p>
      <w:r>
        <w:br w:type="page"/>
      </w:r>
    </w:p>
    <w:p>
      <w:pPr>
        <w:pStyle w:val="Heading1"/>
      </w:pPr>
      <w:r>
        <w:t>Содержание</w:t>
      </w:r>
    </w:p>
    <w:p>
      <w:pPr>
        <w:ind w:left="216"/>
      </w:pPr>
      <w:r>
        <w:rPr>
          <w:b/>
        </w:rPr>
        <w:t>1. Паспорт</w:t>
      </w:r>
    </w:p>
    <w:p>
      <w:pPr>
        <w:ind w:left="216"/>
      </w:pPr>
      <w:r>
        <w:rPr>
          <w:b/>
        </w:rPr>
        <w:t>2. Охват корпуса</w:t>
      </w:r>
    </w:p>
    <w:p>
      <w:pPr>
        <w:ind w:left="216"/>
      </w:pPr>
      <w:r>
        <w:rPr>
          <w:b/>
        </w:rPr>
        <w:t>3. Лучшие пути доступа</w:t>
      </w:r>
    </w:p>
    <w:p>
      <w:pPr>
        <w:ind w:left="216"/>
      </w:pPr>
      <w:r>
        <w:rPr>
          <w:b/>
        </w:rPr>
        <w:t>4. Карта прав и практического использования</w:t>
      </w:r>
    </w:p>
    <w:p>
      <w:pPr>
        <w:ind w:left="216"/>
      </w:pPr>
      <w:r>
        <w:rPr>
          <w:b/>
        </w:rPr>
        <w:t>5. Характерные правовые тонкости</w:t>
      </w:r>
    </w:p>
    <w:p>
      <w:pPr>
        <w:ind w:left="216"/>
      </w:pPr>
      <w:r>
        <w:rPr>
          <w:b/>
        </w:rPr>
        <w:t>6. Пробелы и дальнейший поиск</w:t>
      </w:r>
    </w:p>
    <w:p>
      <w:pPr>
        <w:ind w:left="216"/>
      </w:pPr>
      <w:r>
        <w:rPr>
          <w:b/>
        </w:rPr>
        <w:t>7. Итоговая оценка</w:t>
      </w:r>
    </w:p>
    <w:p>
      <w:pPr>
        <w:pStyle w:val="ToSSmall"/>
      </w:pPr>
      <w:r>
        <w:t>Ссылки на записи вида A39-R0xx ведут к строкам листа registry; пробелы A39-Gxx — к листу gaps.</w:t>
      </w:r>
    </w:p>
    <w:p>
      <w:r>
        <w:br w:type="page"/>
      </w:r>
    </w:p>
    <w:p>
      <w:pPr>
        <w:pStyle w:val="Heading1"/>
      </w:pPr>
      <w:r>
        <w:t>1. Паспорт</w:t>
      </w:r>
    </w:p>
    <w:tbl>
      <w:tblPr>
        <w:tblStyle w:val="TableGrid"/>
        <w:tblW w:type="auto" w:w="0"/>
        <w:jc w:val="center"/>
        <w:tblLook w:firstColumn="1" w:firstRow="1" w:lastColumn="0" w:lastRow="0" w:noHBand="0" w:noVBand="1" w:val="04A0"/>
      </w:tblPr>
      <w:tblGrid>
        <w:gridCol w:w="4997"/>
        <w:gridCol w:w="4997"/>
      </w:tblGrid>
      <w:tr>
        <w:tc>
          <w:tcPr>
            <w:tcW w:type="dxa" w:w="3096"/>
            <w:vAlign w:val="top"/>
            <w:shd w:fill="F1F5F9"/>
            <w:tcMar>
              <w:top w:w="80" w:type="dxa"/>
              <w:start w:w="100" w:type="dxa"/>
              <w:bottom w:w="80" w:type="dxa"/>
              <w:end w:w="100" w:type="dxa"/>
            </w:tcMar>
          </w:tcPr>
          <w:p>
            <w:pPr>
              <w:spacing w:after="0"/>
            </w:pPr>
            <w:r>
              <w:rPr>
                <w:b/>
                <w:sz w:val="17"/>
              </w:rPr>
              <w:t>ID и название</w:t>
            </w:r>
          </w:p>
        </w:tc>
        <w:tc>
          <w:tcPr>
            <w:tcW w:type="dxa" w:w="6984"/>
            <w:vAlign w:val="top"/>
            <w:tcMar>
              <w:top w:w="80" w:type="dxa"/>
              <w:start w:w="100" w:type="dxa"/>
              <w:bottom w:w="80" w:type="dxa"/>
              <w:end w:w="100" w:type="dxa"/>
            </w:tcMar>
          </w:tcPr>
          <w:p>
            <w:pPr>
              <w:spacing w:after="0"/>
            </w:pPr>
            <w:r>
              <w:rPr>
                <w:sz w:val="17"/>
              </w:rPr>
              <w:t>A39 — Аксум / geʿez / раннехристианская письменность</w:t>
            </w:r>
          </w:p>
        </w:tc>
      </w:tr>
      <w:tr>
        <w:tc>
          <w:tcPr>
            <w:tcW w:type="dxa" w:w="3096"/>
            <w:vAlign w:val="top"/>
            <w:shd w:fill="F1F5F9"/>
            <w:tcMar>
              <w:top w:w="80" w:type="dxa"/>
              <w:start w:w="100" w:type="dxa"/>
              <w:bottom w:w="80" w:type="dxa"/>
              <w:end w:w="100" w:type="dxa"/>
            </w:tcMar>
          </w:tcPr>
          <w:p>
            <w:pPr>
              <w:spacing w:after="0"/>
            </w:pPr>
            <w:r>
              <w:rPr>
                <w:b/>
                <w:sz w:val="17"/>
              </w:rPr>
              <w:t>Статус мастер-строки</w:t>
            </w:r>
          </w:p>
        </w:tc>
        <w:tc>
          <w:tcPr>
            <w:tcW w:type="dxa" w:w="6984"/>
            <w:vAlign w:val="top"/>
            <w:tcMar>
              <w:top w:w="80" w:type="dxa"/>
              <w:start w:w="100" w:type="dxa"/>
              <w:bottom w:w="80" w:type="dxa"/>
              <w:end w:w="100" w:type="dxa"/>
            </w:tcMar>
          </w:tcPr>
          <w:p>
            <w:pPr>
              <w:spacing w:after="0"/>
            </w:pPr>
            <w:r>
              <w:rPr>
                <w:sz w:val="17"/>
              </w:rPr>
              <w:t>B — не изменён</w:t>
            </w:r>
          </w:p>
        </w:tc>
      </w:tr>
      <w:tr>
        <w:tc>
          <w:tcPr>
            <w:tcW w:type="dxa" w:w="3096"/>
            <w:vAlign w:val="top"/>
            <w:shd w:fill="F1F5F9"/>
            <w:tcMar>
              <w:top w:w="80" w:type="dxa"/>
              <w:start w:w="100" w:type="dxa"/>
              <w:bottom w:w="80" w:type="dxa"/>
              <w:end w:w="100" w:type="dxa"/>
            </w:tcMar>
          </w:tcPr>
          <w:p>
            <w:pPr>
              <w:spacing w:after="0"/>
            </w:pPr>
            <w:r>
              <w:rPr>
                <w:b/>
                <w:sz w:val="17"/>
              </w:rPr>
              <w:t>Источник</w:t>
            </w:r>
          </w:p>
        </w:tc>
        <w:tc>
          <w:tcPr>
            <w:tcW w:type="dxa" w:w="6984"/>
            <w:vAlign w:val="top"/>
            <w:tcMar>
              <w:top w:w="80" w:type="dxa"/>
              <w:start w:w="100" w:type="dxa"/>
              <w:bottom w:w="80" w:type="dxa"/>
              <w:end w:w="100" w:type="dxa"/>
            </w:tcMar>
          </w:tcPr>
          <w:p>
            <w:pPr>
              <w:spacing w:after="0"/>
            </w:pPr>
            <w:r>
              <w:rPr>
                <w:sz w:val="17"/>
              </w:rPr>
              <w:t>Готовый ToS Deep Research по A39; использован как карта области, а не как закрытый инвентарь</w:t>
            </w:r>
          </w:p>
        </w:tc>
      </w:tr>
      <w:tr>
        <w:tc>
          <w:tcPr>
            <w:tcW w:type="dxa" w:w="3096"/>
            <w:vAlign w:val="top"/>
            <w:shd w:fill="F1F5F9"/>
            <w:tcMar>
              <w:top w:w="80" w:type="dxa"/>
              <w:start w:w="100" w:type="dxa"/>
              <w:bottom w:w="80" w:type="dxa"/>
              <w:end w:w="100" w:type="dxa"/>
            </w:tcMar>
          </w:tcPr>
          <w:p>
            <w:pPr>
              <w:spacing w:after="0"/>
            </w:pPr>
            <w:r>
              <w:rPr>
                <w:b/>
                <w:sz w:val="17"/>
              </w:rPr>
              <w:t>Дата web-проверки</w:t>
            </w:r>
          </w:p>
        </w:tc>
        <w:tc>
          <w:tcPr>
            <w:tcW w:type="dxa" w:w="6984"/>
            <w:vAlign w:val="top"/>
            <w:tcMar>
              <w:top w:w="80" w:type="dxa"/>
              <w:start w:w="100" w:type="dxa"/>
              <w:bottom w:w="80" w:type="dxa"/>
              <w:end w:w="100" w:type="dxa"/>
            </w:tcMar>
          </w:tcPr>
          <w:p>
            <w:pPr>
              <w:spacing w:after="0"/>
            </w:pPr>
            <w:r>
              <w:rPr>
                <w:sz w:val="17"/>
              </w:rPr>
              <w:t>2026-09-04</w:t>
            </w:r>
          </w:p>
        </w:tc>
      </w:tr>
      <w:tr>
        <w:tc>
          <w:tcPr>
            <w:tcW w:type="dxa" w:w="3096"/>
            <w:vAlign w:val="top"/>
            <w:shd w:fill="F1F5F9"/>
            <w:tcMar>
              <w:top w:w="80" w:type="dxa"/>
              <w:start w:w="100" w:type="dxa"/>
              <w:bottom w:w="80" w:type="dxa"/>
              <w:end w:w="100" w:type="dxa"/>
            </w:tcMar>
          </w:tcPr>
          <w:p>
            <w:pPr>
              <w:spacing w:after="0"/>
            </w:pPr>
            <w:r>
              <w:rPr>
                <w:b/>
                <w:sz w:val="17"/>
              </w:rPr>
              <w:t>Языки поиска</w:t>
            </w:r>
          </w:p>
        </w:tc>
        <w:tc>
          <w:tcPr>
            <w:tcW w:type="dxa" w:w="6984"/>
            <w:vAlign w:val="top"/>
            <w:tcMar>
              <w:top w:w="80" w:type="dxa"/>
              <w:start w:w="100" w:type="dxa"/>
              <w:bottom w:w="80" w:type="dxa"/>
              <w:end w:w="100" w:type="dxa"/>
            </w:tcMar>
          </w:tcPr>
          <w:p>
            <w:pPr>
              <w:spacing w:after="0"/>
            </w:pPr>
            <w:r>
              <w:rPr>
                <w:sz w:val="17"/>
              </w:rPr>
              <w:t>русский, английский, французский, немецкий, итальянский; термины и названия на Gǝʿǝz, греческом, сабейском, сирийском и латинском</w:t>
            </w:r>
          </w:p>
        </w:tc>
      </w:tr>
      <w:tr>
        <w:tc>
          <w:tcPr>
            <w:tcW w:type="dxa" w:w="3096"/>
            <w:vAlign w:val="top"/>
            <w:shd w:fill="F1F5F9"/>
            <w:tcMar>
              <w:top w:w="80" w:type="dxa"/>
              <w:start w:w="100" w:type="dxa"/>
              <w:bottom w:w="80" w:type="dxa"/>
              <w:end w:w="100" w:type="dxa"/>
            </w:tcMar>
          </w:tcPr>
          <w:p>
            <w:pPr>
              <w:spacing w:after="0"/>
            </w:pPr>
            <w:r>
              <w:rPr>
                <w:b/>
                <w:sz w:val="17"/>
              </w:rPr>
              <w:t>Ядро</w:t>
            </w:r>
          </w:p>
        </w:tc>
        <w:tc>
          <w:tcPr>
            <w:tcW w:type="dxa" w:w="6984"/>
            <w:vAlign w:val="top"/>
            <w:tcMar>
              <w:top w:w="80" w:type="dxa"/>
              <w:start w:w="100" w:type="dxa"/>
              <w:bottom w:w="80" w:type="dxa"/>
              <w:end w:w="100" w:type="dxa"/>
            </w:tcMar>
          </w:tcPr>
          <w:p>
            <w:pPr>
              <w:spacing w:after="0"/>
            </w:pPr>
            <w:r>
              <w:rPr>
                <w:sz w:val="17"/>
              </w:rPr>
              <w:t>RIÉ и царская эпиграфика Эзаны; Garima Gospels; Aksumite Collection / Codex Σ; Periplus Maris Erythraei; Betä Sämaʿtiʾ; нумизматические легенды; testimonia о Фрументии</w:t>
            </w:r>
          </w:p>
        </w:tc>
      </w:tr>
      <w:tr>
        <w:tc>
          <w:tcPr>
            <w:tcW w:type="dxa" w:w="3096"/>
            <w:vAlign w:val="top"/>
            <w:shd w:fill="F1F5F9"/>
            <w:tcMar>
              <w:top w:w="80" w:type="dxa"/>
              <w:start w:w="100" w:type="dxa"/>
              <w:bottom w:w="80" w:type="dxa"/>
              <w:end w:w="100" w:type="dxa"/>
            </w:tcMar>
          </w:tcPr>
          <w:p>
            <w:pPr>
              <w:spacing w:after="0"/>
            </w:pPr>
            <w:r>
              <w:rPr>
                <w:b/>
                <w:sz w:val="17"/>
              </w:rPr>
              <w:t>Типы объектов</w:t>
            </w:r>
          </w:p>
        </w:tc>
        <w:tc>
          <w:tcPr>
            <w:tcW w:type="dxa" w:w="6984"/>
            <w:vAlign w:val="top"/>
            <w:tcMar>
              <w:top w:w="80" w:type="dxa"/>
              <w:start w:w="100" w:type="dxa"/>
              <w:bottom w:w="80" w:type="dxa"/>
              <w:end w:w="100" w:type="dxa"/>
            </w:tcMar>
          </w:tcPr>
          <w:p>
            <w:pPr>
              <w:spacing w:after="0"/>
            </w:pPr>
            <w:r>
              <w:rPr>
                <w:sz w:val="17"/>
              </w:rPr>
              <w:t>произведения, корпусы, конкретные свидетели, переводы/издания, цифровые тексты/факсимиле, datasets/APIs, каталоги и минимальная вторичная навигация</w:t>
            </w:r>
          </w:p>
        </w:tc>
      </w:tr>
      <w:tr>
        <w:tc>
          <w:tcPr>
            <w:tcW w:type="dxa" w:w="3096"/>
            <w:vAlign w:val="top"/>
            <w:shd w:fill="F1F5F9"/>
            <w:tcMar>
              <w:top w:w="80" w:type="dxa"/>
              <w:start w:w="100" w:type="dxa"/>
              <w:bottom w:w="80" w:type="dxa"/>
              <w:end w:w="100" w:type="dxa"/>
            </w:tcMar>
          </w:tcPr>
          <w:p>
            <w:pPr>
              <w:spacing w:after="0"/>
            </w:pPr>
            <w:r>
              <w:rPr>
                <w:b/>
                <w:sz w:val="17"/>
              </w:rPr>
              <w:t>Классы источников</w:t>
            </w:r>
          </w:p>
        </w:tc>
        <w:tc>
          <w:tcPr>
            <w:tcW w:type="dxa" w:w="6984"/>
            <w:vAlign w:val="top"/>
            <w:tcMar>
              <w:top w:w="80" w:type="dxa"/>
              <w:start w:w="100" w:type="dxa"/>
              <w:bottom w:w="80" w:type="dxa"/>
              <w:end w:w="100" w:type="dxa"/>
            </w:tcMar>
          </w:tcPr>
          <w:p>
            <w:pPr>
              <w:spacing w:after="0"/>
            </w:pPr>
            <w:r>
              <w:rPr>
                <w:sz w:val="17"/>
              </w:rPr>
              <w:t>официальные corpus/project pages, университетские репозитории, национальные/музейные каталоги, академические издатели, Internet Archive, Project Gutenberg, Perseus/Scaife, WorldCat</w:t>
            </w:r>
          </w:p>
        </w:tc>
      </w:tr>
    </w:tbl>
    <w:p>
      <w:pPr>
        <w:spacing w:after="0"/>
      </w:pPr>
    </w:p>
    <w:p>
      <w:r>
        <w:t>Исходный DR задавал устойчивое ядро: многоязычную царскую эпиграфику, переход к христианской репрезентации власти, ранний переводной geʿez-слой, Garima Gospels, Aksumite Collection, торгово-географический контекст Адулis и инфраструктуру Beta maṣāḥǝft/HMML. Реестр сохраняет эти акценты, но отдельно проходит назад к южноаравийскому письму и Periplus, а вперёд — к Cosmas, Фрументию, Najran/Himyar, эфиопским псевдоэпиграфам и поздней royal/canon-law рецепции.</w:t>
      </w:r>
    </w:p>
    <w:p>
      <w:r>
        <w:t>Для каждой строки различены четыре слоя прав: древнее произведение; конкретный перевод/редакция; цифровой объект; условия платформы. Бесплатное чтение, скачивание и public-domain статус произведения нигде не приравнивались автоматически к праву зеркалировать современную транскрипцию, фотографию или PDF.</w:t>
      </w:r>
    </w:p>
    <w:tbl>
      <w:tblPr>
        <w:tblW w:type="auto" w:w="0"/>
        <w:jc w:val="center"/>
        <w:tblLayout w:type="autofit"/>
        <w:tblLook w:firstColumn="1" w:firstRow="1" w:lastColumn="0" w:lastRow="0" w:noHBand="0" w:noVBand="1" w:val="04A0"/>
      </w:tblPr>
      <w:tblGrid>
        <w:gridCol w:w="9994"/>
      </w:tblGrid>
      <w:tr>
        <w:tc>
          <w:tcPr>
            <w:tcW w:type="dxa" w:w="9994"/>
            <w:shd w:fill="FFF7ED"/>
            <w:tcMar>
              <w:top w:w="120" w:type="dxa"/>
              <w:start w:w="150" w:type="dxa"/>
              <w:bottom w:w="120" w:type="dxa"/>
              <w:end w:w="150" w:type="dxa"/>
            </w:tcMar>
          </w:tcPr>
          <w:p>
            <w:pPr>
              <w:pStyle w:val="ToSCallout"/>
            </w:pPr>
            <w:r>
              <w:t>Слабые навигационные подсказки не попали в основной registry без подтверждения. Qerellos, ранний geʿez Gospel-корпус за пределами Garima и несколько manuscript/item-level кандидатов вынесены в gaps.</w:t>
            </w:r>
          </w:p>
        </w:tc>
      </w:tr>
    </w:tbl>
    <w:p>
      <w:pPr>
        <w:pStyle w:val="Heading2"/>
      </w:pPr>
      <w:r>
        <w:t>1.1. Принцип проверки доступа и прав</w:t>
      </w:r>
    </w:p>
    <w:p>
      <w:pPr>
        <w:pStyle w:val="ListBullet"/>
        <w:spacing w:after="50"/>
      </w:pPr>
      <w:r>
        <w:t>Access source и evidence source разделялись: страница чтения могла быть законной, но правовой вывод опирался на отдельную лицензию или Terms.</w:t>
      </w:r>
    </w:p>
    <w:p>
      <w:pPr>
        <w:pStyle w:val="ListBullet"/>
        <w:spacing w:after="50"/>
      </w:pPr>
      <w:r>
        <w:t>Сильные теги MIRROR_OK, MIRROR_WITH_ATTRIBUTION, MIRROR_NONCOMMERCIAL и OWN_TRANSLATION_POSSIBLE ставились только при конкретном основании и ограничивались coverage.</w:t>
      </w:r>
    </w:p>
    <w:p>
      <w:pPr>
        <w:pStyle w:val="ListBullet"/>
        <w:spacing w:after="50"/>
      </w:pPr>
      <w:r>
        <w:t>Internet Archive не считался доказательством законности сам по себе: использовались item-level rights statements либо осторожный вывод по дате с RIGHTS_REVIEW_REQUIRED.</w:t>
      </w:r>
    </w:p>
    <w:p>
      <w:pPr>
        <w:pStyle w:val="ListBullet"/>
        <w:spacing w:after="50"/>
      </w:pPr>
      <w:r>
        <w:t>Wikipedia в итоговых XLSX и DOCX не использована как landing_url, evidence source или рекомендованный навигатор.</w:t>
      </w:r>
    </w:p>
    <w:p>
      <w:pPr>
        <w:pStyle w:val="Heading1"/>
      </w:pPr>
      <w:r>
        <w:t>2. Охват корпуса</w:t>
      </w:r>
    </w:p>
    <w:p>
      <w:r>
        <w:t>Реестр содержит 76 практически различимых путей доступа и 16 зафиксированных пробелов. Внутри него 21 запись относится к core, 8 — к antecedent, 10 — к continuation, 9 — к same_corpus_or_tradition, 13 — к transmission_or_preservation. Это не число разных произведений: один объект может иметь несколько законных маршрутов — старое издание, современную purchase/library edition, metadata/API и item-level witness.</w:t>
      </w:r>
    </w:p>
    <w:p>
      <w:r>
        <w:t>По содержанию пакет охватывает примерно три десятка первичных произведений, корпусных единиц и линий testimonia, плюс конкретные manuscript, inscriptional и coin witnesses. Число 76 отражает именно способы доступа и версии, а не искусственно раздутый «числом ссылок» корпус.</w:t>
      </w:r>
    </w:p>
    <w:p>
      <w:pPr>
        <w:pStyle w:val="Heading2"/>
      </w:pPr>
      <w:r>
        <w:t>2.1. Ядро из исходного DR</w:t>
      </w:r>
    </w:p>
    <w:p>
      <w:pPr>
        <w:pStyle w:val="ListBullet"/>
        <w:spacing w:after="50"/>
      </w:pPr>
      <w:r>
        <w:t>RIÉ / DAE и надписи Эзаны: современный критический purchase/library слой, публичнодоменный фотографический слой 1913 года, современные интерпретации и экспериментальный Beta DTS-вход.</w:t>
      </w:r>
    </w:p>
    <w:p>
      <w:pPr>
        <w:pStyle w:val="ListBullet"/>
        <w:spacing w:after="50"/>
      </w:pPr>
      <w:r>
        <w:t>Garima Gospels: два HMML item-level факсимиле, отдельный Beta record, modern monograph, свежая статья по орфографии и открытые исследования marginalia.</w:t>
      </w:r>
    </w:p>
    <w:p>
      <w:pPr>
        <w:pStyle w:val="ListBullet"/>
        <w:spacing w:after="50"/>
      </w:pPr>
      <w:r>
        <w:t>Aksumite Collection / Codex Σ: CAe 1047, TEI inventory, CC BY кодикологическая статья, открытый обзор multiple-text structure и закрытая линия Homily on the One Judge.</w:t>
      </w:r>
    </w:p>
    <w:p>
      <w:pPr>
        <w:pStyle w:val="ListBullet"/>
        <w:spacing w:after="50"/>
      </w:pPr>
      <w:r>
        <w:t>Periplus Maris Erythraei: древний торговый antecedent для Адулis и красноморской сцены; старые public-domain переводы, modern Casson edition и CTS metadata.</w:t>
      </w:r>
    </w:p>
    <w:p>
      <w:pPr>
        <w:pStyle w:val="ListBullet"/>
        <w:spacing w:after="50"/>
      </w:pPr>
      <w:r>
        <w:t>Betä Sämaʿtiʾ: археологический town/basilica complex и две краткие Ethiopic inscriptions; именно так объект классифицирован вместо неопределённого «мартирологического корпуса».</w:t>
      </w:r>
    </w:p>
    <w:p>
      <w:pPr>
        <w:pStyle w:val="ListBullet"/>
        <w:spacing w:after="50"/>
      </w:pPr>
      <w:r>
        <w:t>Нумизматические легенды Эзаны и Калеба: два конкретных British Museum witnesses с отдельным анализом прав на изображения.</w:t>
      </w:r>
    </w:p>
    <w:p>
      <w:pPr>
        <w:pStyle w:val="Heading2"/>
      </w:pPr>
      <w:r>
        <w:t>2.2. Объекты, добавленные веб-поиском</w:t>
      </w:r>
    </w:p>
    <w:p>
      <w:r>
        <w:t>Наиболее содержательные расширения — тексты, которые либо сохраняют Aksum material, либо показывают прямую передачу раннего geʿez.</w:t>
      </w:r>
    </w:p>
    <w:p>
      <w:pPr>
        <w:pStyle w:val="ListBullet"/>
        <w:spacing w:after="50"/>
      </w:pPr>
      <w:r>
        <w:t>Cosmas Indicopleustes и Monumentum Adulitanum II: поздний греческий носитель утраченной адулитской надписи, с public-domain Greek/English editions и современной CC BY-NC-SA статьёй.</w:t>
      </w:r>
    </w:p>
    <w:p>
      <w:pPr>
        <w:pStyle w:val="ListBullet"/>
        <w:spacing w:after="50"/>
      </w:pPr>
      <w:r>
        <w:t>Athanasius, Socrates, Sozomen и Theodoret: независимые late-antique testimonia о Фрументии и институциональной связи с Alexandria.</w:t>
      </w:r>
    </w:p>
    <w:p>
      <w:pPr>
        <w:pStyle w:val="ListBullet"/>
        <w:spacing w:after="50"/>
      </w:pPr>
      <w:r>
        <w:t>1 Enoch, Jubilees, Ascension of Isaiah и 4 Baruch: произведения, для которых Ethiopic transmission сохраняет существенный или полный текст; включены public-domain historical editions и modern critical control where found.</w:t>
      </w:r>
    </w:p>
    <w:p>
      <w:pPr>
        <w:pStyle w:val="ListBullet"/>
        <w:spacing w:after="50"/>
      </w:pPr>
      <w:r>
        <w:t>Ethiopic Didascalia: прямой same-tradition church-order companion к normative milieu Aksumite Collection.</w:t>
      </w:r>
    </w:p>
    <w:p>
      <w:pPr>
        <w:pStyle w:val="ListBullet"/>
        <w:spacing w:after="50"/>
      </w:pPr>
      <w:r>
        <w:t>Book of the Himyarites, Martyrdom of Arethas, Procopius, Ry 507 и CIH 541: связанная Aksum–Najran–Himyar линия VI века.</w:t>
      </w:r>
    </w:p>
    <w:p>
      <w:pPr>
        <w:pStyle w:val="ListBullet"/>
        <w:spacing w:after="50"/>
      </w:pPr>
      <w:r>
        <w:t>Kǝbrä Nägäśt и Fǝtḥa Nägäśt: поздние royal-memory и canon-law continuations; они не меняют границы A39 и помечены как reception/continuation.</w:t>
      </w:r>
    </w:p>
    <w:p>
      <w:pPr>
        <w:pStyle w:val="Heading2"/>
      </w:pPr>
      <w:r>
        <w:t>2.3. Проход назад во времени</w:t>
      </w:r>
    </w:p>
    <w:p>
      <w:r>
        <w:t>Antecedent-слой не сводился к тематическому сходству. Periplus включён потому, что называет Adulis и фиксирует реальный red-sea trade milieu, в котором сформировался Aksum. DASI/CSAI включён как корпус южноаравийской эпиграфики, необходимый для происхождения письма и для сравнения трёхъязычной royal rhetoric. Enoch/Jubilees и другие псевдоэпиграфы включены не как «вся библейская традиция», а потому, что geʿez witnesses стали ключевым каналом сохранения этих конкретных произведений.</w:t>
      </w:r>
    </w:p>
    <w:p>
      <w:pPr>
        <w:pStyle w:val="Heading2"/>
      </w:pPr>
      <w:r>
        <w:t>2.4. Проход вперёд во времени</w:t>
      </w:r>
    </w:p>
    <w:p>
      <w:r>
        <w:t>Продолжение и рецепция прослежены через Kaleb/Abraha и южноаравийские надписи, через греческие и сирийские narratives о Najran, через Cosmas как носителя Monumentum Adulitanum, а затем через Kǝbrä Nägäśt, Fǝtḥa Nägäśt и Mäṣḥafä Mǝśṭir. Последние три не объявлены Aksumite texts: они фиксируют, как Aksumite memory, нормативность и отдельные homiletic motifs были переоформлены поздней tradition.</w:t>
      </w:r>
    </w:p>
    <w:p>
      <w:pPr>
        <w:pStyle w:val="Heading2"/>
      </w:pPr>
      <w:r>
        <w:t>2.5. Распределение по релевантности</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64E63"/>
          </w:tcPr>
          <w:p>
            <w:r>
              <w:rPr>
                <w:b/>
                <w:color w:val="FFFFFF"/>
              </w:rPr>
              <w:t>Категория</w:t>
            </w:r>
          </w:p>
        </w:tc>
        <w:tc>
          <w:tcPr>
            <w:tcW w:type="dxa" w:w="3331"/>
            <w:shd w:fill="164E63"/>
          </w:tcPr>
          <w:p>
            <w:r>
              <w:rPr>
                <w:b/>
                <w:color w:val="FFFFFF"/>
              </w:rPr>
              <w:t>Записей</w:t>
            </w:r>
          </w:p>
        </w:tc>
        <w:tc>
          <w:tcPr>
            <w:tcW w:type="dxa" w:w="3331"/>
            <w:shd w:fill="164E63"/>
          </w:tcPr>
          <w:p>
            <w:r>
              <w:rPr>
                <w:b/>
                <w:color w:val="FFFFFF"/>
              </w:rPr>
              <w:t>Роль</w:t>
            </w:r>
          </w:p>
        </w:tc>
      </w:tr>
      <w:tr>
        <w:tc>
          <w:tcPr>
            <w:tcW w:type="dxa" w:w="3331"/>
            <w:tcMar>
              <w:top w:w="80" w:type="dxa"/>
              <w:start w:w="100" w:type="dxa"/>
              <w:bottom w:w="80" w:type="dxa"/>
              <w:end w:w="100" w:type="dxa"/>
            </w:tcMar>
            <w:vAlign w:val="top"/>
          </w:tcPr>
          <w:p>
            <w:r>
              <w:rPr>
                <w:b/>
                <w:sz w:val="16"/>
              </w:rPr>
              <w:t>core</w:t>
            </w:r>
          </w:p>
        </w:tc>
        <w:tc>
          <w:tcPr>
            <w:tcW w:type="dxa" w:w="3331"/>
            <w:tcMar>
              <w:top w:w="80" w:type="dxa"/>
              <w:start w:w="100" w:type="dxa"/>
              <w:bottom w:w="80" w:type="dxa"/>
              <w:end w:w="100" w:type="dxa"/>
            </w:tcMar>
            <w:vAlign w:val="top"/>
          </w:tcPr>
          <w:p>
            <w:r>
              <w:rPr>
                <w:sz w:val="16"/>
              </w:rPr>
              <w:t>21</w:t>
            </w:r>
          </w:p>
        </w:tc>
        <w:tc>
          <w:tcPr>
            <w:tcW w:type="dxa" w:w="3331"/>
            <w:tcMar>
              <w:top w:w="80" w:type="dxa"/>
              <w:start w:w="100" w:type="dxa"/>
              <w:bottom w:w="80" w:type="dxa"/>
              <w:end w:w="100" w:type="dxa"/>
            </w:tcMar>
            <w:vAlign w:val="top"/>
          </w:tcPr>
          <w:p>
            <w:r>
              <w:rPr>
                <w:sz w:val="16"/>
              </w:rPr>
              <w:t>RIÉ/Ezana, Garima, Aksumite Collection, Betä Sämaʿtiʾ, ключевые coin/inscription records</w:t>
            </w:r>
          </w:p>
        </w:tc>
      </w:tr>
      <w:tr>
        <w:tc>
          <w:tcPr>
            <w:tcW w:type="dxa" w:w="3331"/>
            <w:tcMar>
              <w:top w:w="80" w:type="dxa"/>
              <w:start w:w="100" w:type="dxa"/>
              <w:bottom w:w="80" w:type="dxa"/>
              <w:end w:w="100" w:type="dxa"/>
            </w:tcMar>
            <w:vAlign w:val="top"/>
          </w:tcPr>
          <w:p>
            <w:r>
              <w:rPr>
                <w:b/>
                <w:sz w:val="16"/>
              </w:rPr>
              <w:t>antecedent</w:t>
            </w:r>
          </w:p>
        </w:tc>
        <w:tc>
          <w:tcPr>
            <w:tcW w:type="dxa" w:w="3331"/>
            <w:tcMar>
              <w:top w:w="80" w:type="dxa"/>
              <w:start w:w="100" w:type="dxa"/>
              <w:bottom w:w="80" w:type="dxa"/>
              <w:end w:w="100" w:type="dxa"/>
            </w:tcMar>
            <w:vAlign w:val="top"/>
          </w:tcPr>
          <w:p>
            <w:r>
              <w:rPr>
                <w:sz w:val="16"/>
              </w:rPr>
              <w:t>8</w:t>
            </w:r>
          </w:p>
        </w:tc>
        <w:tc>
          <w:tcPr>
            <w:tcW w:type="dxa" w:w="3331"/>
            <w:tcMar>
              <w:top w:w="80" w:type="dxa"/>
              <w:start w:w="100" w:type="dxa"/>
              <w:bottom w:w="80" w:type="dxa"/>
              <w:end w:w="100" w:type="dxa"/>
            </w:tcMar>
            <w:vAlign w:val="top"/>
          </w:tcPr>
          <w:p>
            <w:r>
              <w:rPr>
                <w:sz w:val="16"/>
              </w:rPr>
              <w:t>Periplus, южноаравийская эпиграфика, ранние входящие текстовые слои</w:t>
            </w:r>
          </w:p>
        </w:tc>
      </w:tr>
      <w:tr>
        <w:tc>
          <w:tcPr>
            <w:tcW w:type="dxa" w:w="3331"/>
            <w:tcMar>
              <w:top w:w="80" w:type="dxa"/>
              <w:start w:w="100" w:type="dxa"/>
              <w:bottom w:w="80" w:type="dxa"/>
              <w:end w:w="100" w:type="dxa"/>
            </w:tcMar>
            <w:vAlign w:val="top"/>
          </w:tcPr>
          <w:p>
            <w:r>
              <w:rPr>
                <w:b/>
                <w:sz w:val="16"/>
              </w:rPr>
              <w:t>same_corpus_or_tradition</w:t>
            </w:r>
          </w:p>
        </w:tc>
        <w:tc>
          <w:tcPr>
            <w:tcW w:type="dxa" w:w="3331"/>
            <w:tcMar>
              <w:top w:w="80" w:type="dxa"/>
              <w:start w:w="100" w:type="dxa"/>
              <w:bottom w:w="80" w:type="dxa"/>
              <w:end w:w="100" w:type="dxa"/>
            </w:tcMar>
            <w:vAlign w:val="top"/>
          </w:tcPr>
          <w:p>
            <w:r>
              <w:rPr>
                <w:sz w:val="16"/>
              </w:rPr>
              <w:t>9</w:t>
            </w:r>
          </w:p>
        </w:tc>
        <w:tc>
          <w:tcPr>
            <w:tcW w:type="dxa" w:w="3331"/>
            <w:tcMar>
              <w:top w:w="80" w:type="dxa"/>
              <w:start w:w="100" w:type="dxa"/>
              <w:bottom w:w="80" w:type="dxa"/>
              <w:end w:w="100" w:type="dxa"/>
            </w:tcMar>
            <w:vAlign w:val="top"/>
          </w:tcPr>
          <w:p>
            <w:r>
              <w:rPr>
                <w:sz w:val="16"/>
              </w:rPr>
              <w:t>Enoch, Jubilees, Ascension, 4 Baruch, Didascalia</w:t>
            </w:r>
          </w:p>
        </w:tc>
      </w:tr>
      <w:tr>
        <w:tc>
          <w:tcPr>
            <w:tcW w:type="dxa" w:w="3331"/>
            <w:tcMar>
              <w:top w:w="80" w:type="dxa"/>
              <w:start w:w="100" w:type="dxa"/>
              <w:bottom w:w="80" w:type="dxa"/>
              <w:end w:w="100" w:type="dxa"/>
            </w:tcMar>
            <w:vAlign w:val="top"/>
          </w:tcPr>
          <w:p>
            <w:r>
              <w:rPr>
                <w:b/>
                <w:sz w:val="16"/>
              </w:rPr>
              <w:t>continuation</w:t>
            </w:r>
          </w:p>
        </w:tc>
        <w:tc>
          <w:tcPr>
            <w:tcW w:type="dxa" w:w="3331"/>
            <w:tcMar>
              <w:top w:w="80" w:type="dxa"/>
              <w:start w:w="100" w:type="dxa"/>
              <w:bottom w:w="80" w:type="dxa"/>
              <w:end w:w="100" w:type="dxa"/>
            </w:tcMar>
            <w:vAlign w:val="top"/>
          </w:tcPr>
          <w:p>
            <w:r>
              <w:rPr>
                <w:sz w:val="16"/>
              </w:rPr>
              <w:t>10</w:t>
            </w:r>
          </w:p>
        </w:tc>
        <w:tc>
          <w:tcPr>
            <w:tcW w:type="dxa" w:w="3331"/>
            <w:tcMar>
              <w:top w:w="80" w:type="dxa"/>
              <w:start w:w="100" w:type="dxa"/>
              <w:bottom w:w="80" w:type="dxa"/>
              <w:end w:w="100" w:type="dxa"/>
            </w:tcMar>
            <w:vAlign w:val="top"/>
          </w:tcPr>
          <w:p>
            <w:r>
              <w:rPr>
                <w:sz w:val="16"/>
              </w:rPr>
              <w:t>Kaleb/Abraha, Najran/Himyar, Procopius, Fǝtḥa Nägäśt</w:t>
            </w:r>
          </w:p>
        </w:tc>
      </w:tr>
      <w:tr>
        <w:tc>
          <w:tcPr>
            <w:tcW w:type="dxa" w:w="3331"/>
            <w:tcMar>
              <w:top w:w="80" w:type="dxa"/>
              <w:start w:w="100" w:type="dxa"/>
              <w:bottom w:w="80" w:type="dxa"/>
              <w:end w:w="100" w:type="dxa"/>
            </w:tcMar>
            <w:vAlign w:val="top"/>
          </w:tcPr>
          <w:p>
            <w:r>
              <w:rPr>
                <w:b/>
                <w:sz w:val="16"/>
              </w:rPr>
              <w:t>transmission_or_preservation</w:t>
            </w:r>
          </w:p>
        </w:tc>
        <w:tc>
          <w:tcPr>
            <w:tcW w:type="dxa" w:w="3331"/>
            <w:tcMar>
              <w:top w:w="80" w:type="dxa"/>
              <w:start w:w="100" w:type="dxa"/>
              <w:bottom w:w="80" w:type="dxa"/>
              <w:end w:w="100" w:type="dxa"/>
            </w:tcMar>
            <w:vAlign w:val="top"/>
          </w:tcPr>
          <w:p>
            <w:r>
              <w:rPr>
                <w:sz w:val="16"/>
              </w:rPr>
              <w:t>13</w:t>
            </w:r>
          </w:p>
        </w:tc>
        <w:tc>
          <w:tcPr>
            <w:tcW w:type="dxa" w:w="3331"/>
            <w:tcMar>
              <w:top w:w="80" w:type="dxa"/>
              <w:start w:w="100" w:type="dxa"/>
              <w:bottom w:w="80" w:type="dxa"/>
              <w:end w:w="100" w:type="dxa"/>
            </w:tcMar>
            <w:vAlign w:val="top"/>
          </w:tcPr>
          <w:p>
            <w:r>
              <w:rPr>
                <w:sz w:val="16"/>
              </w:rPr>
              <w:t>Cosmas/Monumentum, Frumentius testimonia, Garima marginalia</w:t>
            </w:r>
          </w:p>
        </w:tc>
      </w:tr>
      <w:tr>
        <w:tc>
          <w:tcPr>
            <w:tcW w:type="dxa" w:w="3331"/>
            <w:tcMar>
              <w:top w:w="80" w:type="dxa"/>
              <w:start w:w="100" w:type="dxa"/>
              <w:bottom w:w="80" w:type="dxa"/>
              <w:end w:w="100" w:type="dxa"/>
            </w:tcMar>
            <w:vAlign w:val="top"/>
          </w:tcPr>
          <w:p>
            <w:r>
              <w:rPr>
                <w:b/>
                <w:sz w:val="16"/>
              </w:rPr>
              <w:t>commentary_or_reception</w:t>
            </w:r>
          </w:p>
        </w:tc>
        <w:tc>
          <w:tcPr>
            <w:tcW w:type="dxa" w:w="3331"/>
            <w:tcMar>
              <w:top w:w="80" w:type="dxa"/>
              <w:start w:w="100" w:type="dxa"/>
              <w:bottom w:w="80" w:type="dxa"/>
              <w:end w:w="100" w:type="dxa"/>
            </w:tcMar>
            <w:vAlign w:val="top"/>
          </w:tcPr>
          <w:p>
            <w:r>
              <w:rPr>
                <w:sz w:val="16"/>
              </w:rPr>
              <w:t>3</w:t>
            </w:r>
          </w:p>
        </w:tc>
        <w:tc>
          <w:tcPr>
            <w:tcW w:type="dxa" w:w="3331"/>
            <w:tcMar>
              <w:top w:w="80" w:type="dxa"/>
              <w:start w:w="100" w:type="dxa"/>
              <w:bottom w:w="80" w:type="dxa"/>
              <w:end w:w="100" w:type="dxa"/>
            </w:tcMar>
            <w:vAlign w:val="top"/>
          </w:tcPr>
          <w:p>
            <w:r>
              <w:rPr>
                <w:sz w:val="16"/>
              </w:rPr>
              <w:t>Kǝbrä Nägäśt и Homily/late reception</w:t>
            </w:r>
          </w:p>
        </w:tc>
      </w:tr>
      <w:tr>
        <w:tc>
          <w:tcPr>
            <w:tcW w:type="dxa" w:w="3331"/>
            <w:tcMar>
              <w:top w:w="80" w:type="dxa"/>
              <w:start w:w="100" w:type="dxa"/>
              <w:bottom w:w="80" w:type="dxa"/>
              <w:end w:w="100" w:type="dxa"/>
            </w:tcMar>
            <w:vAlign w:val="top"/>
          </w:tcPr>
          <w:p>
            <w:r>
              <w:rPr>
                <w:b/>
                <w:sz w:val="16"/>
              </w:rPr>
              <w:t>supporting / boundary / infrastructure / navigation</w:t>
            </w:r>
          </w:p>
        </w:tc>
        <w:tc>
          <w:tcPr>
            <w:tcW w:type="dxa" w:w="3331"/>
            <w:tcMar>
              <w:top w:w="80" w:type="dxa"/>
              <w:start w:w="100" w:type="dxa"/>
              <w:bottom w:w="80" w:type="dxa"/>
              <w:end w:w="100" w:type="dxa"/>
            </w:tcMar>
            <w:vAlign w:val="top"/>
          </w:tcPr>
          <w:p>
            <w:r>
              <w:rPr>
                <w:sz w:val="16"/>
              </w:rPr>
              <w:t>12</w:t>
            </w:r>
          </w:p>
        </w:tc>
        <w:tc>
          <w:tcPr>
            <w:tcW w:type="dxa" w:w="3331"/>
            <w:tcMar>
              <w:top w:w="80" w:type="dxa"/>
              <w:start w:w="100" w:type="dxa"/>
              <w:bottom w:w="80" w:type="dxa"/>
              <w:end w:w="100" w:type="dxa"/>
            </w:tcMar>
            <w:vAlign w:val="top"/>
          </w:tcPr>
          <w:p>
            <w:r>
              <w:rPr>
                <w:sz w:val="16"/>
              </w:rPr>
              <w:t>контекст, APIs, repositories и минимальная discovery layer</w:t>
            </w:r>
          </w:p>
        </w:tc>
      </w:tr>
    </w:tbl>
    <w:p>
      <w:pPr>
        <w:pStyle w:val="Heading1"/>
      </w:pPr>
      <w:r>
        <w:t>3. Лучшие пути доступа</w:t>
      </w:r>
    </w:p>
    <w:p>
      <w:r>
        <w:t>Ниже — практическая карта лучших путей. В скобках указаны record_id листа registry. «Лучший» означает сочетание полноты, законности, научной ценности и пригодности для ToS, а не обязательно максимальную открытость.</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64E63"/>
            <w:tcMar>
              <w:top w:w="80" w:type="dxa"/>
              <w:start w:w="100" w:type="dxa"/>
              <w:bottom w:w="80" w:type="dxa"/>
              <w:end w:w="100" w:type="dxa"/>
            </w:tcMar>
          </w:tcPr>
          <w:p>
            <w:pPr>
              <w:jc w:val="center"/>
            </w:pPr>
            <w:r>
              <w:rPr>
                <w:b/>
                <w:color w:val="FFFFFF"/>
                <w:sz w:val="17"/>
              </w:rPr>
              <w:t>Объект / группа</w:t>
            </w:r>
          </w:p>
        </w:tc>
        <w:tc>
          <w:tcPr>
            <w:tcW w:type="dxa" w:w="3331"/>
            <w:shd w:fill="164E63"/>
            <w:tcMar>
              <w:top w:w="80" w:type="dxa"/>
              <w:start w:w="100" w:type="dxa"/>
              <w:bottom w:w="80" w:type="dxa"/>
              <w:end w:w="100" w:type="dxa"/>
            </w:tcMar>
          </w:tcPr>
          <w:p>
            <w:pPr>
              <w:jc w:val="center"/>
            </w:pPr>
            <w:r>
              <w:rPr>
                <w:b/>
                <w:color w:val="FFFFFF"/>
                <w:sz w:val="17"/>
              </w:rPr>
              <w:t>Лучшие маршруты</w:t>
            </w:r>
          </w:p>
        </w:tc>
        <w:tc>
          <w:tcPr>
            <w:tcW w:type="dxa" w:w="3331"/>
            <w:shd w:fill="164E63"/>
            <w:tcMar>
              <w:top w:w="80" w:type="dxa"/>
              <w:start w:w="100" w:type="dxa"/>
              <w:bottom w:w="80" w:type="dxa"/>
              <w:end w:w="100" w:type="dxa"/>
            </w:tcMar>
          </w:tcPr>
          <w:p>
            <w:pPr>
              <w:jc w:val="center"/>
            </w:pPr>
            <w:r>
              <w:rPr>
                <w:b/>
                <w:color w:val="FFFFFF"/>
                <w:sz w:val="17"/>
              </w:rPr>
              <w:t>Практический вывод для ToS</w:t>
            </w:r>
          </w:p>
        </w:tc>
      </w:tr>
      <w:tr>
        <w:tc>
          <w:tcPr>
            <w:tcW w:type="dxa" w:w="3331"/>
            <w:vAlign w:val="top"/>
            <w:tcMar>
              <w:top w:w="80" w:type="dxa"/>
              <w:start w:w="100" w:type="dxa"/>
              <w:bottom w:w="80" w:type="dxa"/>
              <w:end w:w="100" w:type="dxa"/>
            </w:tcMar>
          </w:tcPr>
          <w:p>
            <w:pPr>
              <w:spacing w:after="0"/>
            </w:pPr>
            <w:r>
              <w:rPr>
                <w:b/>
                <w:sz w:val="15"/>
              </w:rPr>
              <w:t>Царские надписи / Эзана</w:t>
            </w:r>
          </w:p>
        </w:tc>
        <w:tc>
          <w:tcPr>
            <w:tcW w:type="dxa" w:w="3331"/>
            <w:vAlign w:val="top"/>
            <w:tcMar>
              <w:top w:w="80" w:type="dxa"/>
              <w:start w:w="100" w:type="dxa"/>
              <w:bottom w:w="80" w:type="dxa"/>
              <w:end w:w="100" w:type="dxa"/>
            </w:tcMar>
          </w:tcPr>
          <w:p>
            <w:pPr>
              <w:spacing w:after="0"/>
            </w:pPr>
            <w:r>
              <w:rPr>
                <w:sz w:val="15"/>
              </w:rPr>
              <w:t>Бесплатно и с facsimile: DAE IV, 1913 (A39-R010). Современный контроль: RIÉ III-B purchase/library (A39-R008–R009). Узкая modern interpretation: Black (A39-R013–R014). Machine-readable: Beta DTS (A39-R016).</w:t>
            </w:r>
          </w:p>
        </w:tc>
        <w:tc>
          <w:tcPr>
            <w:tcW w:type="dxa" w:w="3331"/>
            <w:vAlign w:val="top"/>
            <w:tcMar>
              <w:top w:w="80" w:type="dxa"/>
              <w:start w:w="100" w:type="dxa"/>
              <w:bottom w:w="80" w:type="dxa"/>
              <w:end w:w="100" w:type="dxa"/>
            </w:tcMar>
          </w:tcPr>
          <w:p>
            <w:pPr>
              <w:spacing w:after="0"/>
            </w:pPr>
            <w:r>
              <w:rPr>
                <w:sz w:val="15"/>
              </w:rPr>
              <w:t>Для OCR, индекса и собственного перевода начинать с DAE IV; чтения обязательно сверять с RIÉ. Beta DTS импортировать только после live-проверки.</w:t>
            </w:r>
          </w:p>
        </w:tc>
      </w:tr>
      <w:tr>
        <w:tc>
          <w:tcPr>
            <w:tcW w:type="dxa" w:w="3331"/>
            <w:vAlign w:val="top"/>
            <w:tcMar>
              <w:top w:w="80" w:type="dxa"/>
              <w:start w:w="100" w:type="dxa"/>
              <w:bottom w:w="80" w:type="dxa"/>
              <w:end w:w="100" w:type="dxa"/>
            </w:tcMar>
          </w:tcPr>
          <w:p>
            <w:pPr>
              <w:spacing w:after="0"/>
            </w:pPr>
            <w:r>
              <w:rPr>
                <w:b/>
                <w:sz w:val="15"/>
              </w:rPr>
              <w:t>Garima Gospels</w:t>
            </w:r>
          </w:p>
        </w:tc>
        <w:tc>
          <w:tcPr>
            <w:tcW w:type="dxa" w:w="3331"/>
            <w:vAlign w:val="top"/>
            <w:tcMar>
              <w:top w:w="80" w:type="dxa"/>
              <w:start w:w="100" w:type="dxa"/>
              <w:bottom w:w="80" w:type="dxa"/>
              <w:end w:w="100" w:type="dxa"/>
            </w:tcMar>
          </w:tcPr>
          <w:p>
            <w:pPr>
              <w:spacing w:after="0"/>
            </w:pPr>
            <w:r>
              <w:rPr>
                <w:sz w:val="15"/>
              </w:rPr>
              <w:t>Item-level facsimiles after free registration: AG 00001 и AG 00002 (A39-R025–R026). Metadata/TEI: Beta record (A39-R028). Лучший modern visual study: McKenzie–Watson (A39-R030–R031). Fresh orthography: 2026 Cambridge article (A39-R029).</w:t>
            </w:r>
          </w:p>
        </w:tc>
        <w:tc>
          <w:tcPr>
            <w:tcW w:type="dxa" w:w="3331"/>
            <w:vAlign w:val="top"/>
            <w:tcMar>
              <w:top w:w="80" w:type="dxa"/>
              <w:start w:w="100" w:type="dxa"/>
              <w:bottom w:w="80" w:type="dxa"/>
              <w:end w:w="100" w:type="dxa"/>
            </w:tcMar>
          </w:tcPr>
          <w:p>
            <w:pPr>
              <w:spacing w:after="0"/>
            </w:pPr>
            <w:r>
              <w:rPr>
                <w:sz w:val="15"/>
              </w:rPr>
              <w:t>HMML изображения — для research/linking; не зеркалировать без разрешения. Открытая marginalia article (A39-R033) пригодна для controlled reuse.</w:t>
            </w:r>
          </w:p>
        </w:tc>
      </w:tr>
      <w:tr>
        <w:tc>
          <w:tcPr>
            <w:tcW w:type="dxa" w:w="3331"/>
            <w:vAlign w:val="top"/>
            <w:tcMar>
              <w:top w:w="80" w:type="dxa"/>
              <w:start w:w="100" w:type="dxa"/>
              <w:bottom w:w="80" w:type="dxa"/>
              <w:end w:w="100" w:type="dxa"/>
            </w:tcMar>
          </w:tcPr>
          <w:p>
            <w:pPr>
              <w:spacing w:after="0"/>
            </w:pPr>
            <w:r>
              <w:rPr>
                <w:b/>
                <w:sz w:val="15"/>
              </w:rPr>
              <w:t>Aksumite Collection / Codex Σ</w:t>
            </w:r>
          </w:p>
        </w:tc>
        <w:tc>
          <w:tcPr>
            <w:tcW w:type="dxa" w:w="3331"/>
            <w:vAlign w:val="top"/>
            <w:tcMar>
              <w:top w:w="80" w:type="dxa"/>
              <w:start w:w="100" w:type="dxa"/>
              <w:bottom w:w="80" w:type="dxa"/>
              <w:end w:w="100" w:type="dxa"/>
            </w:tcMar>
          </w:tcPr>
          <w:p>
            <w:pPr>
              <w:spacing w:after="0"/>
            </w:pPr>
            <w:r>
              <w:rPr>
                <w:sz w:val="15"/>
              </w:rPr>
              <w:t>Corpus identity: CAe 1047 (A39-R034). Machine-readable inventory: raw TEI (A39-R035). Лучшие OA studies: codicology CC BY (A39-R036) и Kervan CC BY (A39-R037). Homily on the One Judge — protected (A39-R038).</w:t>
            </w:r>
          </w:p>
        </w:tc>
        <w:tc>
          <w:tcPr>
            <w:tcW w:type="dxa" w:w="3331"/>
            <w:vAlign w:val="top"/>
            <w:tcMar>
              <w:top w:w="80" w:type="dxa"/>
              <w:start w:w="100" w:type="dxa"/>
              <w:bottom w:w="80" w:type="dxa"/>
              <w:end w:w="100" w:type="dxa"/>
            </w:tcMar>
          </w:tcPr>
          <w:p>
            <w:pPr>
              <w:spacing w:after="0"/>
            </w:pPr>
            <w:r>
              <w:rPr>
                <w:sz w:val="15"/>
              </w:rPr>
              <w:t>Metadata and scholarship well covered; full codex facsimile/text remains the central gap. Не объявлять CAe record полной edition.</w:t>
            </w:r>
          </w:p>
        </w:tc>
      </w:tr>
      <w:tr>
        <w:tc>
          <w:tcPr>
            <w:tcW w:type="dxa" w:w="3331"/>
            <w:vAlign w:val="top"/>
            <w:tcMar>
              <w:top w:w="80" w:type="dxa"/>
              <w:start w:w="100" w:type="dxa"/>
              <w:bottom w:w="80" w:type="dxa"/>
              <w:end w:w="100" w:type="dxa"/>
            </w:tcMar>
          </w:tcPr>
          <w:p>
            <w:pPr>
              <w:spacing w:after="0"/>
            </w:pPr>
            <w:r>
              <w:rPr>
                <w:b/>
                <w:sz w:val="15"/>
              </w:rPr>
              <w:t>Periplus Maris Erythraei</w:t>
            </w:r>
          </w:p>
        </w:tc>
        <w:tc>
          <w:tcPr>
            <w:tcW w:type="dxa" w:w="3331"/>
            <w:vAlign w:val="top"/>
            <w:tcMar>
              <w:top w:w="80" w:type="dxa"/>
              <w:start w:w="100" w:type="dxa"/>
              <w:bottom w:w="80" w:type="dxa"/>
              <w:end w:w="100" w:type="dxa"/>
            </w:tcMar>
          </w:tcPr>
          <w:p>
            <w:pPr>
              <w:spacing w:after="0"/>
            </w:pPr>
            <w:r>
              <w:rPr>
                <w:sz w:val="15"/>
              </w:rPr>
              <w:t>Full free translations: Project Gutenberg McCrindle (A39-R039), IA Schoff (A39-R040), UW read-only (A39-R041). Best mapping: ToposText (A39-R042). Best modern edition: Casson JSTOR/CDL (A39-R044–R045).</w:t>
            </w:r>
          </w:p>
        </w:tc>
        <w:tc>
          <w:tcPr>
            <w:tcW w:type="dxa" w:w="3331"/>
            <w:vAlign w:val="top"/>
            <w:tcMar>
              <w:top w:w="80" w:type="dxa"/>
              <w:start w:w="100" w:type="dxa"/>
              <w:bottom w:w="80" w:type="dxa"/>
              <w:end w:w="100" w:type="dxa"/>
            </w:tcMar>
          </w:tcPr>
          <w:p>
            <w:pPr>
              <w:spacing w:after="0"/>
            </w:pPr>
            <w:r>
              <w:rPr>
                <w:sz w:val="15"/>
              </w:rPr>
              <w:t>PG/old scans are the free layer; modern Casson is scholarly control. CTS record (A39-R043) supports durable identification, not full-text rights.</w:t>
            </w:r>
          </w:p>
        </w:tc>
      </w:tr>
      <w:tr>
        <w:tc>
          <w:tcPr>
            <w:tcW w:type="dxa" w:w="3331"/>
            <w:vAlign w:val="top"/>
            <w:tcMar>
              <w:top w:w="80" w:type="dxa"/>
              <w:start w:w="100" w:type="dxa"/>
              <w:bottom w:w="80" w:type="dxa"/>
              <w:end w:w="100" w:type="dxa"/>
            </w:tcMar>
          </w:tcPr>
          <w:p>
            <w:pPr>
              <w:spacing w:after="0"/>
            </w:pPr>
            <w:r>
              <w:rPr>
                <w:b/>
                <w:sz w:val="15"/>
              </w:rPr>
              <w:t>Cosmas / Monumentum Adulitanum</w:t>
            </w:r>
          </w:p>
        </w:tc>
        <w:tc>
          <w:tcPr>
            <w:tcW w:type="dxa" w:w="3331"/>
            <w:vAlign w:val="top"/>
            <w:tcMar>
              <w:top w:w="80" w:type="dxa"/>
              <w:start w:w="100" w:type="dxa"/>
              <w:bottom w:w="80" w:type="dxa"/>
              <w:end w:w="100" w:type="dxa"/>
            </w:tcMar>
          </w:tcPr>
          <w:p>
            <w:pPr>
              <w:spacing w:after="0"/>
            </w:pPr>
            <w:r>
              <w:rPr>
                <w:sz w:val="15"/>
              </w:rPr>
              <w:t>Greek base: Winstedt 1909 IA (A39-R047). Old English: McCrindle 1897 IA (A39-R046). Read-only: Tertullian/ToposText (A39-R048–R049). Modern open item-level Monumentum study: A39-R050.</w:t>
            </w:r>
          </w:p>
        </w:tc>
        <w:tc>
          <w:tcPr>
            <w:tcW w:type="dxa" w:w="3331"/>
            <w:vAlign w:val="top"/>
            <w:tcMar>
              <w:top w:w="80" w:type="dxa"/>
              <w:start w:w="100" w:type="dxa"/>
              <w:bottom w:w="80" w:type="dxa"/>
              <w:end w:w="100" w:type="dxa"/>
            </w:tcMar>
          </w:tcPr>
          <w:p>
            <w:pPr>
              <w:spacing w:after="0"/>
            </w:pPr>
            <w:r>
              <w:rPr>
                <w:sz w:val="15"/>
              </w:rPr>
              <w:t>Для собственного перевода использовать Greek public-domain edition; современную CC BY-NC-SA статью можно reuse noncommercially with SA and attribution.</w:t>
            </w:r>
          </w:p>
        </w:tc>
      </w:tr>
      <w:tr>
        <w:tc>
          <w:tcPr>
            <w:tcW w:type="dxa" w:w="3331"/>
            <w:vAlign w:val="top"/>
            <w:tcMar>
              <w:top w:w="80" w:type="dxa"/>
              <w:start w:w="100" w:type="dxa"/>
              <w:bottom w:w="80" w:type="dxa"/>
              <w:end w:w="100" w:type="dxa"/>
            </w:tcMar>
          </w:tcPr>
          <w:p>
            <w:pPr>
              <w:spacing w:after="0"/>
            </w:pPr>
            <w:r>
              <w:rPr>
                <w:b/>
                <w:sz w:val="15"/>
              </w:rPr>
              <w:t>Фрументий и Alexandria</w:t>
            </w:r>
          </w:p>
        </w:tc>
        <w:tc>
          <w:tcPr>
            <w:tcW w:type="dxa" w:w="3331"/>
            <w:vAlign w:val="top"/>
            <w:tcMar>
              <w:top w:w="80" w:type="dxa"/>
              <w:start w:w="100" w:type="dxa"/>
              <w:bottom w:w="80" w:type="dxa"/>
              <w:end w:w="100" w:type="dxa"/>
            </w:tcMar>
          </w:tcPr>
          <w:p>
            <w:pPr>
              <w:spacing w:after="0"/>
            </w:pPr>
            <w:r>
              <w:rPr>
                <w:sz w:val="15"/>
              </w:rPr>
              <w:t>Athanasius, Socrates, Sozomen and Theodoret chapters (A39-R052–R055); Greek Socrates passage at Scaife (A39-R056). DACB only for navigation (A39-R057).</w:t>
            </w:r>
          </w:p>
        </w:tc>
        <w:tc>
          <w:tcPr>
            <w:tcW w:type="dxa" w:w="3331"/>
            <w:vAlign w:val="top"/>
            <w:tcMar>
              <w:top w:w="80" w:type="dxa"/>
              <w:start w:w="100" w:type="dxa"/>
              <w:bottom w:w="80" w:type="dxa"/>
              <w:end w:w="100" w:type="dxa"/>
            </w:tcMar>
          </w:tcPr>
          <w:p>
            <w:pPr>
              <w:spacing w:after="0"/>
            </w:pPr>
            <w:r>
              <w:rPr>
                <w:sz w:val="15"/>
              </w:rPr>
              <w:t>Web pages mostly link-only. ToS translation should be based on a separately verified Greek text, not scraped site presentation.</w:t>
            </w:r>
          </w:p>
        </w:tc>
      </w:tr>
      <w:tr>
        <w:tc>
          <w:tcPr>
            <w:tcW w:type="dxa" w:w="3331"/>
            <w:vAlign w:val="top"/>
            <w:tcMar>
              <w:top w:w="80" w:type="dxa"/>
              <w:start w:w="100" w:type="dxa"/>
              <w:bottom w:w="80" w:type="dxa"/>
              <w:end w:w="100" w:type="dxa"/>
            </w:tcMar>
          </w:tcPr>
          <w:p>
            <w:pPr>
              <w:spacing w:after="0"/>
            </w:pPr>
            <w:r>
              <w:rPr>
                <w:b/>
                <w:sz w:val="15"/>
              </w:rPr>
              <w:t>Enoch / Jubilees / Ascension / 4 Baruch</w:t>
            </w:r>
          </w:p>
        </w:tc>
        <w:tc>
          <w:tcPr>
            <w:tcW w:type="dxa" w:w="3331"/>
            <w:vAlign w:val="top"/>
            <w:tcMar>
              <w:top w:w="80" w:type="dxa"/>
              <w:start w:w="100" w:type="dxa"/>
              <w:bottom w:w="80" w:type="dxa"/>
              <w:end w:w="100" w:type="dxa"/>
            </w:tcMar>
          </w:tcPr>
          <w:p>
            <w:pPr>
              <w:spacing w:after="0"/>
            </w:pPr>
            <w:r>
              <w:rPr>
                <w:sz w:val="15"/>
              </w:rPr>
              <w:t>Historical Gǝʿǝz editions: Enoch A39-R058, Jubilees PDM A39-R060, Ascension A39-R063, 4 Baruch A39-R064. Old English companions: A39-R059 and R061. Modern Jubilees control: R062.</w:t>
            </w:r>
          </w:p>
        </w:tc>
        <w:tc>
          <w:tcPr>
            <w:tcW w:type="dxa" w:w="3331"/>
            <w:vAlign w:val="top"/>
            <w:tcMar>
              <w:top w:w="80" w:type="dxa"/>
              <w:start w:w="100" w:type="dxa"/>
              <w:bottom w:w="80" w:type="dxa"/>
              <w:end w:w="100" w:type="dxa"/>
            </w:tcMar>
          </w:tcPr>
          <w:p>
            <w:pPr>
              <w:spacing w:after="0"/>
            </w:pPr>
            <w:r>
              <w:rPr>
                <w:sz w:val="15"/>
              </w:rPr>
              <w:t>Jubilees 1895 is the cleanest explicit PDM basis. Other IA scans need jurisdictional review and modern textual collation.</w:t>
            </w:r>
          </w:p>
        </w:tc>
      </w:tr>
      <w:tr>
        <w:tc>
          <w:tcPr>
            <w:tcW w:type="dxa" w:w="3331"/>
            <w:vAlign w:val="top"/>
            <w:tcMar>
              <w:top w:w="80" w:type="dxa"/>
              <w:start w:w="100" w:type="dxa"/>
              <w:bottom w:w="80" w:type="dxa"/>
              <w:end w:w="100" w:type="dxa"/>
            </w:tcMar>
          </w:tcPr>
          <w:p>
            <w:pPr>
              <w:spacing w:after="0"/>
            </w:pPr>
            <w:r>
              <w:rPr>
                <w:b/>
                <w:sz w:val="15"/>
              </w:rPr>
              <w:t>Aksum–Himyar / Najran</w:t>
            </w:r>
          </w:p>
        </w:tc>
        <w:tc>
          <w:tcPr>
            <w:tcW w:type="dxa" w:w="3331"/>
            <w:vAlign w:val="top"/>
            <w:tcMar>
              <w:top w:w="80" w:type="dxa"/>
              <w:start w:w="100" w:type="dxa"/>
              <w:bottom w:w="80" w:type="dxa"/>
              <w:end w:w="100" w:type="dxa"/>
            </w:tcMar>
          </w:tcPr>
          <w:p>
            <w:pPr>
              <w:spacing w:after="0"/>
            </w:pPr>
            <w:r>
              <w:rPr>
                <w:sz w:val="15"/>
              </w:rPr>
              <w:t>South Arabian records: Ry 507 and CIH 541 (A39-R017–R018). Syriac narrative: Book of Himyarites (R067). Arethas discovery dataset CC0 (R068). Procopius: PG/Scaife/LacusCurtius (R069–R071).</w:t>
            </w:r>
          </w:p>
        </w:tc>
        <w:tc>
          <w:tcPr>
            <w:tcW w:type="dxa" w:w="3331"/>
            <w:vAlign w:val="top"/>
            <w:tcMar>
              <w:top w:w="80" w:type="dxa"/>
              <w:start w:w="100" w:type="dxa"/>
              <w:bottom w:w="80" w:type="dxa"/>
              <w:end w:w="100" w:type="dxa"/>
            </w:tcMar>
          </w:tcPr>
          <w:p>
            <w:pPr>
              <w:spacing w:after="0"/>
            </w:pPr>
            <w:r>
              <w:rPr>
                <w:sz w:val="15"/>
              </w:rPr>
              <w:t>DASI record data are open, images are not. Arethas CC0 row is metadata only; full critical text still missing.</w:t>
            </w:r>
          </w:p>
        </w:tc>
      </w:tr>
      <w:tr>
        <w:tc>
          <w:tcPr>
            <w:tcW w:type="dxa" w:w="3331"/>
            <w:vAlign w:val="top"/>
            <w:tcMar>
              <w:top w:w="80" w:type="dxa"/>
              <w:start w:w="100" w:type="dxa"/>
              <w:bottom w:w="80" w:type="dxa"/>
              <w:end w:w="100" w:type="dxa"/>
            </w:tcMar>
          </w:tcPr>
          <w:p>
            <w:pPr>
              <w:spacing w:after="0"/>
            </w:pPr>
            <w:r>
              <w:rPr>
                <w:b/>
                <w:sz w:val="15"/>
              </w:rPr>
              <w:t>Поздняя royal/canon reception</w:t>
            </w:r>
          </w:p>
        </w:tc>
        <w:tc>
          <w:tcPr>
            <w:tcW w:type="dxa" w:w="3331"/>
            <w:vAlign w:val="top"/>
            <w:tcMar>
              <w:top w:w="80" w:type="dxa"/>
              <w:start w:w="100" w:type="dxa"/>
              <w:bottom w:w="80" w:type="dxa"/>
              <w:end w:w="100" w:type="dxa"/>
            </w:tcMar>
          </w:tcPr>
          <w:p>
            <w:pPr>
              <w:spacing w:after="0"/>
            </w:pPr>
            <w:r>
              <w:rPr>
                <w:sz w:val="15"/>
              </w:rPr>
              <w:t>Kǝbrä Nägäśt old translation and modern borrow (A39-R072–R073). Fǝtḥa Nägäśt reader and English library route (R074–R075). Book of Mystery modern purchase (R076).</w:t>
            </w:r>
          </w:p>
        </w:tc>
        <w:tc>
          <w:tcPr>
            <w:tcW w:type="dxa" w:w="3331"/>
            <w:vAlign w:val="top"/>
            <w:tcMar>
              <w:top w:w="80" w:type="dxa"/>
              <w:start w:w="100" w:type="dxa"/>
              <w:bottom w:w="80" w:type="dxa"/>
              <w:end w:w="100" w:type="dxa"/>
            </w:tcMar>
          </w:tcPr>
          <w:p>
            <w:pPr>
              <w:spacing w:after="0"/>
            </w:pPr>
            <w:r>
              <w:rPr>
                <w:sz w:val="15"/>
              </w:rPr>
              <w:t>Keep outside-period labels explicit: reception, continuation or boundary. Do not use protected modern translations as open source text.</w:t>
            </w:r>
          </w:p>
        </w:tc>
      </w:tr>
    </w:tbl>
    <w:p>
      <w:pPr>
        <w:spacing w:after="0"/>
      </w:pPr>
    </w:p>
    <w:p>
      <w:pPr>
        <w:pStyle w:val="Heading2"/>
      </w:pPr>
      <w:r>
        <w:t>3.1. Наиболее свободные варианты по лицензии</w:t>
      </w:r>
    </w:p>
    <w:p>
      <w:pPr>
        <w:pStyle w:val="ListBullet"/>
        <w:spacing w:after="50"/>
      </w:pPr>
      <w:r>
        <w:t>DAE IV (A39-R010) и Ethiopic Jubilees 1895 (A39-R060): item marked Public Domain Mark; возможны зеркало, OCR, полнотекстовый индекс и embeddings within the recorded object.</w:t>
      </w:r>
    </w:p>
    <w:p>
      <w:pPr>
        <w:pStyle w:val="ListBullet"/>
        <w:spacing w:after="50"/>
      </w:pPr>
      <w:r>
        <w:t>Beta maṣāḥǝft data (A39-R001–R004, R016, R035): CC BY-SA 4.0 default; attribution + ShareAlike; проверить file-level exceptions.</w:t>
      </w:r>
    </w:p>
    <w:p>
      <w:pPr>
        <w:pStyle w:val="ListBullet"/>
        <w:spacing w:after="50"/>
      </w:pPr>
      <w:r>
        <w:t>Aksumite Collection codicology article and Betä Sämaʿtiʾ excavation article (A39-R036, R021): CC BY 4.0, with third-party figure caveats.</w:t>
      </w:r>
    </w:p>
    <w:p>
      <w:pPr>
        <w:pStyle w:val="ListBullet"/>
        <w:spacing w:after="50"/>
      </w:pPr>
      <w:r>
        <w:t>Monumentum Adulitanum II and Garima review (A39-R050, R032): CC BY-NC-SA 4.0 — useful for noncommercial ToS, but NC and SA must be preserved.</w:t>
      </w:r>
    </w:p>
    <w:p>
      <w:pPr>
        <w:pStyle w:val="ListBullet"/>
        <w:spacing w:after="50"/>
      </w:pPr>
      <w:r>
        <w:t>Martyrdom of Arethas discovery record (A39-R068): CC0, но coverage — metadata/reference only, не full text.</w:t>
      </w:r>
    </w:p>
    <w:p>
      <w:pPr>
        <w:pStyle w:val="Heading1"/>
      </w:pPr>
      <w:r>
        <w:t>4. Карта прав и практического использования</w:t>
      </w:r>
    </w:p>
    <w:p>
      <w:r>
        <w:t>Каждая из 76 строк допускает внешний LINK_OK. Но только 3 строки имеют безусловный по item statement MIRROR_OK, 18 — MIRROR_WITH_ATTRIBUTION, 5 — MIRROR_NONCOMMERCIAL; 50 строк сохраняют RIGHTS_REVIEW_REQUIRED. Эти числа считаются по access records, а не по произведениям, и не означают автоматического разрешения на весь corpus.</w:t>
      </w:r>
    </w:p>
    <w:p>
      <w:pPr>
        <w:pStyle w:val="Heading2"/>
      </w:pPr>
      <w:r>
        <w:t>4.1. Что можно потенциально зеркалировать</w:t>
      </w:r>
    </w:p>
    <w:p>
      <w:pPr>
        <w:pStyle w:val="ListBullet"/>
        <w:spacing w:after="50"/>
      </w:pPr>
      <w:r>
        <w:t>Explicit PDM/CC0 objects: DAE IV, Jubilees 1895, Oxford Arethas dataset — в пределах именно этих digital objects and coverage.</w:t>
      </w:r>
    </w:p>
    <w:p>
      <w:pPr>
        <w:pStyle w:val="ListBullet"/>
        <w:spacing w:after="50"/>
      </w:pPr>
      <w:r>
        <w:t>CC BY objects: Betä Sämaʿtiʾ excavation article and Aksumite Collection codicology article — с attribution и проверкой third-party figures.</w:t>
      </w:r>
    </w:p>
    <w:p>
      <w:pPr>
        <w:pStyle w:val="ListBullet"/>
        <w:spacing w:after="50"/>
      </w:pPr>
      <w:r>
        <w:t>CC BY-SA / CC BY-NC-SA: Beta data, Garima marginalia, Monumentum study and Aethiopica review — соблюдать attribution, ShareAlike и, где есть, noncommercial limit.</w:t>
      </w:r>
    </w:p>
    <w:p>
      <w:pPr>
        <w:pStyle w:val="ListBullet"/>
        <w:spacing w:after="50"/>
      </w:pPr>
      <w:r>
        <w:t>CCEL electronic Theodoret edition: только неизменённое некоммерческое использование в рамках специальной site licence; лучше ссылаться.</w:t>
      </w:r>
    </w:p>
    <w:p>
      <w:pPr>
        <w:pStyle w:val="Heading2"/>
      </w:pPr>
      <w:r>
        <w:t>4.2. Что доступно только для чтения, выдачи или покупки</w:t>
      </w:r>
    </w:p>
    <w:p>
      <w:pPr>
        <w:pStyle w:val="ListBullet"/>
        <w:spacing w:after="50"/>
      </w:pPr>
      <w:r>
        <w:t>HMML Garima images: free registration/research, but no copying or redistribution without partner authorization.</w:t>
      </w:r>
    </w:p>
    <w:p>
      <w:pPr>
        <w:pStyle w:val="ListBullet"/>
        <w:spacing w:after="50"/>
      </w:pPr>
      <w:r>
        <w:t>Modern RIÉ, Casson Periplus, Garima monograph, Black article, JNES Betä study, modern Jubilees, Fetha English and Book of Mystery: purchase, institutional or library access.</w:t>
      </w:r>
    </w:p>
    <w:p>
      <w:pPr>
        <w:pStyle w:val="ListBullet"/>
        <w:spacing w:after="50"/>
      </w:pPr>
      <w:r>
        <w:t>ToposText, Tertullian.org, New Advent, UW and LacusCurtius: useful free read paths, but no proven public mirror right.</w:t>
      </w:r>
    </w:p>
    <w:p>
      <w:pPr>
        <w:pStyle w:val="ListBullet"/>
        <w:spacing w:after="50"/>
      </w:pPr>
      <w:r>
        <w:t>Internet Archive Books to Borrow for Casson and modern Kebra: controlled lending only.</w:t>
      </w:r>
    </w:p>
    <w:p>
      <w:pPr>
        <w:pStyle w:val="Heading2"/>
      </w:pPr>
      <w:r>
        <w:t>4.3. OCR, индексация и embeddings</w:t>
      </w:r>
    </w:p>
    <w:p>
      <w:r>
        <w:t>OCR_OK и FULLTEXT_INDEX_OK не объединялись. Для public-domain/CC digital objects ToS может хранить local research copy, проводить OCR и строить internal/full-text indexes within scope. Для free-read but protected pages скрейпинг и публикация полного текста не рекомендованы; допустимы metadata, links и ограниченные research notes. Embeddings treated as a derivative computational use: open licences support it, а protected full text требует отдельной legal/contract review.</w:t>
      </w:r>
    </w:p>
    <w:p>
      <w:pPr>
        <w:pStyle w:val="Heading2"/>
      </w:pPr>
      <w:r>
        <w:t>4.4. Собственный перевод ToS</w:t>
      </w:r>
    </w:p>
    <w:p>
      <w:r>
        <w:t>OWN_TRANSLATION_POSSIBLE стоит у 17 access records, но всегда ограничен конкретным текстовым слоем. Наиболее чистые основы:</w:t>
      </w:r>
    </w:p>
    <w:p>
      <w:pPr>
        <w:pStyle w:val="ListBullet"/>
        <w:spacing w:after="50"/>
      </w:pPr>
      <w:r>
        <w:t>DAE IV: public-domain facsimiles и original-language transcriptions of covered inscriptions.</w:t>
      </w:r>
    </w:p>
    <w:p>
      <w:pPr>
        <w:pStyle w:val="ListBullet"/>
        <w:spacing w:after="50"/>
      </w:pPr>
      <w:r>
        <w:t>Beta TEI/DTS: только когда конкретный file/response реально содержит original-language text under CC BY-SA and not mere metadata.</w:t>
      </w:r>
    </w:p>
    <w:p>
      <w:pPr>
        <w:pStyle w:val="ListBullet"/>
        <w:spacing w:after="50"/>
      </w:pPr>
      <w:r>
        <w:t>Winstedt Cosmas Greek 1909, Charles Jubilees Ethiopic 1895 and other old Gǝʿǝz/Greek editions: исторические text bases с обязательной modern collation.</w:t>
      </w:r>
    </w:p>
    <w:p>
      <w:pPr>
        <w:pStyle w:val="ListBullet"/>
        <w:spacing w:after="50"/>
      </w:pPr>
      <w:r>
        <w:t>HMML Garima: факсимиле годится для private research transcription, но public reuse of images/derived text needs partner-rights review.</w:t>
      </w:r>
    </w:p>
    <w:p>
      <w:pPr>
        <w:pStyle w:val="ListBullet"/>
        <w:spacing w:after="50"/>
      </w:pPr>
      <w:r>
        <w:t>Modern protected translations and critical reconstructions — scholarly controls, not clean bases for a freely distributed ToS translation.</w:t>
      </w:r>
    </w:p>
    <w:p>
      <w:pPr>
        <w:pStyle w:val="Heading2"/>
      </w:pPr>
      <w:r>
        <w:t>4.5. Сводная матрица действий</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64E63"/>
          </w:tcPr>
          <w:p>
            <w:r>
              <w:rPr>
                <w:b/>
                <w:color w:val="FFFFFF"/>
              </w:rPr>
              <w:t>Действие</w:t>
            </w:r>
          </w:p>
        </w:tc>
        <w:tc>
          <w:tcPr>
            <w:tcW w:type="dxa" w:w="3331"/>
            <w:shd w:fill="164E63"/>
          </w:tcPr>
          <w:p>
            <w:r>
              <w:rPr>
                <w:b/>
                <w:color w:val="FFFFFF"/>
              </w:rPr>
              <w:t>Охват в registry</w:t>
            </w:r>
          </w:p>
        </w:tc>
        <w:tc>
          <w:tcPr>
            <w:tcW w:type="dxa" w:w="3331"/>
            <w:shd w:fill="164E63"/>
          </w:tcPr>
          <w:p>
            <w:r>
              <w:rPr>
                <w:b/>
                <w:color w:val="FFFFFF"/>
              </w:rPr>
              <w:t>Условие</w:t>
            </w:r>
          </w:p>
        </w:tc>
      </w:tr>
      <w:tr>
        <w:tc>
          <w:tcPr>
            <w:tcW w:type="dxa" w:w="3331"/>
            <w:tcMar>
              <w:top w:w="80" w:type="dxa"/>
              <w:start w:w="100" w:type="dxa"/>
              <w:bottom w:w="80" w:type="dxa"/>
              <w:end w:w="100" w:type="dxa"/>
            </w:tcMar>
            <w:vAlign w:val="top"/>
          </w:tcPr>
          <w:p>
            <w:r>
              <w:rPr>
                <w:b/>
                <w:sz w:val="16"/>
              </w:rPr>
              <w:t>Внешняя ссылка</w:t>
            </w:r>
          </w:p>
        </w:tc>
        <w:tc>
          <w:tcPr>
            <w:tcW w:type="dxa" w:w="3331"/>
            <w:tcMar>
              <w:top w:w="80" w:type="dxa"/>
              <w:start w:w="100" w:type="dxa"/>
              <w:bottom w:w="80" w:type="dxa"/>
              <w:end w:w="100" w:type="dxa"/>
            </w:tcMar>
            <w:vAlign w:val="top"/>
          </w:tcPr>
          <w:p>
            <w:r>
              <w:rPr>
                <w:sz w:val="16"/>
              </w:rPr>
              <w:t>Все 76 records</w:t>
            </w:r>
          </w:p>
        </w:tc>
        <w:tc>
          <w:tcPr>
            <w:tcW w:type="dxa" w:w="3331"/>
            <w:tcMar>
              <w:top w:w="80" w:type="dxa"/>
              <w:start w:w="100" w:type="dxa"/>
              <w:bottom w:w="80" w:type="dxa"/>
              <w:end w:w="100" w:type="dxa"/>
            </w:tcMar>
            <w:vAlign w:val="top"/>
          </w:tcPr>
          <w:p>
            <w:r>
              <w:rPr>
                <w:sz w:val="16"/>
              </w:rPr>
              <w:t>Да, с устойчивым landing_url и корректным описанием доступа.</w:t>
            </w:r>
          </w:p>
        </w:tc>
      </w:tr>
      <w:tr>
        <w:tc>
          <w:tcPr>
            <w:tcW w:type="dxa" w:w="3331"/>
            <w:tcMar>
              <w:top w:w="80" w:type="dxa"/>
              <w:start w:w="100" w:type="dxa"/>
              <w:bottom w:w="80" w:type="dxa"/>
              <w:end w:w="100" w:type="dxa"/>
            </w:tcMar>
            <w:vAlign w:val="top"/>
          </w:tcPr>
          <w:p>
            <w:r>
              <w:rPr>
                <w:b/>
                <w:sz w:val="16"/>
              </w:rPr>
              <w:t>Локальная research copy</w:t>
            </w:r>
          </w:p>
        </w:tc>
        <w:tc>
          <w:tcPr>
            <w:tcW w:type="dxa" w:w="3331"/>
            <w:tcMar>
              <w:top w:w="80" w:type="dxa"/>
              <w:start w:w="100" w:type="dxa"/>
              <w:bottom w:w="80" w:type="dxa"/>
              <w:end w:w="100" w:type="dxa"/>
            </w:tcMar>
            <w:vAlign w:val="top"/>
          </w:tcPr>
          <w:p>
            <w:r>
              <w:rPr>
                <w:sz w:val="16"/>
              </w:rPr>
              <w:t>36 records</w:t>
            </w:r>
          </w:p>
        </w:tc>
        <w:tc>
          <w:tcPr>
            <w:tcW w:type="dxa" w:w="3331"/>
            <w:tcMar>
              <w:top w:w="80" w:type="dxa"/>
              <w:start w:w="100" w:type="dxa"/>
              <w:bottom w:w="80" w:type="dxa"/>
              <w:end w:w="100" w:type="dxa"/>
            </w:tcMar>
            <w:vAlign w:val="top"/>
          </w:tcPr>
          <w:p>
            <w:r>
              <w:rPr>
                <w:sz w:val="16"/>
              </w:rPr>
              <w:t>Да where download/terms allow; не публиковать автоматически.</w:t>
            </w:r>
          </w:p>
        </w:tc>
      </w:tr>
      <w:tr>
        <w:tc>
          <w:tcPr>
            <w:tcW w:type="dxa" w:w="3331"/>
            <w:tcMar>
              <w:top w:w="80" w:type="dxa"/>
              <w:start w:w="100" w:type="dxa"/>
              <w:bottom w:w="80" w:type="dxa"/>
              <w:end w:w="100" w:type="dxa"/>
            </w:tcMar>
            <w:vAlign w:val="top"/>
          </w:tcPr>
          <w:p>
            <w:r>
              <w:rPr>
                <w:b/>
                <w:sz w:val="16"/>
              </w:rPr>
              <w:t>Публичное зеркало</w:t>
            </w:r>
          </w:p>
        </w:tc>
        <w:tc>
          <w:tcPr>
            <w:tcW w:type="dxa" w:w="3331"/>
            <w:tcMar>
              <w:top w:w="80" w:type="dxa"/>
              <w:start w:w="100" w:type="dxa"/>
              <w:bottom w:w="80" w:type="dxa"/>
              <w:end w:w="100" w:type="dxa"/>
            </w:tcMar>
            <w:vAlign w:val="top"/>
          </w:tcPr>
          <w:p>
            <w:r>
              <w:rPr>
                <w:sz w:val="16"/>
              </w:rPr>
              <w:t>Только explicit PDM/CC/CC0 or special terms</w:t>
            </w:r>
          </w:p>
        </w:tc>
        <w:tc>
          <w:tcPr>
            <w:tcW w:type="dxa" w:w="3331"/>
            <w:tcMar>
              <w:top w:w="80" w:type="dxa"/>
              <w:start w:w="100" w:type="dxa"/>
              <w:bottom w:w="80" w:type="dxa"/>
              <w:end w:w="100" w:type="dxa"/>
            </w:tcMar>
            <w:vAlign w:val="top"/>
          </w:tcPr>
          <w:p>
            <w:r>
              <w:rPr>
                <w:sz w:val="16"/>
              </w:rPr>
              <w:t>Соблюдать attribution, NC, SA, no-alteration и component scope.</w:t>
            </w:r>
          </w:p>
        </w:tc>
      </w:tr>
      <w:tr>
        <w:tc>
          <w:tcPr>
            <w:tcW w:type="dxa" w:w="3331"/>
            <w:tcMar>
              <w:top w:w="80" w:type="dxa"/>
              <w:start w:w="100" w:type="dxa"/>
              <w:bottom w:w="80" w:type="dxa"/>
              <w:end w:w="100" w:type="dxa"/>
            </w:tcMar>
            <w:vAlign w:val="top"/>
          </w:tcPr>
          <w:p>
            <w:r>
              <w:rPr>
                <w:b/>
                <w:sz w:val="16"/>
              </w:rPr>
              <w:t>OCR</w:t>
            </w:r>
          </w:p>
        </w:tc>
        <w:tc>
          <w:tcPr>
            <w:tcW w:type="dxa" w:w="3331"/>
            <w:tcMar>
              <w:top w:w="80" w:type="dxa"/>
              <w:start w:w="100" w:type="dxa"/>
              <w:bottom w:w="80" w:type="dxa"/>
              <w:end w:w="100" w:type="dxa"/>
            </w:tcMar>
            <w:vAlign w:val="top"/>
          </w:tcPr>
          <w:p>
            <w:r>
              <w:rPr>
                <w:sz w:val="16"/>
              </w:rPr>
              <w:t>18 records</w:t>
            </w:r>
          </w:p>
        </w:tc>
        <w:tc>
          <w:tcPr>
            <w:tcW w:type="dxa" w:w="3331"/>
            <w:tcMar>
              <w:top w:w="80" w:type="dxa"/>
              <w:start w:w="100" w:type="dxa"/>
              <w:bottom w:w="80" w:type="dxa"/>
              <w:end w:w="100" w:type="dxa"/>
            </w:tcMar>
            <w:vAlign w:val="top"/>
          </w:tcPr>
          <w:p>
            <w:r>
              <w:rPr>
                <w:sz w:val="16"/>
              </w:rPr>
              <w:t>Только для rights-cleared scan/image/text and exact coverage.</w:t>
            </w:r>
          </w:p>
        </w:tc>
      </w:tr>
      <w:tr>
        <w:tc>
          <w:tcPr>
            <w:tcW w:type="dxa" w:w="3331"/>
            <w:tcMar>
              <w:top w:w="80" w:type="dxa"/>
              <w:start w:w="100" w:type="dxa"/>
              <w:bottom w:w="80" w:type="dxa"/>
              <w:end w:w="100" w:type="dxa"/>
            </w:tcMar>
            <w:vAlign w:val="top"/>
          </w:tcPr>
          <w:p>
            <w:r>
              <w:rPr>
                <w:b/>
                <w:sz w:val="16"/>
              </w:rPr>
              <w:t>Full-text index</w:t>
            </w:r>
          </w:p>
        </w:tc>
        <w:tc>
          <w:tcPr>
            <w:tcW w:type="dxa" w:w="3331"/>
            <w:tcMar>
              <w:top w:w="80" w:type="dxa"/>
              <w:start w:w="100" w:type="dxa"/>
              <w:bottom w:w="80" w:type="dxa"/>
              <w:end w:w="100" w:type="dxa"/>
            </w:tcMar>
            <w:vAlign w:val="top"/>
          </w:tcPr>
          <w:p>
            <w:r>
              <w:rPr>
                <w:sz w:val="16"/>
              </w:rPr>
              <w:t>36 records</w:t>
            </w:r>
          </w:p>
        </w:tc>
        <w:tc>
          <w:tcPr>
            <w:tcW w:type="dxa" w:w="3331"/>
            <w:tcMar>
              <w:top w:w="80" w:type="dxa"/>
              <w:start w:w="100" w:type="dxa"/>
              <w:bottom w:w="80" w:type="dxa"/>
              <w:end w:w="100" w:type="dxa"/>
            </w:tcMar>
            <w:vAlign w:val="top"/>
          </w:tcPr>
          <w:p>
            <w:r>
              <w:rPr>
                <w:sz w:val="16"/>
              </w:rPr>
              <w:t>Open/PD text layers; protected read-only pages — review.</w:t>
            </w:r>
          </w:p>
        </w:tc>
      </w:tr>
      <w:tr>
        <w:tc>
          <w:tcPr>
            <w:tcW w:type="dxa" w:w="3331"/>
            <w:tcMar>
              <w:top w:w="80" w:type="dxa"/>
              <w:start w:w="100" w:type="dxa"/>
              <w:bottom w:w="80" w:type="dxa"/>
              <w:end w:w="100" w:type="dxa"/>
            </w:tcMar>
            <w:vAlign w:val="top"/>
          </w:tcPr>
          <w:p>
            <w:r>
              <w:rPr>
                <w:b/>
                <w:sz w:val="16"/>
              </w:rPr>
              <w:t>Embeddings</w:t>
            </w:r>
          </w:p>
        </w:tc>
        <w:tc>
          <w:tcPr>
            <w:tcW w:type="dxa" w:w="3331"/>
            <w:tcMar>
              <w:top w:w="80" w:type="dxa"/>
              <w:start w:w="100" w:type="dxa"/>
              <w:bottom w:w="80" w:type="dxa"/>
              <w:end w:w="100" w:type="dxa"/>
            </w:tcMar>
            <w:vAlign w:val="top"/>
          </w:tcPr>
          <w:p>
            <w:r>
              <w:rPr>
                <w:sz w:val="16"/>
              </w:rPr>
              <w:t>34 records</w:t>
            </w:r>
          </w:p>
        </w:tc>
        <w:tc>
          <w:tcPr>
            <w:tcW w:type="dxa" w:w="3331"/>
            <w:tcMar>
              <w:top w:w="80" w:type="dxa"/>
              <w:start w:w="100" w:type="dxa"/>
              <w:bottom w:w="80" w:type="dxa"/>
              <w:end w:w="100" w:type="dxa"/>
            </w:tcMar>
            <w:vAlign w:val="top"/>
          </w:tcPr>
          <w:p>
            <w:r>
              <w:rPr>
                <w:sz w:val="16"/>
              </w:rPr>
              <w:t>Open/PD layers; no automatic ingestion of protected full text.</w:t>
            </w:r>
          </w:p>
        </w:tc>
      </w:tr>
      <w:tr>
        <w:tc>
          <w:tcPr>
            <w:tcW w:type="dxa" w:w="3331"/>
            <w:tcMar>
              <w:top w:w="80" w:type="dxa"/>
              <w:start w:w="100" w:type="dxa"/>
              <w:bottom w:w="80" w:type="dxa"/>
              <w:end w:w="100" w:type="dxa"/>
            </w:tcMar>
            <w:vAlign w:val="top"/>
          </w:tcPr>
          <w:p>
            <w:r>
              <w:rPr>
                <w:b/>
                <w:sz w:val="16"/>
              </w:rPr>
              <w:t>Собственный перевод</w:t>
            </w:r>
          </w:p>
        </w:tc>
        <w:tc>
          <w:tcPr>
            <w:tcW w:type="dxa" w:w="3331"/>
            <w:tcMar>
              <w:top w:w="80" w:type="dxa"/>
              <w:start w:w="100" w:type="dxa"/>
              <w:bottom w:w="80" w:type="dxa"/>
              <w:end w:w="100" w:type="dxa"/>
            </w:tcMar>
            <w:vAlign w:val="top"/>
          </w:tcPr>
          <w:p>
            <w:r>
              <w:rPr>
                <w:sz w:val="16"/>
              </w:rPr>
              <w:t>17 records</w:t>
            </w:r>
          </w:p>
        </w:tc>
        <w:tc>
          <w:tcPr>
            <w:tcW w:type="dxa" w:w="3331"/>
            <w:tcMar>
              <w:top w:w="80" w:type="dxa"/>
              <w:start w:w="100" w:type="dxa"/>
              <w:bottom w:w="80" w:type="dxa"/>
              <w:end w:w="100" w:type="dxa"/>
            </w:tcMar>
            <w:vAlign w:val="top"/>
          </w:tcPr>
          <w:p>
            <w:r>
              <w:rPr>
                <w:sz w:val="16"/>
              </w:rPr>
              <w:t>Only from clean original-language bases; limited to actual coverage.</w:t>
            </w:r>
          </w:p>
        </w:tc>
      </w:tr>
    </w:tbl>
    <w:p>
      <w:pPr>
        <w:pStyle w:val="Heading1"/>
      </w:pPr>
      <w:r>
        <w:t>5. Характерные правовые тонкости</w:t>
      </w:r>
    </w:p>
    <w:p>
      <w:pPr>
        <w:pStyle w:val="Heading2"/>
      </w:pPr>
      <w:r>
        <w:t>5.1. Древний оригинал не освобождает современную версию</w:t>
      </w:r>
    </w:p>
    <w:p>
      <w:r>
        <w:t>Ezana inscriptions, Periplus, Cosmas, Enoch and Kebra are old enough as works to be public domain. Но Black, Casson, McKenzie–Watson, modern RIÉ, modern Kebra and Fetha translations remain protected. То же касается editorial reconstructions, apparatus, typography and publisher PDFs.</w:t>
      </w:r>
    </w:p>
    <w:p>
      <w:pPr>
        <w:pStyle w:val="Heading2"/>
      </w:pPr>
      <w:r>
        <w:t>5.2. Изображение свидетеля — отдельный объект</w:t>
      </w:r>
    </w:p>
    <w:p>
      <w:r>
        <w:t>Garima manuscripts and Aksumite coins are historical objects, yet HMML and British Museum digital images have their own terms. HMML explicitly separates CC BY metadata from partner images; BM general policy must be checked against each image credit. Публичность древнего Gospel or coin legend не превращает museum photo в public domain.</w:t>
      </w:r>
    </w:p>
    <w:p>
      <w:pPr>
        <w:pStyle w:val="Heading2"/>
      </w:pPr>
      <w:r>
        <w:t>5.3. Открытые данные и закрытые изображения</w:t>
      </w:r>
    </w:p>
    <w:p>
      <w:r>
        <w:t>DASI is the clearest mixed-rights example: CSAI textual record data are CC BY 4.0, while images are excluded. Beta maṣāḥǝft similarly has a CC BY-SA data default, but linked manuscript images and third-party editions may differ. ToS should store scope at component level, not on the portal as a whole.</w:t>
      </w:r>
    </w:p>
    <w:p>
      <w:pPr>
        <w:pStyle w:val="Heading2"/>
      </w:pPr>
      <w:r>
        <w:t>5.4. Public Domain Mark — не лицензия</w:t>
      </w:r>
    </w:p>
    <w:p>
      <w:r>
        <w:t>PDM records status; it is not a licence grant. For DAE IV and Jubilees 1895 it is strong evidence for reuse of the item, but ToS still needs source attribution, jurisdiction awareness and a clear provenance trail.</w:t>
      </w:r>
    </w:p>
    <w:p>
      <w:pPr>
        <w:pStyle w:val="Heading2"/>
      </w:pPr>
      <w:r>
        <w:t>5.5. Исторические издания и юрисдикция</w:t>
      </w:r>
    </w:p>
    <w:p>
      <w:r>
        <w:t>Several Internet Archive/Project Gutenberg editions are public domain in the United States by publication date. Status can differ in life-plus jurisdictions, especially for translators who died later. Therefore such rows retain RIGHTS_REVIEW_REQUIRED unless the item carries an explicit PDM or licence.</w:t>
      </w:r>
    </w:p>
    <w:p>
      <w:pPr>
        <w:pStyle w:val="Heading2"/>
      </w:pPr>
      <w:r>
        <w:t>5.6. Download не равен redistribution</w:t>
      </w:r>
    </w:p>
    <w:p>
      <w:r>
        <w:t>Persée, Aarhus Pure, Biblioteka Nauki and BYU provide lawful downloads, but an explicit mirror licence was not found for every PDF. The registry preserves FREE_DOWNLOAD and LOCAL_RESEARCH_COPY while withholding MIRROR tags.</w:t>
      </w:r>
    </w:p>
    <w:p>
      <w:pPr>
        <w:pStyle w:val="Heading2"/>
      </w:pPr>
      <w:r>
        <w:t>5.7. Частичный open basis не покрывает весь corpus</w:t>
      </w:r>
    </w:p>
    <w:p>
      <w:r>
        <w:t>CC0 metadata for Arethas does not include the full Greek martyrdom; an open article with two Betä inscriptions does not clear all excavation images; a single Garima witness does not clear the whole Gospel tradition; an API record without returned full text is not a translation basis. This is why positive tags are scoped by coverage and accompanied by notes.</w:t>
      </w:r>
    </w:p>
    <w:p>
      <w:pPr>
        <w:pStyle w:val="Heading1"/>
      </w:pPr>
      <w:r>
        <w:t>6. Пробелы и дальнейший поиск</w:t>
      </w:r>
    </w:p>
    <w:p>
      <w:r>
        <w:t>Лист gaps содержит 16 targeted issues. Ниже — приоритетные направления, способные заметно улучшить пакет, а не просто добавить ещё один общий портал.</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64E63"/>
          </w:tcPr>
          <w:p>
            <w:r>
              <w:rPr>
                <w:b/>
                <w:color w:val="FFFFFF"/>
              </w:rPr>
              <w:t>Gap</w:t>
            </w:r>
          </w:p>
        </w:tc>
        <w:tc>
          <w:tcPr>
            <w:tcW w:type="dxa" w:w="3331"/>
            <w:shd w:fill="164E63"/>
          </w:tcPr>
          <w:p>
            <w:r>
              <w:rPr>
                <w:b/>
                <w:color w:val="FFFFFF"/>
              </w:rPr>
              <w:t>Цель</w:t>
            </w:r>
          </w:p>
        </w:tc>
        <w:tc>
          <w:tcPr>
            <w:tcW w:type="dxa" w:w="3331"/>
            <w:shd w:fill="164E63"/>
          </w:tcPr>
          <w:p>
            <w:r>
              <w:rPr>
                <w:b/>
                <w:color w:val="FFFFFF"/>
              </w:rPr>
              <w:t>Следующее действие</w:t>
            </w:r>
          </w:p>
        </w:tc>
      </w:tr>
      <w:tr>
        <w:tc>
          <w:tcPr>
            <w:tcW w:type="dxa" w:w="3331"/>
            <w:tcMar>
              <w:top w:w="80" w:type="dxa"/>
              <w:start w:w="100" w:type="dxa"/>
              <w:bottom w:w="80" w:type="dxa"/>
              <w:end w:w="100" w:type="dxa"/>
            </w:tcMar>
            <w:vAlign w:val="top"/>
          </w:tcPr>
          <w:p>
            <w:r>
              <w:rPr>
                <w:b/>
                <w:sz w:val="16"/>
              </w:rPr>
              <w:t>A39-G01</w:t>
            </w:r>
          </w:p>
        </w:tc>
        <w:tc>
          <w:tcPr>
            <w:tcW w:type="dxa" w:w="3331"/>
            <w:tcMar>
              <w:top w:w="80" w:type="dxa"/>
              <w:start w:w="100" w:type="dxa"/>
              <w:bottom w:w="80" w:type="dxa"/>
              <w:end w:w="100" w:type="dxa"/>
            </w:tcMar>
            <w:vAlign w:val="top"/>
          </w:tcPr>
          <w:p>
            <w:r>
              <w:rPr>
                <w:sz w:val="16"/>
              </w:rPr>
              <w:t>RIÉ I/II/III-A</w:t>
            </w:r>
          </w:p>
        </w:tc>
        <w:tc>
          <w:tcPr>
            <w:tcW w:type="dxa" w:w="3331"/>
            <w:tcMar>
              <w:top w:w="80" w:type="dxa"/>
              <w:start w:w="100" w:type="dxa"/>
              <w:bottom w:w="80" w:type="dxa"/>
              <w:end w:w="100" w:type="dxa"/>
            </w:tcMar>
            <w:vAlign w:val="top"/>
          </w:tcPr>
          <w:p>
            <w:r>
              <w:rPr>
                <w:sz w:val="16"/>
              </w:rPr>
              <w:t>Найти publisher, ISBN/OCLC, lawful library and preview routes for every volume; no shadow copies.</w:t>
            </w:r>
          </w:p>
        </w:tc>
      </w:tr>
      <w:tr>
        <w:tc>
          <w:tcPr>
            <w:tcW w:type="dxa" w:w="3331"/>
            <w:tcMar>
              <w:top w:w="80" w:type="dxa"/>
              <w:start w:w="100" w:type="dxa"/>
              <w:bottom w:w="80" w:type="dxa"/>
              <w:end w:w="100" w:type="dxa"/>
            </w:tcMar>
            <w:vAlign w:val="top"/>
          </w:tcPr>
          <w:p>
            <w:r>
              <w:rPr>
                <w:b/>
                <w:sz w:val="16"/>
              </w:rPr>
              <w:t>A39-G02</w:t>
            </w:r>
          </w:p>
        </w:tc>
        <w:tc>
          <w:tcPr>
            <w:tcW w:type="dxa" w:w="3331"/>
            <w:tcMar>
              <w:top w:w="80" w:type="dxa"/>
              <w:start w:w="100" w:type="dxa"/>
              <w:bottom w:w="80" w:type="dxa"/>
              <w:end w:w="100" w:type="dxa"/>
            </w:tcMar>
            <w:vAlign w:val="top"/>
          </w:tcPr>
          <w:p>
            <w:r>
              <w:rPr>
                <w:sz w:val="16"/>
              </w:rPr>
              <w:t>Ezana modern open text</w:t>
            </w:r>
          </w:p>
        </w:tc>
        <w:tc>
          <w:tcPr>
            <w:tcW w:type="dxa" w:w="3331"/>
            <w:tcMar>
              <w:top w:w="80" w:type="dxa"/>
              <w:start w:w="100" w:type="dxa"/>
              <w:bottom w:w="80" w:type="dxa"/>
              <w:end w:w="100" w:type="dxa"/>
            </w:tcMar>
            <w:vAlign w:val="top"/>
          </w:tcPr>
          <w:p>
            <w:r>
              <w:rPr>
                <w:sz w:val="16"/>
              </w:rPr>
              <w:t>Live-test Beta DTS and locate a modern RIÉ-aligned transcription with explicit licence.</w:t>
            </w:r>
          </w:p>
        </w:tc>
      </w:tr>
      <w:tr>
        <w:tc>
          <w:tcPr>
            <w:tcW w:type="dxa" w:w="3331"/>
            <w:tcMar>
              <w:top w:w="80" w:type="dxa"/>
              <w:start w:w="100" w:type="dxa"/>
              <w:bottom w:w="80" w:type="dxa"/>
              <w:end w:w="100" w:type="dxa"/>
            </w:tcMar>
            <w:vAlign w:val="top"/>
          </w:tcPr>
          <w:p>
            <w:r>
              <w:rPr>
                <w:b/>
                <w:sz w:val="16"/>
              </w:rPr>
              <w:t>A39-G03</w:t>
            </w:r>
          </w:p>
        </w:tc>
        <w:tc>
          <w:tcPr>
            <w:tcW w:type="dxa" w:w="3331"/>
            <w:tcMar>
              <w:top w:w="80" w:type="dxa"/>
              <w:start w:w="100" w:type="dxa"/>
              <w:bottom w:w="80" w:type="dxa"/>
              <w:end w:w="100" w:type="dxa"/>
            </w:tcMar>
            <w:vAlign w:val="top"/>
          </w:tcPr>
          <w:p>
            <w:r>
              <w:rPr>
                <w:sz w:val="16"/>
              </w:rPr>
              <w:t>Codex Σ facsimile</w:t>
            </w:r>
          </w:p>
        </w:tc>
        <w:tc>
          <w:tcPr>
            <w:tcW w:type="dxa" w:w="3331"/>
            <w:tcMar>
              <w:top w:w="80" w:type="dxa"/>
              <w:start w:w="100" w:type="dxa"/>
              <w:bottom w:w="80" w:type="dxa"/>
              <w:end w:w="100" w:type="dxa"/>
            </w:tcMar>
            <w:vAlign w:val="top"/>
          </w:tcPr>
          <w:p>
            <w:r>
              <w:rPr>
                <w:sz w:val="16"/>
              </w:rPr>
              <w:t>Resolve physical shelfmark/item record and seek rights-cleared full images or permission.</w:t>
            </w:r>
          </w:p>
        </w:tc>
      </w:tr>
      <w:tr>
        <w:tc>
          <w:tcPr>
            <w:tcW w:type="dxa" w:w="3331"/>
            <w:tcMar>
              <w:top w:w="80" w:type="dxa"/>
              <w:start w:w="100" w:type="dxa"/>
              <w:bottom w:w="80" w:type="dxa"/>
              <w:end w:w="100" w:type="dxa"/>
            </w:tcMar>
            <w:vAlign w:val="top"/>
          </w:tcPr>
          <w:p>
            <w:r>
              <w:rPr>
                <w:b/>
                <w:sz w:val="16"/>
              </w:rPr>
              <w:t>A39-G04</w:t>
            </w:r>
          </w:p>
        </w:tc>
        <w:tc>
          <w:tcPr>
            <w:tcW w:type="dxa" w:w="3331"/>
            <w:tcMar>
              <w:top w:w="80" w:type="dxa"/>
              <w:start w:w="100" w:type="dxa"/>
              <w:bottom w:w="80" w:type="dxa"/>
              <w:end w:w="100" w:type="dxa"/>
            </w:tcMar>
            <w:vAlign w:val="top"/>
          </w:tcPr>
          <w:p>
            <w:r>
              <w:rPr>
                <w:sz w:val="16"/>
              </w:rPr>
              <w:t>Homily on the One Judge</w:t>
            </w:r>
          </w:p>
        </w:tc>
        <w:tc>
          <w:tcPr>
            <w:tcW w:type="dxa" w:w="3331"/>
            <w:tcMar>
              <w:top w:w="80" w:type="dxa"/>
              <w:start w:w="100" w:type="dxa"/>
              <w:bottom w:w="80" w:type="dxa"/>
              <w:end w:w="100" w:type="dxa"/>
            </w:tcMar>
            <w:vAlign w:val="top"/>
          </w:tcPr>
          <w:p>
            <w:r>
              <w:rPr>
                <w:sz w:val="16"/>
              </w:rPr>
              <w:t>Find full critical edition/library copy or author manuscript.</w:t>
            </w:r>
          </w:p>
        </w:tc>
      </w:tr>
      <w:tr>
        <w:tc>
          <w:tcPr>
            <w:tcW w:type="dxa" w:w="3331"/>
            <w:tcMar>
              <w:top w:w="80" w:type="dxa"/>
              <w:start w:w="100" w:type="dxa"/>
              <w:bottom w:w="80" w:type="dxa"/>
              <w:end w:w="100" w:type="dxa"/>
            </w:tcMar>
            <w:vAlign w:val="top"/>
          </w:tcPr>
          <w:p>
            <w:r>
              <w:rPr>
                <w:b/>
                <w:sz w:val="16"/>
              </w:rPr>
              <w:t>A39-G05</w:t>
            </w:r>
          </w:p>
        </w:tc>
        <w:tc>
          <w:tcPr>
            <w:tcW w:type="dxa" w:w="3331"/>
            <w:tcMar>
              <w:top w:w="80" w:type="dxa"/>
              <w:start w:w="100" w:type="dxa"/>
              <w:bottom w:w="80" w:type="dxa"/>
              <w:end w:w="100" w:type="dxa"/>
            </w:tcMar>
            <w:vAlign w:val="top"/>
          </w:tcPr>
          <w:p>
            <w:r>
              <w:rPr>
                <w:sz w:val="16"/>
              </w:rPr>
              <w:t>Garima witness nomenclature</w:t>
            </w:r>
          </w:p>
        </w:tc>
        <w:tc>
          <w:tcPr>
            <w:tcW w:type="dxa" w:w="3331"/>
            <w:tcMar>
              <w:top w:w="80" w:type="dxa"/>
              <w:start w:w="100" w:type="dxa"/>
              <w:bottom w:w="80" w:type="dxa"/>
              <w:end w:w="100" w:type="dxa"/>
            </w:tcMar>
            <w:vAlign w:val="top"/>
          </w:tcPr>
          <w:p>
            <w:r>
              <w:rPr>
                <w:sz w:val="16"/>
              </w:rPr>
              <w:t>Reconcile Garima I/II/III against HMML/Beta and add only confirmed item-level records.</w:t>
            </w:r>
          </w:p>
        </w:tc>
      </w:tr>
      <w:tr>
        <w:tc>
          <w:tcPr>
            <w:tcW w:type="dxa" w:w="3331"/>
            <w:tcMar>
              <w:top w:w="80" w:type="dxa"/>
              <w:start w:w="100" w:type="dxa"/>
              <w:bottom w:w="80" w:type="dxa"/>
              <w:end w:w="100" w:type="dxa"/>
            </w:tcMar>
            <w:vAlign w:val="top"/>
          </w:tcPr>
          <w:p>
            <w:r>
              <w:rPr>
                <w:b/>
                <w:sz w:val="16"/>
              </w:rPr>
              <w:t>A39-G06</w:t>
            </w:r>
          </w:p>
        </w:tc>
        <w:tc>
          <w:tcPr>
            <w:tcW w:type="dxa" w:w="3331"/>
            <w:tcMar>
              <w:top w:w="80" w:type="dxa"/>
              <w:start w:w="100" w:type="dxa"/>
              <w:bottom w:w="80" w:type="dxa"/>
              <w:end w:w="100" w:type="dxa"/>
            </w:tcMar>
            <w:vAlign w:val="top"/>
          </w:tcPr>
          <w:p>
            <w:r>
              <w:rPr>
                <w:sz w:val="16"/>
              </w:rPr>
              <w:t>British Museum credits</w:t>
            </w:r>
          </w:p>
        </w:tc>
        <w:tc>
          <w:tcPr>
            <w:tcW w:type="dxa" w:w="3331"/>
            <w:tcMar>
              <w:top w:w="80" w:type="dxa"/>
              <w:start w:w="100" w:type="dxa"/>
              <w:bottom w:w="80" w:type="dxa"/>
              <w:end w:w="100" w:type="dxa"/>
            </w:tcMar>
            <w:vAlign w:val="top"/>
          </w:tcPr>
          <w:p>
            <w:r>
              <w:rPr>
                <w:sz w:val="16"/>
              </w:rPr>
              <w:t>Record exact item-level image licence for the Ezana and Kaleb coins.</w:t>
            </w:r>
          </w:p>
        </w:tc>
      </w:tr>
      <w:tr>
        <w:tc>
          <w:tcPr>
            <w:tcW w:type="dxa" w:w="3331"/>
            <w:tcMar>
              <w:top w:w="80" w:type="dxa"/>
              <w:start w:w="100" w:type="dxa"/>
              <w:bottom w:w="80" w:type="dxa"/>
              <w:end w:w="100" w:type="dxa"/>
            </w:tcMar>
            <w:vAlign w:val="top"/>
          </w:tcPr>
          <w:p>
            <w:r>
              <w:rPr>
                <w:b/>
                <w:sz w:val="16"/>
              </w:rPr>
              <w:t>A39-G07</w:t>
            </w:r>
          </w:p>
        </w:tc>
        <w:tc>
          <w:tcPr>
            <w:tcW w:type="dxa" w:w="3331"/>
            <w:tcMar>
              <w:top w:w="80" w:type="dxa"/>
              <w:start w:w="100" w:type="dxa"/>
              <w:bottom w:w="80" w:type="dxa"/>
              <w:end w:w="100" w:type="dxa"/>
            </w:tcMar>
            <w:vAlign w:val="top"/>
          </w:tcPr>
          <w:p>
            <w:r>
              <w:rPr>
                <w:sz w:val="16"/>
              </w:rPr>
              <w:t>DASI pages</w:t>
            </w:r>
          </w:p>
        </w:tc>
        <w:tc>
          <w:tcPr>
            <w:tcW w:type="dxa" w:w="3331"/>
            <w:tcMar>
              <w:top w:w="80" w:type="dxa"/>
              <w:start w:w="100" w:type="dxa"/>
              <w:bottom w:w="80" w:type="dxa"/>
              <w:end w:w="100" w:type="dxa"/>
            </w:tcMar>
            <w:vAlign w:val="top"/>
          </w:tcPr>
          <w:p>
            <w:r>
              <w:rPr>
                <w:sz w:val="16"/>
              </w:rPr>
              <w:t>Repeat item checks after Anubis, capture text completeness, DOI/API and image credits.</w:t>
            </w:r>
          </w:p>
        </w:tc>
      </w:tr>
      <w:tr>
        <w:tc>
          <w:tcPr>
            <w:tcW w:type="dxa" w:w="3331"/>
            <w:tcMar>
              <w:top w:w="80" w:type="dxa"/>
              <w:start w:w="100" w:type="dxa"/>
              <w:bottom w:w="80" w:type="dxa"/>
              <w:end w:w="100" w:type="dxa"/>
            </w:tcMar>
            <w:vAlign w:val="top"/>
          </w:tcPr>
          <w:p>
            <w:r>
              <w:rPr>
                <w:b/>
                <w:sz w:val="16"/>
              </w:rPr>
              <w:t>A39-G08</w:t>
            </w:r>
          </w:p>
        </w:tc>
        <w:tc>
          <w:tcPr>
            <w:tcW w:type="dxa" w:w="3331"/>
            <w:tcMar>
              <w:top w:w="80" w:type="dxa"/>
              <w:start w:w="100" w:type="dxa"/>
              <w:bottom w:w="80" w:type="dxa"/>
              <w:end w:w="100" w:type="dxa"/>
            </w:tcMar>
            <w:vAlign w:val="top"/>
          </w:tcPr>
          <w:p>
            <w:r>
              <w:rPr>
                <w:sz w:val="16"/>
              </w:rPr>
              <w:t>Martyrdom of Arethas</w:t>
            </w:r>
          </w:p>
        </w:tc>
        <w:tc>
          <w:tcPr>
            <w:tcW w:type="dxa" w:w="3331"/>
            <w:tcMar>
              <w:top w:w="80" w:type="dxa"/>
              <w:start w:w="100" w:type="dxa"/>
              <w:bottom w:w="80" w:type="dxa"/>
              <w:end w:w="100" w:type="dxa"/>
            </w:tcMar>
            <w:vAlign w:val="top"/>
          </w:tcPr>
          <w:p>
            <w:r>
              <w:rPr>
                <w:sz w:val="16"/>
              </w:rPr>
              <w:t>Locate old public-domain Greek edition and lawful modern translation.</w:t>
            </w:r>
          </w:p>
        </w:tc>
      </w:tr>
      <w:tr>
        <w:tc>
          <w:tcPr>
            <w:tcW w:type="dxa" w:w="3331"/>
            <w:tcMar>
              <w:top w:w="80" w:type="dxa"/>
              <w:start w:w="100" w:type="dxa"/>
              <w:bottom w:w="80" w:type="dxa"/>
              <w:end w:w="100" w:type="dxa"/>
            </w:tcMar>
            <w:vAlign w:val="top"/>
          </w:tcPr>
          <w:p>
            <w:r>
              <w:rPr>
                <w:b/>
                <w:sz w:val="16"/>
              </w:rPr>
              <w:t>A39-G09</w:t>
            </w:r>
          </w:p>
        </w:tc>
        <w:tc>
          <w:tcPr>
            <w:tcW w:type="dxa" w:w="3331"/>
            <w:tcMar>
              <w:top w:w="80" w:type="dxa"/>
              <w:start w:w="100" w:type="dxa"/>
              <w:bottom w:w="80" w:type="dxa"/>
              <w:end w:w="100" w:type="dxa"/>
            </w:tcMar>
            <w:vAlign w:val="top"/>
          </w:tcPr>
          <w:p>
            <w:r>
              <w:rPr>
                <w:sz w:val="16"/>
              </w:rPr>
              <w:t>Modern Ethiopic critical controls</w:t>
            </w:r>
          </w:p>
        </w:tc>
        <w:tc>
          <w:tcPr>
            <w:tcW w:type="dxa" w:w="3331"/>
            <w:tcMar>
              <w:top w:w="80" w:type="dxa"/>
              <w:start w:w="100" w:type="dxa"/>
              <w:bottom w:w="80" w:type="dxa"/>
              <w:end w:w="100" w:type="dxa"/>
            </w:tcMar>
            <w:vAlign w:val="top"/>
          </w:tcPr>
          <w:p>
            <w:r>
              <w:rPr>
                <w:sz w:val="16"/>
              </w:rPr>
              <w:t>Add modern critical Enoch, Jubilees and Ascension access routes.</w:t>
            </w:r>
          </w:p>
        </w:tc>
      </w:tr>
      <w:tr>
        <w:tc>
          <w:tcPr>
            <w:tcW w:type="dxa" w:w="3331"/>
            <w:tcMar>
              <w:top w:w="80" w:type="dxa"/>
              <w:start w:w="100" w:type="dxa"/>
              <w:bottom w:w="80" w:type="dxa"/>
              <w:end w:w="100" w:type="dxa"/>
            </w:tcMar>
            <w:vAlign w:val="top"/>
          </w:tcPr>
          <w:p>
            <w:r>
              <w:rPr>
                <w:b/>
                <w:sz w:val="16"/>
              </w:rPr>
              <w:t>A39-G10–G11</w:t>
            </w:r>
          </w:p>
        </w:tc>
        <w:tc>
          <w:tcPr>
            <w:tcW w:type="dxa" w:w="3331"/>
            <w:tcMar>
              <w:top w:w="80" w:type="dxa"/>
              <w:start w:w="100" w:type="dxa"/>
              <w:bottom w:w="80" w:type="dxa"/>
              <w:end w:w="100" w:type="dxa"/>
            </w:tcMar>
            <w:vAlign w:val="top"/>
          </w:tcPr>
          <w:p>
            <w:r>
              <w:rPr>
                <w:sz w:val="16"/>
              </w:rPr>
              <w:t>Machine-readable Greek</w:t>
            </w:r>
          </w:p>
        </w:tc>
        <w:tc>
          <w:tcPr>
            <w:tcW w:type="dxa" w:w="3331"/>
            <w:tcMar>
              <w:top w:w="80" w:type="dxa"/>
              <w:start w:w="100" w:type="dxa"/>
              <w:bottom w:w="80" w:type="dxa"/>
              <w:end w:w="100" w:type="dxa"/>
            </w:tcMar>
            <w:vAlign w:val="top"/>
          </w:tcPr>
          <w:p>
            <w:r>
              <w:rPr>
                <w:sz w:val="16"/>
              </w:rPr>
              <w:t>Verify openly licensed Periplus and Cosmas TEI/CTS editions and their exact component rights.</w:t>
            </w:r>
          </w:p>
        </w:tc>
      </w:tr>
      <w:tr>
        <w:tc>
          <w:tcPr>
            <w:tcW w:type="dxa" w:w="3331"/>
            <w:tcMar>
              <w:top w:w="80" w:type="dxa"/>
              <w:start w:w="100" w:type="dxa"/>
              <w:bottom w:w="80" w:type="dxa"/>
              <w:end w:w="100" w:type="dxa"/>
            </w:tcMar>
            <w:vAlign w:val="top"/>
          </w:tcPr>
          <w:p>
            <w:r>
              <w:rPr>
                <w:b/>
                <w:sz w:val="16"/>
              </w:rPr>
              <w:t>A39-G12</w:t>
            </w:r>
          </w:p>
        </w:tc>
        <w:tc>
          <w:tcPr>
            <w:tcW w:type="dxa" w:w="3331"/>
            <w:tcMar>
              <w:top w:w="80" w:type="dxa"/>
              <w:start w:w="100" w:type="dxa"/>
              <w:bottom w:w="80" w:type="dxa"/>
              <w:end w:w="100" w:type="dxa"/>
            </w:tcMar>
            <w:vAlign w:val="top"/>
          </w:tcPr>
          <w:p>
            <w:r>
              <w:rPr>
                <w:sz w:val="16"/>
              </w:rPr>
              <w:t>Liber Axumae</w:t>
            </w:r>
          </w:p>
        </w:tc>
        <w:tc>
          <w:tcPr>
            <w:tcW w:type="dxa" w:w="3331"/>
            <w:tcMar>
              <w:top w:w="80" w:type="dxa"/>
              <w:start w:w="100" w:type="dxa"/>
              <w:bottom w:w="80" w:type="dxa"/>
              <w:end w:w="100" w:type="dxa"/>
            </w:tcMar>
            <w:vAlign w:val="top"/>
          </w:tcPr>
          <w:p>
            <w:r>
              <w:rPr>
                <w:sz w:val="16"/>
              </w:rPr>
              <w:t>Follow BnF ARK into Gallica and verify full facsimile/reuse terms.</w:t>
            </w:r>
          </w:p>
        </w:tc>
      </w:tr>
      <w:tr>
        <w:tc>
          <w:tcPr>
            <w:tcW w:type="dxa" w:w="3331"/>
            <w:tcMar>
              <w:top w:w="80" w:type="dxa"/>
              <w:start w:w="100" w:type="dxa"/>
              <w:bottom w:w="80" w:type="dxa"/>
              <w:end w:w="100" w:type="dxa"/>
            </w:tcMar>
            <w:vAlign w:val="top"/>
          </w:tcPr>
          <w:p>
            <w:r>
              <w:rPr>
                <w:b/>
                <w:sz w:val="16"/>
              </w:rPr>
              <w:t>A39-G13–G14</w:t>
            </w:r>
          </w:p>
        </w:tc>
        <w:tc>
          <w:tcPr>
            <w:tcW w:type="dxa" w:w="3331"/>
            <w:tcMar>
              <w:top w:w="80" w:type="dxa"/>
              <w:start w:w="100" w:type="dxa"/>
              <w:bottom w:w="80" w:type="dxa"/>
              <w:end w:w="100" w:type="dxa"/>
            </w:tcMar>
            <w:vAlign w:val="top"/>
          </w:tcPr>
          <w:p>
            <w:r>
              <w:rPr>
                <w:sz w:val="16"/>
              </w:rPr>
              <w:t>Qerellos and early Gospel text</w:t>
            </w:r>
          </w:p>
        </w:tc>
        <w:tc>
          <w:tcPr>
            <w:tcW w:type="dxa" w:w="3331"/>
            <w:tcMar>
              <w:top w:w="80" w:type="dxa"/>
              <w:start w:w="100" w:type="dxa"/>
              <w:bottom w:w="80" w:type="dxa"/>
              <w:end w:w="100" w:type="dxa"/>
            </w:tcMar>
            <w:vAlign w:val="top"/>
          </w:tcPr>
          <w:p>
            <w:r>
              <w:rPr>
                <w:sz w:val="16"/>
              </w:rPr>
              <w:t>Confirm work IDs, dating and item-level open editions; current hints are insufficient.</w:t>
            </w:r>
          </w:p>
        </w:tc>
      </w:tr>
      <w:tr>
        <w:tc>
          <w:tcPr>
            <w:tcW w:type="dxa" w:w="3331"/>
            <w:tcMar>
              <w:top w:w="80" w:type="dxa"/>
              <w:start w:w="100" w:type="dxa"/>
              <w:bottom w:w="80" w:type="dxa"/>
              <w:end w:w="100" w:type="dxa"/>
            </w:tcMar>
            <w:vAlign w:val="top"/>
          </w:tcPr>
          <w:p>
            <w:r>
              <w:rPr>
                <w:b/>
                <w:sz w:val="16"/>
              </w:rPr>
              <w:t>A39-G15</w:t>
            </w:r>
          </w:p>
        </w:tc>
        <w:tc>
          <w:tcPr>
            <w:tcW w:type="dxa" w:w="3331"/>
            <w:tcMar>
              <w:top w:w="80" w:type="dxa"/>
              <w:start w:w="100" w:type="dxa"/>
              <w:bottom w:w="80" w:type="dxa"/>
              <w:end w:w="100" w:type="dxa"/>
            </w:tcMar>
            <w:vAlign w:val="top"/>
          </w:tcPr>
          <w:p>
            <w:r>
              <w:rPr>
                <w:sz w:val="16"/>
              </w:rPr>
              <w:t>Betä physical objects</w:t>
            </w:r>
          </w:p>
        </w:tc>
        <w:tc>
          <w:tcPr>
            <w:tcW w:type="dxa" w:w="3331"/>
            <w:tcMar>
              <w:top w:w="80" w:type="dxa"/>
              <w:start w:w="100" w:type="dxa"/>
              <w:bottom w:w="80" w:type="dxa"/>
              <w:end w:w="100" w:type="dxa"/>
            </w:tcMar>
            <w:vAlign w:val="top"/>
          </w:tcPr>
          <w:p>
            <w:r>
              <w:rPr>
                <w:sz w:val="16"/>
              </w:rPr>
              <w:t>Find excavation catalogue numbers, custody and image rights for inscriptions.</w:t>
            </w:r>
          </w:p>
        </w:tc>
      </w:tr>
      <w:tr>
        <w:tc>
          <w:tcPr>
            <w:tcW w:type="dxa" w:w="3331"/>
            <w:tcMar>
              <w:top w:w="80" w:type="dxa"/>
              <w:start w:w="100" w:type="dxa"/>
              <w:bottom w:w="80" w:type="dxa"/>
              <w:end w:w="100" w:type="dxa"/>
            </w:tcMar>
            <w:vAlign w:val="top"/>
          </w:tcPr>
          <w:p>
            <w:r>
              <w:rPr>
                <w:b/>
                <w:sz w:val="16"/>
              </w:rPr>
              <w:t>A39-G16</w:t>
            </w:r>
          </w:p>
        </w:tc>
        <w:tc>
          <w:tcPr>
            <w:tcW w:type="dxa" w:w="3331"/>
            <w:tcMar>
              <w:top w:w="80" w:type="dxa"/>
              <w:start w:w="100" w:type="dxa"/>
              <w:bottom w:w="80" w:type="dxa"/>
              <w:end w:w="100" w:type="dxa"/>
            </w:tcMar>
            <w:vAlign w:val="top"/>
          </w:tcPr>
          <w:p>
            <w:r>
              <w:rPr>
                <w:sz w:val="16"/>
              </w:rPr>
              <w:t>Endpoint reproducibility</w:t>
            </w:r>
          </w:p>
        </w:tc>
        <w:tc>
          <w:tcPr>
            <w:tcW w:type="dxa" w:w="3331"/>
            <w:tcMar>
              <w:top w:w="80" w:type="dxa"/>
              <w:start w:w="100" w:type="dxa"/>
              <w:bottom w:w="80" w:type="dxa"/>
              <w:end w:w="100" w:type="dxa"/>
            </w:tcMar>
            <w:vAlign w:val="top"/>
          </w:tcPr>
          <w:p>
            <w:r>
              <w:rPr>
                <w:sz w:val="16"/>
              </w:rPr>
              <w:t>Store current commit hash, HTTP status/content-type and file-level licence for Beta raw/API paths.</w:t>
            </w:r>
          </w:p>
        </w:tc>
      </w:tr>
    </w:tbl>
    <w:p>
      <w:pPr>
        <w:pStyle w:val="Heading2"/>
      </w:pPr>
      <w:r>
        <w:t>6.1. Ограниченные и недоступные слои</w:t>
      </w:r>
    </w:p>
    <w:p>
      <w:r>
        <w:t>Modern critical literature is concentrated behind purchase/institutional access: RIÉ III-B, Casson, Black, Garima monograph, JNES Betä study, modern Jubilees, Fetha English and Book of Mystery. This is not a failure of the registry: these are the strongest lawful scholarly routes where open substitutes would be weaker.</w:t>
      </w:r>
    </w:p>
    <w:p>
      <w:r>
        <w:t>DASI item pages were temporarily obstructed by anti-bot protection; Beta API/raw paths were identified but not exhaustively fetched. These are marked as verification gaps rather than silently treated as live and complete.</w:t>
      </w:r>
    </w:p>
    <w:p>
      <w:r>
        <w:t>No candidate discovered only through Wikipedia or a weak blog was promoted into the registry. Qerellos and early geʿez Gospel candidates remain unverified until corpus/library evidence is obtained.</w:t>
      </w:r>
    </w:p>
    <w:p>
      <w:pPr>
        <w:pStyle w:val="Heading1"/>
      </w:pPr>
      <w:r>
        <w:t>7. Итоговая оценка</w:t>
      </w:r>
    </w:p>
    <w:tbl>
      <w:tblPr>
        <w:tblStyle w:val="TableGrid"/>
        <w:tblW w:type="auto" w:w="0"/>
        <w:jc w:val="center"/>
        <w:tblLook w:firstColumn="1" w:firstRow="1" w:lastColumn="0" w:lastRow="0" w:noHBand="0" w:noVBand="1" w:val="04A0"/>
      </w:tblPr>
      <w:tblGrid>
        <w:gridCol w:w="4997"/>
        <w:gridCol w:w="4997"/>
      </w:tblGrid>
      <w:tr>
        <w:tc>
          <w:tcPr>
            <w:tcW w:type="dxa" w:w="3096"/>
            <w:vAlign w:val="top"/>
            <w:shd w:fill="F1F5F9"/>
            <w:tcMar>
              <w:top w:w="80" w:type="dxa"/>
              <w:start w:w="100" w:type="dxa"/>
              <w:bottom w:w="80" w:type="dxa"/>
              <w:end w:w="100" w:type="dxa"/>
            </w:tcMar>
          </w:tcPr>
          <w:p>
            <w:pPr>
              <w:spacing w:after="0"/>
            </w:pPr>
            <w:r>
              <w:rPr>
                <w:b/>
                <w:sz w:val="17"/>
              </w:rPr>
              <w:t>Покрытие ядра</w:t>
            </w:r>
          </w:p>
        </w:tc>
        <w:tc>
          <w:tcPr>
            <w:tcW w:type="dxa" w:w="6984"/>
            <w:vAlign w:val="top"/>
            <w:tcMar>
              <w:top w:w="80" w:type="dxa"/>
              <w:start w:w="100" w:type="dxa"/>
              <w:bottom w:w="80" w:type="dxa"/>
              <w:end w:w="100" w:type="dxa"/>
            </w:tcMar>
          </w:tcPr>
          <w:p>
            <w:pPr>
              <w:spacing w:after="0"/>
            </w:pPr>
            <w:r>
              <w:rPr>
                <w:sz w:val="17"/>
              </w:rPr>
              <w:t>Высокое по topology of access: every major DR anchor has at least one lawful route or an explicit gap.</w:t>
            </w:r>
          </w:p>
        </w:tc>
      </w:tr>
      <w:tr>
        <w:tc>
          <w:tcPr>
            <w:tcW w:type="dxa" w:w="3096"/>
            <w:vAlign w:val="top"/>
            <w:shd w:fill="F1F5F9"/>
            <w:tcMar>
              <w:top w:w="80" w:type="dxa"/>
              <w:start w:w="100" w:type="dxa"/>
              <w:bottom w:w="80" w:type="dxa"/>
              <w:end w:w="100" w:type="dxa"/>
            </w:tcMar>
          </w:tcPr>
          <w:p>
            <w:pPr>
              <w:spacing w:after="0"/>
            </w:pPr>
            <w:r>
              <w:rPr>
                <w:b/>
                <w:sz w:val="17"/>
              </w:rPr>
              <w:t>Оригиналы</w:t>
            </w:r>
          </w:p>
        </w:tc>
        <w:tc>
          <w:tcPr>
            <w:tcW w:type="dxa" w:w="6984"/>
            <w:vAlign w:val="top"/>
            <w:tcMar>
              <w:top w:w="80" w:type="dxa"/>
              <w:start w:w="100" w:type="dxa"/>
              <w:bottom w:w="80" w:type="dxa"/>
              <w:end w:w="100" w:type="dxa"/>
            </w:tcMar>
          </w:tcPr>
          <w:p>
            <w:pPr>
              <w:spacing w:after="0"/>
            </w:pPr>
            <w:r>
              <w:rPr>
                <w:sz w:val="17"/>
              </w:rPr>
              <w:t>Средне-высокое: strong for DAE inscriptions, Garima facsimiles, old Gǝʿǝz editions and Cosmas; weak for full Codex Σ and modern RIÉ-aligned open transcriptions.</w:t>
            </w:r>
          </w:p>
        </w:tc>
      </w:tr>
      <w:tr>
        <w:tc>
          <w:tcPr>
            <w:tcW w:type="dxa" w:w="3096"/>
            <w:vAlign w:val="top"/>
            <w:shd w:fill="F1F5F9"/>
            <w:tcMar>
              <w:top w:w="80" w:type="dxa"/>
              <w:start w:w="100" w:type="dxa"/>
              <w:bottom w:w="80" w:type="dxa"/>
              <w:end w:w="100" w:type="dxa"/>
            </w:tcMar>
          </w:tcPr>
          <w:p>
            <w:pPr>
              <w:spacing w:after="0"/>
            </w:pPr>
            <w:r>
              <w:rPr>
                <w:b/>
                <w:sz w:val="17"/>
              </w:rPr>
              <w:t>Переводы</w:t>
            </w:r>
          </w:p>
        </w:tc>
        <w:tc>
          <w:tcPr>
            <w:tcW w:type="dxa" w:w="6984"/>
            <w:vAlign w:val="top"/>
            <w:tcMar>
              <w:top w:w="80" w:type="dxa"/>
              <w:start w:w="100" w:type="dxa"/>
              <w:bottom w:w="80" w:type="dxa"/>
              <w:end w:w="100" w:type="dxa"/>
            </w:tcMar>
          </w:tcPr>
          <w:p>
            <w:pPr>
              <w:spacing w:after="0"/>
            </w:pPr>
            <w:r>
              <w:rPr>
                <w:sz w:val="17"/>
              </w:rPr>
              <w:t>Высокое for old public-domain English layers; medium for modern critical translations because many are purchase/library only.</w:t>
            </w:r>
          </w:p>
        </w:tc>
      </w:tr>
      <w:tr>
        <w:tc>
          <w:tcPr>
            <w:tcW w:type="dxa" w:w="3096"/>
            <w:vAlign w:val="top"/>
            <w:shd w:fill="F1F5F9"/>
            <w:tcMar>
              <w:top w:w="80" w:type="dxa"/>
              <w:start w:w="100" w:type="dxa"/>
              <w:bottom w:w="80" w:type="dxa"/>
              <w:end w:w="100" w:type="dxa"/>
            </w:tcMar>
          </w:tcPr>
          <w:p>
            <w:pPr>
              <w:spacing w:after="0"/>
            </w:pPr>
            <w:r>
              <w:rPr>
                <w:b/>
                <w:sz w:val="17"/>
              </w:rPr>
              <w:t>Наиболее свободный слой</w:t>
            </w:r>
          </w:p>
        </w:tc>
        <w:tc>
          <w:tcPr>
            <w:tcW w:type="dxa" w:w="6984"/>
            <w:vAlign w:val="top"/>
            <w:tcMar>
              <w:top w:w="80" w:type="dxa"/>
              <w:start w:w="100" w:type="dxa"/>
              <w:bottom w:w="80" w:type="dxa"/>
              <w:end w:w="100" w:type="dxa"/>
            </w:tcMar>
          </w:tcPr>
          <w:p>
            <w:pPr>
              <w:spacing w:after="0"/>
            </w:pPr>
            <w:r>
              <w:rPr>
                <w:sz w:val="17"/>
              </w:rPr>
              <w:t>DAE IV PDM; Beta CC BY-SA data; CC BY articles; Jubilees 1895 PDM; CC0 Arethas metadata; DASI CC BY record data without images.</w:t>
            </w:r>
          </w:p>
        </w:tc>
      </w:tr>
      <w:tr>
        <w:tc>
          <w:tcPr>
            <w:tcW w:type="dxa" w:w="3096"/>
            <w:vAlign w:val="top"/>
            <w:shd w:fill="F1F5F9"/>
            <w:tcMar>
              <w:top w:w="80" w:type="dxa"/>
              <w:start w:w="100" w:type="dxa"/>
              <w:bottom w:w="80" w:type="dxa"/>
              <w:end w:w="100" w:type="dxa"/>
            </w:tcMar>
          </w:tcPr>
          <w:p>
            <w:pPr>
              <w:spacing w:after="0"/>
            </w:pPr>
            <w:r>
              <w:rPr>
                <w:b/>
                <w:sz w:val="17"/>
              </w:rPr>
              <w:t>Главные ограничения</w:t>
            </w:r>
          </w:p>
        </w:tc>
        <w:tc>
          <w:tcPr>
            <w:tcW w:type="dxa" w:w="6984"/>
            <w:vAlign w:val="top"/>
            <w:tcMar>
              <w:top w:w="80" w:type="dxa"/>
              <w:start w:w="100" w:type="dxa"/>
              <w:bottom w:w="80" w:type="dxa"/>
              <w:end w:w="100" w:type="dxa"/>
            </w:tcMar>
          </w:tcPr>
          <w:p>
            <w:pPr>
              <w:spacing w:after="0"/>
            </w:pPr>
            <w:r>
              <w:rPr>
                <w:sz w:val="17"/>
              </w:rPr>
              <w:t>HMML/museum image rights, modern critical editions, jurisdictional status of historical translations, incomplete item-level facsimiles and APIs requiring live verification.</w:t>
            </w:r>
          </w:p>
        </w:tc>
      </w:tr>
      <w:tr>
        <w:tc>
          <w:tcPr>
            <w:tcW w:type="dxa" w:w="3096"/>
            <w:vAlign w:val="top"/>
            <w:shd w:fill="F1F5F9"/>
            <w:tcMar>
              <w:top w:w="80" w:type="dxa"/>
              <w:start w:w="100" w:type="dxa"/>
              <w:bottom w:w="80" w:type="dxa"/>
              <w:end w:w="100" w:type="dxa"/>
            </w:tcMar>
          </w:tcPr>
          <w:p>
            <w:pPr>
              <w:spacing w:after="0"/>
            </w:pPr>
            <w:r>
              <w:rPr>
                <w:b/>
                <w:sz w:val="17"/>
              </w:rPr>
              <w:t>Готовность к Codex</w:t>
            </w:r>
          </w:p>
        </w:tc>
        <w:tc>
          <w:tcPr>
            <w:tcW w:type="dxa" w:w="6984"/>
            <w:vAlign w:val="top"/>
            <w:tcMar>
              <w:top w:w="80" w:type="dxa"/>
              <w:start w:w="100" w:type="dxa"/>
              <w:bottom w:w="80" w:type="dxa"/>
              <w:end w:w="100" w:type="dxa"/>
            </w:tcMar>
          </w:tcPr>
          <w:p>
            <w:pPr>
              <w:spacing w:after="0"/>
            </w:pPr>
            <w:r>
              <w:rPr>
                <w:sz w:val="17"/>
              </w:rPr>
              <w:t>Да. Registry is normalized to one access route per row, includes stable IDs, rights_scope, evidence URLs, verification status and targeted gaps.</w:t>
            </w:r>
          </w:p>
        </w:tc>
      </w:tr>
    </w:tbl>
    <w:p>
      <w:pPr>
        <w:spacing w:after="0"/>
      </w:pPr>
    </w:p>
    <w:p>
      <w:r>
        <w:t>Пакет пригоден для следующего этапа: Codex может дедуплицировать work/witness entities across ToS, resolve URNs/DOIs/OCLC IDs, materialize API checks and build the graph. Automatic ingestion should treat RIGHTS_REVIEW_REQUIRED as a hard guardrail: it blocks use beyond the exact scope proved in the row.</w:t>
      </w:r>
    </w:p>
    <w:tbl>
      <w:tblPr>
        <w:tblW w:type="auto" w:w="0"/>
        <w:jc w:val="center"/>
        <w:tblLayout w:type="autofit"/>
        <w:tblLook w:firstColumn="1" w:firstRow="1" w:lastColumn="0" w:lastRow="0" w:noHBand="0" w:noVBand="1" w:val="04A0"/>
      </w:tblPr>
      <w:tblGrid>
        <w:gridCol w:w="9994"/>
      </w:tblGrid>
      <w:tr>
        <w:tc>
          <w:tcPr>
            <w:tcW w:type="dxa" w:w="9994"/>
            <w:shd w:fill="F0FDFA"/>
            <w:tcMar>
              <w:top w:w="120" w:type="dxa"/>
              <w:start w:w="150" w:type="dxa"/>
              <w:bottom w:w="120" w:type="dxa"/>
              <w:end w:w="150" w:type="dxa"/>
            </w:tcMar>
          </w:tcPr>
          <w:p>
            <w:pPr>
              <w:pStyle w:val="ToSCallout"/>
            </w:pPr>
            <w:r>
              <w:t>Итог: A39 хорошо обеспечен законными путями чтения и исследовательского доступа. Свободный machine-readable слой strongest in Beta/DAE, while the most serious remaining lacuna is the full, rights-cleared text/facsimile of Codex Σ and modern item-level Ezana transcription.</w:t>
            </w:r>
          </w:p>
        </w:tc>
      </w:tr>
    </w:tbl>
    <w:p>
      <w:pPr>
        <w:pStyle w:val="Heading2"/>
      </w:pPr>
      <w:r>
        <w:t>7.1. Ключ к практической передаче</w:t>
      </w:r>
    </w:p>
    <w:p>
      <w:pPr>
        <w:pStyle w:val="ListBullet"/>
        <w:spacing w:after="50"/>
      </w:pPr>
      <w:r>
        <w:t>Начать импорт с A39-R001–R004, R010, R016, R021, R033–R037, R050, R060 and R068.</w:t>
      </w:r>
    </w:p>
    <w:p>
      <w:pPr>
        <w:pStyle w:val="ListBullet"/>
        <w:spacing w:after="50"/>
      </w:pPr>
      <w:r>
        <w:t>Keep HMML and BM images as link/permission workflows; do not mirror by default.</w:t>
      </w:r>
    </w:p>
    <w:p>
      <w:pPr>
        <w:pStyle w:val="ListBullet"/>
        <w:spacing w:after="50"/>
      </w:pPr>
      <w:r>
        <w:t>Store record_id and stable_identifier together; preserve checked_at and rights_evidence_url in every downstream node.</w:t>
      </w:r>
    </w:p>
    <w:p>
      <w:pPr>
        <w:pStyle w:val="ListBullet"/>
        <w:spacing w:after="50"/>
      </w:pPr>
      <w:r>
        <w:t>Queue all 16 gaps as targeted verification tasks rather than broad web searches.</w:t>
      </w:r>
    </w:p>
    <w:p/>
    <w:p>
      <w:pPr>
        <w:pStyle w:val="ToSSmall"/>
        <w:jc w:val="center"/>
      </w:pPr>
      <w:r>
        <w:t>Конец отчёта · A39 · ToS Corpus &amp; Rights Registry · проверено 2026-09-04</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oSSmall"/>
      <w:jc w:val="center"/>
    </w:pPr>
    <w:r>
      <w:t xml:space="preserve">A39 · 2026-09-04 · стр.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oSSmall"/>
      <w:jc w:val="right"/>
    </w:pPr>
    <w:r>
      <w:t>ToS / Древо Софии · Corpus &amp; Rights Registry · A39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Noto Sans" w:hAnsi="Noto Sans" w:eastAsia="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Noto Sans" w:hAnsi="Noto Sans" w:eastAsia="Noto Sans"/>
      <w:b/>
      <w:bCs/>
      <w:color w:val="164E63"/>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eastAsia="Noto Sans"/>
      <w:b/>
      <w:bCs/>
      <w:color w:val="0E749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w:hAnsi="Noto Sans" w:eastAsia="Noto Sans"/>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b/>
      <w:color w:val="164E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SSmall">
    <w:name w:val="ToS Small"/>
    <w:pPr>
      <w:spacing w:after="40"/>
    </w:pPr>
    <w:rPr>
      <w:rFonts w:ascii="Noto Sans" w:hAnsi="Noto Sans" w:eastAsia="Noto Sans"/>
      <w:color w:val="475569"/>
      <w:sz w:val="16"/>
    </w:rPr>
  </w:style>
  <w:style w:type="paragraph" w:customStyle="1" w:styleId="ToSCallout">
    <w:name w:val="ToS Callout"/>
    <w:pPr>
      <w:spacing w:before="100" w:after="100"/>
      <w:ind w:left="259" w:right="259"/>
    </w:pPr>
    <w:rPr>
      <w:rFonts w:ascii="Noto Sans" w:hAnsi="Noto Sans" w:eastAsia="Noto Sans"/>
      <w:color w:val="164E6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