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T2-22 · Школы XII века</w:t>
        <w:br/>
        <w:t>и логическое оживление</w:t>
      </w:r>
    </w:p>
    <w:p>
      <w:r/>
      <w:r>
        <w:rPr>
          <w:b/>
        </w:rPr>
        <w:t>78 маршрутов доступа · около 46 произведений и корпусных групп · 18 исследовательских пробелов</w:t>
      </w:r>
      <w:r/>
    </w:p>
    <w:p>
      <w:r>
        <w:t>Историческое ядро доступно через сочетание старых латинских изданий, рукописных факсимиле и современных критических публикаций. Наиболее свободные проверенные объекты — не универсальные онлайн-корпуса, а конкретные исторические экземпляры Glossa, «Сентенций» Петра Ломбардского и рукописи Вильгельма Коншского. Научно лучшие новые редакции часто остаются защищёнными.</w:t>
      </w:r>
      <w:r>
        <w:t xml:space="preserve">  </w:t>
      </w:r>
      <w:hyperlink r:id="rId11">
        <w:r>
          <w:rPr>
            <w:color w:val="1A6381"/>
            <w:u w:val="single"/>
            <w:sz w:val="18"/>
          </w:rPr>
          <w:t>[R019]</w:t>
        </w:r>
      </w:hyperlink>
      <w:r>
        <w:t xml:space="preserve"> · </w:t>
      </w:r>
      <w:hyperlink r:id="rId12">
        <w:r>
          <w:rPr>
            <w:color w:val="1A6381"/>
            <w:u w:val="single"/>
            <w:sz w:val="18"/>
          </w:rPr>
          <w:t>[R020]</w:t>
        </w:r>
      </w:hyperlink>
      <w:r>
        <w:t xml:space="preserve"> · </w:t>
      </w:r>
      <w:hyperlink r:id="rId13">
        <w:r>
          <w:rPr>
            <w:color w:val="1A6381"/>
            <w:u w:val="single"/>
            <w:sz w:val="18"/>
          </w:rPr>
          <w:t>[R043]</w:t>
        </w:r>
      </w:hyperlink>
      <w:r>
        <w:t xml:space="preserve"> · </w:t>
      </w:r>
      <w:hyperlink r:id="rId14">
        <w:r>
          <w:rPr>
            <w:color w:val="1A6381"/>
            <w:u w:val="single"/>
            <w:sz w:val="18"/>
          </w:rPr>
          <w:t>[R063]</w:t>
        </w:r>
      </w:hyperlink>
      <w:r>
        <w:t xml:space="preserve"> · </w:t>
      </w:r>
      <w:hyperlink r:id="rId15">
        <w:r>
          <w:rPr>
            <w:color w:val="1A6381"/>
            <w:u w:val="single"/>
            <w:sz w:val="18"/>
          </w:rPr>
          <w:t>[R071]</w:t>
        </w:r>
      </w:hyperlink>
    </w:p>
    <w:p>
      <w:pPr>
        <w:pStyle w:val="Small"/>
      </w:pPr>
      <w:r>
        <w:t>Реестр: ToS_Corpus_Rights_T2-22_registry.xlsx. Обозначения [R001]–[R078] в отчёте открывают соответствующие источники; полные идентификаторы записей в XLSX начинаются с T2-22-. На листе gaps сохранены G001–G018. Описание доступности не равно разрешению на размещение копии.</w:t>
      </w:r>
    </w:p>
    <w:p>
      <w:pPr>
        <w:pStyle w:val="Heading1"/>
      </w:pPr>
      <w:r>
        <w:t>1. Паспорт</w:t>
      </w:r>
    </w:p>
    <w:tbl>
      <w:tblPr>
        <w:tblStyle w:val="LightShading-Accent1"/>
        <w:tblW w:type="auto" w:w="0"/>
        <w:jc w:val="center"/>
        <w:tblLayout w:type="fixed"/>
        <w:tblLook w:firstColumn="1" w:firstRow="1" w:lastColumn="0" w:lastRow="0" w:noHBand="0" w:noVBand="1" w:val="04A0"/>
      </w:tblPr>
      <w:tblGrid>
        <w:gridCol w:w="1928"/>
        <w:gridCol w:w="7710"/>
      </w:tblGrid>
      <w:tr>
        <w:trPr>
          <w:tblHeader/>
        </w:trPr>
        <w:tc>
          <w:tcPr>
            <w:tcW w:type="dxa" w:w="1928"/>
            <w:shd w:fill="173D4F"/>
          </w:tcPr>
          <w:p>
            <w:r>
              <w:rPr>
                <w:b/>
                <w:color w:val="FFFFFF"/>
                <w:sz w:val="20"/>
              </w:rPr>
              <w:t>Параметр</w:t>
            </w:r>
          </w:p>
        </w:tc>
        <w:tc>
          <w:tcPr>
            <w:tcW w:type="dxa" w:w="7710"/>
            <w:shd w:fill="173D4F"/>
          </w:tcPr>
          <w:p>
            <w:r>
              <w:rPr>
                <w:b/>
                <w:color w:val="FFFFFF"/>
                <w:sz w:val="20"/>
              </w:rPr>
              <w:t>Значение</w:t>
            </w:r>
          </w:p>
        </w:tc>
      </w:tr>
      <w:tr>
        <w:trPr>
          <w:cantSplit/>
        </w:trPr>
        <w:tc>
          <w:tcPr>
            <w:tcW w:type="dxa" w:w="1928"/>
            <w:vAlign w:val="top"/>
          </w:tcPr>
          <w:p>
            <w:pPr>
              <w:spacing w:after="80" w:line="252" w:lineRule="auto"/>
            </w:pPr>
            <w:r>
              <w:rPr>
                <w:sz w:val="20"/>
              </w:rPr>
              <w:t>Строка</w:t>
            </w:r>
          </w:p>
        </w:tc>
        <w:tc>
          <w:tcPr>
            <w:tcW w:type="dxa" w:w="7710"/>
            <w:vAlign w:val="top"/>
          </w:tcPr>
          <w:p>
            <w:pPr>
              <w:spacing w:after="80" w:line="252" w:lineRule="auto"/>
            </w:pPr>
            <w:r>
              <w:rPr>
                <w:sz w:val="20"/>
              </w:rPr>
              <w:t>T2-22 — «Школы XII века и логическое оживление»</w:t>
            </w:r>
          </w:p>
        </w:tc>
      </w:tr>
      <w:tr>
        <w:trPr>
          <w:cantSplit/>
        </w:trPr>
        <w:tc>
          <w:tcPr>
            <w:tcW w:type="dxa" w:w="1928"/>
            <w:vAlign w:val="top"/>
          </w:tcPr>
          <w:p>
            <w:pPr>
              <w:spacing w:after="80" w:line="252" w:lineRule="auto"/>
            </w:pPr>
            <w:r>
              <w:rPr>
                <w:sz w:val="20"/>
              </w:rPr>
              <w:t>Статус</w:t>
            </w:r>
          </w:p>
        </w:tc>
        <w:tc>
          <w:tcPr>
            <w:tcW w:type="dxa" w:w="7710"/>
            <w:vAlign w:val="top"/>
          </w:tcPr>
          <w:p>
            <w:pPr>
              <w:spacing w:after="80" w:line="252" w:lineRule="auto"/>
            </w:pPr>
            <w:r>
              <w:rPr>
                <w:sz w:val="20"/>
              </w:rPr>
              <w:t>A; исходная уверенность 4/5 (в мастер-таблице A/4). Статус и ID сохранены.</w:t>
            </w:r>
          </w:p>
        </w:tc>
      </w:tr>
      <w:tr>
        <w:trPr>
          <w:cantSplit/>
        </w:trPr>
        <w:tc>
          <w:tcPr>
            <w:tcW w:type="dxa" w:w="1928"/>
            <w:vAlign w:val="top"/>
          </w:tcPr>
          <w:p>
            <w:pPr>
              <w:spacing w:after="80" w:line="252" w:lineRule="auto"/>
            </w:pPr>
            <w:r>
              <w:rPr>
                <w:sz w:val="20"/>
              </w:rPr>
              <w:t>Хронологические фазы</w:t>
            </w:r>
          </w:p>
        </w:tc>
        <w:tc>
          <w:tcPr>
            <w:tcW w:type="dxa" w:w="7710"/>
            <w:vAlign w:val="top"/>
          </w:tcPr>
          <w:p>
            <w:pPr>
              <w:spacing w:after="80" w:line="252" w:lineRule="auto"/>
            </w:pPr>
            <w:r>
              <w:rPr>
                <w:sz w:val="20"/>
              </w:rPr>
              <w:t>Формирование: XI–XII вв.; письменная фиксация / передача: XI–XIII вв.; канонизация / комментарий: XII–XIII вв. Исторический фокус — школьный XII век, не жёсткий интервал 1100–1200.</w:t>
            </w:r>
          </w:p>
        </w:tc>
      </w:tr>
      <w:tr>
        <w:trPr>
          <w:cantSplit/>
        </w:trPr>
        <w:tc>
          <w:tcPr>
            <w:tcW w:type="dxa" w:w="1928"/>
            <w:vAlign w:val="top"/>
          </w:tcPr>
          <w:p>
            <w:pPr>
              <w:spacing w:after="80" w:line="252" w:lineRule="auto"/>
            </w:pPr>
            <w:r>
              <w:rPr>
                <w:sz w:val="20"/>
              </w:rPr>
              <w:t>Исходный DR</w:t>
            </w:r>
          </w:p>
        </w:tc>
        <w:tc>
          <w:tcPr>
            <w:tcW w:type="dxa" w:w="7710"/>
            <w:vAlign w:val="top"/>
          </w:tcPr>
          <w:p>
            <w:pPr>
              <w:spacing w:after="80" w:line="252" w:lineRule="auto"/>
            </w:pPr>
            <w:r>
              <w:rPr>
                <w:sz w:val="20"/>
              </w:rPr>
              <w:t>ToS Deep Research_ T2-22 — Школы XII века и логическое оживление(1).docx</w:t>
            </w:r>
          </w:p>
        </w:tc>
      </w:tr>
      <w:tr>
        <w:trPr>
          <w:cantSplit/>
        </w:trPr>
        <w:tc>
          <w:tcPr>
            <w:tcW w:type="dxa" w:w="1928"/>
            <w:vAlign w:val="top"/>
          </w:tcPr>
          <w:p>
            <w:pPr>
              <w:spacing w:after="80" w:line="252" w:lineRule="auto"/>
            </w:pPr>
            <w:r>
              <w:rPr>
                <w:sz w:val="20"/>
              </w:rPr>
              <w:t>Дата проверки</w:t>
            </w:r>
          </w:p>
        </w:tc>
        <w:tc>
          <w:tcPr>
            <w:tcW w:type="dxa" w:w="7710"/>
            <w:vAlign w:val="top"/>
          </w:tcPr>
          <w:p>
            <w:pPr>
              <w:spacing w:after="80" w:line="252" w:lineRule="auto"/>
            </w:pPr>
            <w:r>
              <w:rPr>
                <w:sz w:val="20"/>
              </w:rPr>
              <w:t>4 сентября 2026 года</w:t>
            </w:r>
          </w:p>
        </w:tc>
      </w:tr>
      <w:tr>
        <w:trPr>
          <w:cantSplit/>
        </w:trPr>
        <w:tc>
          <w:tcPr>
            <w:tcW w:type="dxa" w:w="1928"/>
            <w:vAlign w:val="top"/>
          </w:tcPr>
          <w:p>
            <w:pPr>
              <w:spacing w:after="80" w:line="252" w:lineRule="auto"/>
            </w:pPr>
            <w:r>
              <w:rPr>
                <w:sz w:val="20"/>
              </w:rPr>
              <w:t>Языки поиска</w:t>
            </w:r>
          </w:p>
        </w:tc>
        <w:tc>
          <w:tcPr>
            <w:tcW w:type="dxa" w:w="7710"/>
            <w:vAlign w:val="top"/>
          </w:tcPr>
          <w:p>
            <w:pPr>
              <w:spacing w:after="80" w:line="252" w:lineRule="auto"/>
            </w:pPr>
            <w:r>
              <w:rPr>
                <w:sz w:val="20"/>
              </w:rPr>
              <w:t>Латынь, английский, французский, немецкий, русский; для локальных каталогов также испанские и итальянские поисковые формы. Языки найденных объектов дополнительно включают каталонский и среднефранцузский.</w:t>
            </w:r>
          </w:p>
        </w:tc>
      </w:tr>
    </w:tbl>
    <w:p>
      <w:pPr>
        <w:spacing w:after="20"/>
      </w:pPr>
    </w:p>
    <w:p>
      <w:r/>
      <w:r>
        <w:rPr>
          <w:b/>
        </w:rPr>
        <w:t>Ядро корпуса:</w:t>
      </w:r>
      <w:r>
        <w:t xml:space="preserve"> логические произведения и глоссы Абеляра; Metalogicon Иоанна Солсберийского; ланские сентенции и Glossa ordinaria; Heptateuchon и шартрские комментарии; анонимная и конкурентная школьная логика; латинские версии Organon. Искомыми объектами были произведения, издания и переводы, конкретные рукописи и печатные экземпляры, факсимиле, транскрипции, каталоги, полнотекстовые базы и доступные цифровые форматы.</w:t>
      </w:r>
    </w:p>
    <w:p>
      <w:r/>
      <w:r>
        <w:rPr>
          <w:b/>
        </w:rPr>
        <w:t>Доступ и доказательства различались.</w:t>
      </w:r>
      <w:r>
        <w:t xml:space="preserve"> Для чтения и файлов использованы официальные издательства, университетские и национальные каталоги, институциональные оцифровки Internet Archive, e-rara, Project Gutenberg, ИФ РАН и CIMAGL. Для идентификации — страницы изданий, библиотечные описания, ISBN/ARK/DOI и специализированные библиографии. Для сильных выводов о повторном использовании — маркировка конкретного объекта, лицензия в PDF либо явно применимые условия; не поисковый сниппет.</w:t>
      </w:r>
    </w:p>
    <w:p>
      <w:r>
        <w:t xml:space="preserve">Wikipedia не использована как итоговый источник доступа, метаданных или прав. Латинская Wikisource проверялась именно как возможная транскрипция, а не как энциклопедия: её Sic et Non оставлен в G001 как </w:t>
      </w:r>
      <w:r>
        <w:rPr>
          <w:b/>
        </w:rPr>
        <w:t>unverified_candidate</w:t>
      </w:r>
      <w:r>
        <w:t>, поскольку печатная основа не установлена. Идентичность произведения здесь не спорна; не подтверждена надёжность конкретного цифрового текста.</w:t>
      </w:r>
    </w:p>
    <w:p>
      <w:r>
        <w:t>Проверка проводилась без покупок, регистрации, получения подписок и обращения к правообладателям. Большие комплекты не скачивались целиком и не сверялись постранично. В verification_status различены открытая карточка, открытый PDF/HTML, предлагаемые файлы, ограничения читателя и ошибки доступа. Границы такой проверки сохраняются и при положительной отметке бесплатного чтения.</w:t>
      </w:r>
    </w:p>
    <w:p>
      <w:pPr>
        <w:pStyle w:val="Heading1"/>
      </w:pPr>
      <w:r>
        <w:t>2. Охват корпуса</w:t>
      </w:r>
    </w:p>
    <w:p>
      <w:pPr>
        <w:pStyle w:val="Heading2"/>
      </w:pPr>
      <w:r>
        <w:t>2.1. От исходной карты к первичным текстам</w:t>
      </w:r>
    </w:p>
    <w:p>
      <w:r>
        <w:t>Абелярово ядро получило раздельные входы к Dialectica, Sic et Non, Ingredientibus и Nostrorum. Поиск расширен на Tractatus de intellectibus, Ethica, редакции Theologia, Expositio in Hexameron и школьные Sententie. Эти объекты принадлежат тому же авторскому или непосредственно передающему его учение корпусу; они не добавлены лишь по тематическому сходству. Особое место занимают анонимные Doctrinae sermonum и De propositionibus modalibus: близость к Абеляру не превращена в безусловную атрибуцию.</w:t>
      </w:r>
      <w:r>
        <w:t xml:space="preserve">  </w:t>
      </w:r>
      <w:hyperlink r:id="rId16">
        <w:r>
          <w:rPr>
            <w:color w:val="1A6381"/>
            <w:u w:val="single"/>
            <w:sz w:val="18"/>
          </w:rPr>
          <w:t>[R004]</w:t>
        </w:r>
      </w:hyperlink>
      <w:r>
        <w:t xml:space="preserve"> · </w:t>
      </w:r>
      <w:hyperlink r:id="rId17">
        <w:r>
          <w:rPr>
            <w:color w:val="1A6381"/>
            <w:u w:val="single"/>
            <w:sz w:val="18"/>
          </w:rPr>
          <w:t>[R011]</w:t>
        </w:r>
      </w:hyperlink>
      <w:r>
        <w:t xml:space="preserve"> · </w:t>
      </w:r>
      <w:hyperlink r:id="rId18">
        <w:r>
          <w:rPr>
            <w:color w:val="1A6381"/>
            <w:u w:val="single"/>
            <w:sz w:val="18"/>
          </w:rPr>
          <w:t>[R012]</w:t>
        </w:r>
      </w:hyperlink>
      <w:r>
        <w:t xml:space="preserve"> · </w:t>
      </w:r>
      <w:hyperlink r:id="rId19">
        <w:r>
          <w:rPr>
            <w:color w:val="1A6381"/>
            <w:u w:val="single"/>
            <w:sz w:val="18"/>
          </w:rPr>
          <w:t>[R013]</w:t>
        </w:r>
      </w:hyperlink>
      <w:r>
        <w:t xml:space="preserve"> · </w:t>
      </w:r>
      <w:hyperlink r:id="rId20">
        <w:r>
          <w:rPr>
            <w:color w:val="1A6381"/>
            <w:u w:val="single"/>
            <w:sz w:val="18"/>
          </w:rPr>
          <w:t>[R014]</w:t>
        </w:r>
      </w:hyperlink>
      <w:r>
        <w:t xml:space="preserve"> · </w:t>
      </w:r>
      <w:hyperlink r:id="rId21">
        <w:r>
          <w:rPr>
            <w:color w:val="1A6381"/>
            <w:u w:val="single"/>
            <w:sz w:val="18"/>
          </w:rPr>
          <w:t>[R015]</w:t>
        </w:r>
      </w:hyperlink>
      <w:r>
        <w:t xml:space="preserve"> · </w:t>
      </w:r>
      <w:hyperlink r:id="rId22">
        <w:r>
          <w:rPr>
            <w:color w:val="1A6381"/>
            <w:u w:val="single"/>
            <w:sz w:val="18"/>
          </w:rPr>
          <w:t>[R016]</w:t>
        </w:r>
      </w:hyperlink>
      <w:r>
        <w:t xml:space="preserve"> · </w:t>
      </w:r>
      <w:hyperlink r:id="rId23">
        <w:r>
          <w:rPr>
            <w:color w:val="1A6381"/>
            <w:u w:val="single"/>
            <w:sz w:val="18"/>
          </w:rPr>
          <w:t>[R017]</w:t>
        </w:r>
      </w:hyperlink>
      <w:r>
        <w:t xml:space="preserve"> · </w:t>
      </w:r>
      <w:hyperlink r:id="rId24">
        <w:r>
          <w:rPr>
            <w:color w:val="1A6381"/>
            <w:u w:val="single"/>
            <w:sz w:val="18"/>
          </w:rPr>
          <w:t>[R027]</w:t>
        </w:r>
      </w:hyperlink>
      <w:r>
        <w:t xml:space="preserve"> · </w:t>
      </w:r>
      <w:hyperlink r:id="rId25">
        <w:r>
          <w:rPr>
            <w:color w:val="1A6381"/>
            <w:u w:val="single"/>
            <w:sz w:val="18"/>
          </w:rPr>
          <w:t>[R032]</w:t>
        </w:r>
      </w:hyperlink>
      <w:r>
        <w:t xml:space="preserve"> · </w:t>
      </w:r>
      <w:hyperlink r:id="rId26">
        <w:r>
          <w:rPr>
            <w:color w:val="1A6381"/>
            <w:u w:val="single"/>
            <w:sz w:val="18"/>
          </w:rPr>
          <w:t>[R049]</w:t>
        </w:r>
      </w:hyperlink>
    </w:p>
    <w:p>
      <w:r>
        <w:t>Для Иоанна Солсберийского учтены современные версии Metalogicon, ранние печатные латинские тексты, Policraticus в двухтомном издании Webb, английский выборочный перевод и среднефранцузская передача. Historia calamitatum Абеляра сохранена как вспомогательное первичное свидетельство школьной жизни, а не как замена его логическим трактатам.</w:t>
      </w:r>
      <w:r>
        <w:t xml:space="preserve">  </w:t>
      </w:r>
      <w:hyperlink r:id="rId27">
        <w:r>
          <w:rPr>
            <w:color w:val="1A6381"/>
            <w:u w:val="single"/>
            <w:sz w:val="18"/>
          </w:rPr>
          <w:t>[R005]</w:t>
        </w:r>
      </w:hyperlink>
      <w:r>
        <w:t xml:space="preserve"> · </w:t>
      </w:r>
      <w:hyperlink r:id="rId28">
        <w:r>
          <w:rPr>
            <w:color w:val="1A6381"/>
            <w:u w:val="single"/>
            <w:sz w:val="18"/>
          </w:rPr>
          <w:t>[R006]</w:t>
        </w:r>
      </w:hyperlink>
      <w:r>
        <w:t xml:space="preserve"> · </w:t>
      </w:r>
      <w:hyperlink r:id="rId29">
        <w:r>
          <w:rPr>
            <w:color w:val="1A6381"/>
            <w:u w:val="single"/>
            <w:sz w:val="18"/>
          </w:rPr>
          <w:t>[R045]</w:t>
        </w:r>
      </w:hyperlink>
      <w:r>
        <w:t xml:space="preserve"> · </w:t>
      </w:r>
      <w:hyperlink r:id="rId30">
        <w:r>
          <w:rPr>
            <w:color w:val="1A6381"/>
            <w:u w:val="single"/>
            <w:sz w:val="18"/>
          </w:rPr>
          <w:t>[R055]</w:t>
        </w:r>
      </w:hyperlink>
      <w:r>
        <w:t xml:space="preserve"> · </w:t>
      </w:r>
      <w:hyperlink r:id="rId31">
        <w:r>
          <w:rPr>
            <w:color w:val="1A6381"/>
            <w:u w:val="single"/>
            <w:sz w:val="18"/>
          </w:rPr>
          <w:t>[R056]</w:t>
        </w:r>
      </w:hyperlink>
      <w:r>
        <w:t xml:space="preserve"> · </w:t>
      </w:r>
      <w:hyperlink r:id="rId32">
        <w:r>
          <w:rPr>
            <w:color w:val="1A6381"/>
            <w:u w:val="single"/>
            <w:sz w:val="18"/>
          </w:rPr>
          <w:t>[R057]</w:t>
        </w:r>
      </w:hyperlink>
      <w:r>
        <w:t xml:space="preserve"> · </w:t>
      </w:r>
      <w:hyperlink r:id="rId33">
        <w:r>
          <w:rPr>
            <w:color w:val="1A6381"/>
            <w:u w:val="single"/>
            <w:sz w:val="18"/>
          </w:rPr>
          <w:t>[R058]</w:t>
        </w:r>
      </w:hyperlink>
      <w:r>
        <w:t xml:space="preserve"> · </w:t>
      </w:r>
      <w:hyperlink r:id="rId34">
        <w:r>
          <w:rPr>
            <w:color w:val="1A6381"/>
            <w:u w:val="single"/>
            <w:sz w:val="18"/>
          </w:rPr>
          <w:t>[R059]</w:t>
        </w:r>
      </w:hyperlink>
      <w:r>
        <w:t xml:space="preserve"> · </w:t>
      </w:r>
      <w:hyperlink r:id="rId35">
        <w:r>
          <w:rPr>
            <w:color w:val="1A6381"/>
            <w:u w:val="single"/>
            <w:sz w:val="18"/>
          </w:rPr>
          <w:t>[R060]</w:t>
        </w:r>
      </w:hyperlink>
      <w:r>
        <w:t xml:space="preserve"> · </w:t>
      </w:r>
      <w:hyperlink r:id="rId36">
        <w:r>
          <w:rPr>
            <w:color w:val="1A6381"/>
            <w:u w:val="single"/>
            <w:sz w:val="18"/>
          </w:rPr>
          <w:t>[R075]</w:t>
        </w:r>
      </w:hyperlink>
    </w:p>
    <w:p>
      <w:r>
        <w:t>Ланский блок не сводится к одной «глоссированной Библии»: отдельно выделены сборники сентенций, критическая Glossa на Песнь песней, поздние печатные комплекты, один иллюминированный разворот и непосредственно продолжившие эту педагогическую работу лекции Коместора. Шартрский блок включает реальные свидетели Heptateuchon и авторские комментарии Бернарда, Вильгельма и Тьерри; одинаковое название Glosae super Platonem не делает их одним произведением.</w:t>
      </w:r>
      <w:r>
        <w:t xml:space="preserve">  </w:t>
      </w:r>
      <w:hyperlink r:id="rId37">
        <w:r>
          <w:rPr>
            <w:color w:val="1A6381"/>
            <w:u w:val="single"/>
            <w:sz w:val="18"/>
          </w:rPr>
          <w:t>[R008]</w:t>
        </w:r>
      </w:hyperlink>
      <w:r>
        <w:t xml:space="preserve"> · </w:t>
      </w:r>
      <w:hyperlink r:id="rId11">
        <w:r>
          <w:rPr>
            <w:color w:val="1A6381"/>
            <w:u w:val="single"/>
            <w:sz w:val="18"/>
          </w:rPr>
          <w:t>[R019]</w:t>
        </w:r>
      </w:hyperlink>
      <w:r>
        <w:t xml:space="preserve"> · </w:t>
      </w:r>
      <w:hyperlink r:id="rId12">
        <w:r>
          <w:rPr>
            <w:color w:val="1A6381"/>
            <w:u w:val="single"/>
            <w:sz w:val="18"/>
          </w:rPr>
          <w:t>[R020]</w:t>
        </w:r>
      </w:hyperlink>
      <w:r>
        <w:t xml:space="preserve"> · </w:t>
      </w:r>
      <w:hyperlink r:id="rId38">
        <w:r>
          <w:rPr>
            <w:color w:val="1A6381"/>
            <w:u w:val="single"/>
            <w:sz w:val="18"/>
          </w:rPr>
          <w:t>[R021]</w:t>
        </w:r>
      </w:hyperlink>
      <w:r>
        <w:t xml:space="preserve"> · </w:t>
      </w:r>
      <w:hyperlink r:id="rId39">
        <w:r>
          <w:rPr>
            <w:color w:val="1A6381"/>
            <w:u w:val="single"/>
            <w:sz w:val="18"/>
          </w:rPr>
          <w:t>[R023]</w:t>
        </w:r>
      </w:hyperlink>
      <w:r>
        <w:t xml:space="preserve"> · </w:t>
      </w:r>
      <w:hyperlink r:id="rId40">
        <w:r>
          <w:rPr>
            <w:color w:val="1A6381"/>
            <w:u w:val="single"/>
            <w:sz w:val="18"/>
          </w:rPr>
          <w:t>[R024]</w:t>
        </w:r>
      </w:hyperlink>
      <w:r>
        <w:t xml:space="preserve"> · </w:t>
      </w:r>
      <w:hyperlink r:id="rId41">
        <w:r>
          <w:rPr>
            <w:color w:val="1A6381"/>
            <w:u w:val="single"/>
            <w:sz w:val="18"/>
          </w:rPr>
          <w:t>[R025]</w:t>
        </w:r>
      </w:hyperlink>
      <w:r>
        <w:t xml:space="preserve"> · </w:t>
      </w:r>
      <w:hyperlink r:id="rId42">
        <w:r>
          <w:rPr>
            <w:color w:val="1A6381"/>
            <w:u w:val="single"/>
            <w:sz w:val="18"/>
          </w:rPr>
          <w:t>[R028]</w:t>
        </w:r>
      </w:hyperlink>
      <w:r>
        <w:t xml:space="preserve"> · </w:t>
      </w:r>
      <w:hyperlink r:id="rId43">
        <w:r>
          <w:rPr>
            <w:color w:val="1A6381"/>
            <w:u w:val="single"/>
            <w:sz w:val="18"/>
          </w:rPr>
          <w:t>[R029]</w:t>
        </w:r>
      </w:hyperlink>
      <w:r>
        <w:t xml:space="preserve"> · </w:t>
      </w:r>
      <w:hyperlink r:id="rId44">
        <w:r>
          <w:rPr>
            <w:color w:val="1A6381"/>
            <w:u w:val="single"/>
            <w:sz w:val="18"/>
          </w:rPr>
          <w:t>[R030]</w:t>
        </w:r>
      </w:hyperlink>
      <w:r>
        <w:t xml:space="preserve"> · </w:t>
      </w:r>
      <w:hyperlink r:id="rId45">
        <w:r>
          <w:rPr>
            <w:color w:val="1A6381"/>
            <w:u w:val="single"/>
            <w:sz w:val="18"/>
          </w:rPr>
          <w:t>[R031]</w:t>
        </w:r>
      </w:hyperlink>
      <w:r>
        <w:t xml:space="preserve"> · </w:t>
      </w:r>
      <w:hyperlink r:id="rId46">
        <w:r>
          <w:rPr>
            <w:color w:val="1A6381"/>
            <w:u w:val="single"/>
            <w:sz w:val="18"/>
          </w:rPr>
          <w:t>[R050]</w:t>
        </w:r>
      </w:hyperlink>
      <w:r>
        <w:t xml:space="preserve"> · </w:t>
      </w:r>
      <w:hyperlink r:id="rId47">
        <w:r>
          <w:rPr>
            <w:color w:val="1A6381"/>
            <w:u w:val="single"/>
            <w:sz w:val="18"/>
          </w:rPr>
          <w:t>[R051]</w:t>
        </w:r>
      </w:hyperlink>
      <w:r>
        <w:t xml:space="preserve"> · </w:t>
      </w:r>
      <w:hyperlink r:id="rId48">
        <w:r>
          <w:rPr>
            <w:color w:val="1A6381"/>
            <w:u w:val="single"/>
            <w:sz w:val="18"/>
          </w:rPr>
          <w:t>[R052]</w:t>
        </w:r>
      </w:hyperlink>
      <w:r>
        <w:t xml:space="preserve"> · </w:t>
      </w:r>
      <w:hyperlink r:id="rId49">
        <w:r>
          <w:rPr>
            <w:color w:val="1A6381"/>
            <w:u w:val="single"/>
            <w:sz w:val="18"/>
          </w:rPr>
          <w:t>[R064]</w:t>
        </w:r>
      </w:hyperlink>
      <w:r>
        <w:t xml:space="preserve"> · </w:t>
      </w:r>
      <w:hyperlink r:id="rId50">
        <w:r>
          <w:rPr>
            <w:color w:val="1A6381"/>
            <w:u w:val="single"/>
            <w:sz w:val="18"/>
          </w:rPr>
          <w:t>[R077]</w:t>
        </w:r>
      </w:hyperlink>
      <w:r>
        <w:t xml:space="preserve"> · </w:t>
      </w:r>
      <w:hyperlink r:id="rId51">
        <w:r>
          <w:rPr>
            <w:color w:val="1A6381"/>
            <w:u w:val="single"/>
            <w:sz w:val="18"/>
          </w:rPr>
          <w:t>[R078]</w:t>
        </w:r>
      </w:hyperlink>
    </w:p>
    <w:p>
      <w:r>
        <w:t>Конкурирующие школы представлены Адамом Парвипонтанским, Introductiones Montane Maiores, фрагментами Albricani, Compendium logicae Porretanum и изданием Logica modernorum. Для части этих текстов подтверждён лишь каталог, для других — современный полный PDF с фрагментами. Не найденный полный доступ не назван отсутствием самого произведения.</w:t>
      </w:r>
      <w:r>
        <w:t xml:space="preserve">  </w:t>
      </w:r>
      <w:hyperlink r:id="rId52">
        <w:r>
          <w:rPr>
            <w:color w:val="1A6381"/>
            <w:u w:val="single"/>
            <w:sz w:val="18"/>
          </w:rPr>
          <w:t>[R042]</w:t>
        </w:r>
      </w:hyperlink>
      <w:r>
        <w:t xml:space="preserve"> · </w:t>
      </w:r>
      <w:hyperlink r:id="rId53">
        <w:r>
          <w:rPr>
            <w:color w:val="1A6381"/>
            <w:u w:val="single"/>
            <w:sz w:val="18"/>
          </w:rPr>
          <w:t>[R047]</w:t>
        </w:r>
      </w:hyperlink>
      <w:r>
        <w:t xml:space="preserve"> · </w:t>
      </w:r>
      <w:hyperlink r:id="rId54">
        <w:r>
          <w:rPr>
            <w:color w:val="1A6381"/>
            <w:u w:val="single"/>
            <w:sz w:val="18"/>
          </w:rPr>
          <w:t>[R048]</w:t>
        </w:r>
      </w:hyperlink>
      <w:r>
        <w:t xml:space="preserve"> · </w:t>
      </w:r>
      <w:hyperlink r:id="rId55">
        <w:r>
          <w:rPr>
            <w:color w:val="1A6381"/>
            <w:u w:val="single"/>
            <w:sz w:val="18"/>
          </w:rPr>
          <w:t>[R053]</w:t>
        </w:r>
      </w:hyperlink>
      <w:r>
        <w:t xml:space="preserve"> · </w:t>
      </w:r>
      <w:hyperlink r:id="rId56">
        <w:r>
          <w:rPr>
            <w:color w:val="1A6381"/>
            <w:u w:val="single"/>
            <w:sz w:val="18"/>
          </w:rPr>
          <w:t>[R054]</w:t>
        </w:r>
      </w:hyperlink>
      <w:r>
        <w:t xml:space="preserve"> · </w:t>
      </w:r>
      <w:hyperlink r:id="rId57">
        <w:r>
          <w:rPr>
            <w:color w:val="1A6381"/>
            <w:u w:val="single"/>
            <w:sz w:val="18"/>
          </w:rPr>
          <w:t>[R076]</w:t>
        </w:r>
      </w:hyperlink>
    </w:p>
    <w:p>
      <w:pPr>
        <w:pStyle w:val="Heading2"/>
      </w:pPr>
      <w:r>
        <w:t>2.2. Поиск назад: что именно входит в школьную передачу</w:t>
      </w:r>
    </w:p>
    <w:p>
      <w:r>
        <w:t>Античный и позднеантичный слой включён выборочно и по прямой функции: Categories, De interpretatione и Isagoge — предмет школьных глосс; боэцианские Opuscula sacra и Consolatio — предмет комментариев Гильберта, Тьерри и Вильгельма; De topicis differentiis — источник топической логики; латинский Timaeus Кальцидия — основа конкретных шартрских комментариев. Это не общая библиотека античной философии.</w:t>
      </w:r>
      <w:r>
        <w:t xml:space="preserve">  </w:t>
      </w:r>
      <w:hyperlink r:id="rId43">
        <w:r>
          <w:rPr>
            <w:color w:val="1A6381"/>
            <w:u w:val="single"/>
            <w:sz w:val="18"/>
          </w:rPr>
          <w:t>[R029]</w:t>
        </w:r>
      </w:hyperlink>
      <w:r>
        <w:t xml:space="preserve"> · </w:t>
      </w:r>
      <w:hyperlink r:id="rId44">
        <w:r>
          <w:rPr>
            <w:color w:val="1A6381"/>
            <w:u w:val="single"/>
            <w:sz w:val="18"/>
          </w:rPr>
          <w:t>[R030]</w:t>
        </w:r>
      </w:hyperlink>
      <w:r>
        <w:t xml:space="preserve"> · </w:t>
      </w:r>
      <w:hyperlink r:id="rId45">
        <w:r>
          <w:rPr>
            <w:color w:val="1A6381"/>
            <w:u w:val="single"/>
            <w:sz w:val="18"/>
          </w:rPr>
          <w:t>[R031]</w:t>
        </w:r>
      </w:hyperlink>
      <w:r>
        <w:t xml:space="preserve"> · </w:t>
      </w:r>
      <w:hyperlink r:id="rId58">
        <w:r>
          <w:rPr>
            <w:color w:val="1A6381"/>
            <w:u w:val="single"/>
            <w:sz w:val="18"/>
          </w:rPr>
          <w:t>[R034]</w:t>
        </w:r>
      </w:hyperlink>
      <w:r>
        <w:t xml:space="preserve"> · </w:t>
      </w:r>
      <w:hyperlink r:id="rId59">
        <w:r>
          <w:rPr>
            <w:color w:val="1A6381"/>
            <w:u w:val="single"/>
            <w:sz w:val="18"/>
          </w:rPr>
          <w:t>[R035]</w:t>
        </w:r>
      </w:hyperlink>
      <w:r>
        <w:t xml:space="preserve"> · </w:t>
      </w:r>
      <w:hyperlink r:id="rId60">
        <w:r>
          <w:rPr>
            <w:color w:val="1A6381"/>
            <w:u w:val="single"/>
            <w:sz w:val="18"/>
          </w:rPr>
          <w:t>[R036]</w:t>
        </w:r>
      </w:hyperlink>
      <w:r>
        <w:t xml:space="preserve"> · </w:t>
      </w:r>
      <w:hyperlink r:id="rId61">
        <w:r>
          <w:rPr>
            <w:color w:val="1A6381"/>
            <w:u w:val="single"/>
            <w:sz w:val="18"/>
          </w:rPr>
          <w:t>[R041]</w:t>
        </w:r>
      </w:hyperlink>
      <w:r>
        <w:t xml:space="preserve"> · </w:t>
      </w:r>
      <w:hyperlink r:id="rId62">
        <w:r>
          <w:rPr>
            <w:color w:val="1A6381"/>
            <w:u w:val="single"/>
            <w:sz w:val="18"/>
          </w:rPr>
          <w:t>[R044]</w:t>
        </w:r>
      </w:hyperlink>
      <w:r>
        <w:t xml:space="preserve"> · </w:t>
      </w:r>
      <w:hyperlink r:id="rId63">
        <w:r>
          <w:rPr>
            <w:color w:val="1A6381"/>
            <w:u w:val="single"/>
            <w:sz w:val="18"/>
          </w:rPr>
          <w:t>[R046]</w:t>
        </w:r>
      </w:hyperlink>
      <w:r>
        <w:t xml:space="preserve"> · </w:t>
      </w:r>
      <w:hyperlink r:id="rId49">
        <w:r>
          <w:rPr>
            <w:color w:val="1A6381"/>
            <w:u w:val="single"/>
            <w:sz w:val="18"/>
          </w:rPr>
          <w:t>[R064]</w:t>
        </w:r>
      </w:hyperlink>
      <w:r>
        <w:t xml:space="preserve"> · </w:t>
      </w:r>
      <w:hyperlink r:id="rId64">
        <w:r>
          <w:rPr>
            <w:color w:val="1A6381"/>
            <w:u w:val="single"/>
            <w:sz w:val="18"/>
          </w:rPr>
          <w:t>[R074]</w:t>
        </w:r>
      </w:hyperlink>
      <w:r>
        <w:t xml:space="preserve"> · </w:t>
      </w:r>
      <w:hyperlink r:id="rId50">
        <w:r>
          <w:rPr>
            <w:color w:val="1A6381"/>
            <w:u w:val="single"/>
            <w:sz w:val="18"/>
          </w:rPr>
          <w:t>[R077]</w:t>
        </w:r>
      </w:hyperlink>
    </w:p>
    <w:p>
      <w:r>
        <w:t>De grammatico Ансельма Кентерберийского добавлен как ранний логико-семантический родственник, без утверждения прямого заимствования Абеляром. Два письма Ансельма о Росцелине дают свидетельства полемики, но не собственный трактат Росцелина. Обе доступные английские версии — современные защищённые переводы, хотя размещены бесплатно.</w:t>
      </w:r>
      <w:r>
        <w:t xml:space="preserve">  </w:t>
      </w:r>
      <w:hyperlink r:id="rId65">
        <w:r>
          <w:rPr>
            <w:color w:val="1A6381"/>
            <w:u w:val="single"/>
            <w:sz w:val="18"/>
          </w:rPr>
          <w:t>[R069]</w:t>
        </w:r>
      </w:hyperlink>
      <w:r>
        <w:t xml:space="preserve"> · </w:t>
      </w:r>
      <w:hyperlink r:id="rId66">
        <w:r>
          <w:rPr>
            <w:color w:val="1A6381"/>
            <w:u w:val="single"/>
            <w:sz w:val="18"/>
          </w:rPr>
          <w:t>[R070]</w:t>
        </w:r>
      </w:hyperlink>
    </w:p>
    <w:p>
      <w:pPr>
        <w:pStyle w:val="Heading2"/>
      </w:pPr>
      <w:r>
        <w:t>2.3. Поиск вперёд: продолжение, редакция и сохранение</w:t>
      </w:r>
    </w:p>
    <w:p>
      <w:r>
        <w:t>Внутри позднейшего XII века и на выходе к XIII веку выделены «Сентенции» Петра Ломбардского, лекции Коместора и логика свойств терминов, представленная Syncategoremata Вильгельма Шервудского. Основание включения — переработка школьного материала в учебный канон или развитие того же логического инструментария. Это не перенос центра тяжести на всю зрелую схоластику.</w:t>
      </w:r>
      <w:r>
        <w:t xml:space="preserve">  </w:t>
      </w:r>
      <w:hyperlink r:id="rId46">
        <w:r>
          <w:rPr>
            <w:color w:val="1A6381"/>
            <w:u w:val="single"/>
            <w:sz w:val="18"/>
          </w:rPr>
          <w:t>[R050]</w:t>
        </w:r>
      </w:hyperlink>
      <w:r>
        <w:t xml:space="preserve"> · </w:t>
      </w:r>
      <w:hyperlink r:id="rId47">
        <w:r>
          <w:rPr>
            <w:color w:val="1A6381"/>
            <w:u w:val="single"/>
            <w:sz w:val="18"/>
          </w:rPr>
          <w:t>[R051]</w:t>
        </w:r>
      </w:hyperlink>
      <w:r>
        <w:t xml:space="preserve"> · </w:t>
      </w:r>
      <w:hyperlink r:id="rId67">
        <w:r>
          <w:rPr>
            <w:color w:val="1A6381"/>
            <w:u w:val="single"/>
            <w:sz w:val="18"/>
          </w:rPr>
          <w:t>[R065]</w:t>
        </w:r>
      </w:hyperlink>
      <w:r>
        <w:t xml:space="preserve"> · </w:t>
      </w:r>
      <w:hyperlink r:id="rId68">
        <w:r>
          <w:rPr>
            <w:color w:val="1A6381"/>
            <w:u w:val="single"/>
            <w:sz w:val="18"/>
          </w:rPr>
          <w:t>[R066]</w:t>
        </w:r>
      </w:hyperlink>
      <w:r>
        <w:t xml:space="preserve"> · </w:t>
      </w:r>
      <w:hyperlink r:id="rId69">
        <w:r>
          <w:rPr>
            <w:color w:val="1A6381"/>
            <w:u w:val="single"/>
            <w:sz w:val="18"/>
          </w:rPr>
          <w:t>[R067]</w:t>
        </w:r>
      </w:hyperlink>
      <w:r>
        <w:t xml:space="preserve"> · </w:t>
      </w:r>
      <w:hyperlink r:id="rId70">
        <w:r>
          <w:rPr>
            <w:color w:val="1A6381"/>
            <w:u w:val="single"/>
            <w:sz w:val="18"/>
          </w:rPr>
          <w:t>[R068]</w:t>
        </w:r>
      </w:hyperlink>
      <w:r>
        <w:t xml:space="preserve"> · </w:t>
      </w:r>
      <w:hyperlink r:id="rId15">
        <w:r>
          <w:rPr>
            <w:color w:val="1A6381"/>
            <w:u w:val="single"/>
            <w:sz w:val="18"/>
          </w:rPr>
          <w:t>[R071]</w:t>
        </w:r>
      </w:hyperlink>
      <w:r>
        <w:t xml:space="preserve"> · </w:t>
      </w:r>
      <w:hyperlink r:id="rId71">
        <w:r>
          <w:rPr>
            <w:color w:val="1A6381"/>
            <w:u w:val="single"/>
            <w:sz w:val="18"/>
          </w:rPr>
          <w:t>[R073]</w:t>
        </w:r>
      </w:hyperlink>
    </w:p>
    <w:p>
      <w:r>
        <w:t>Более удалённый ореол образуют каталонская Summa, передающая Dragmaticon, перевод Policratique 1372 года, Glossa в печати 1498–1502 и 1529 годов, «Сентенции» 1575 года, Metalogicus 1610 года и сборник Иоанна 1639 года. Их роль конкретна: перевод, печатная передача или сохранение раннего материала. Современные научные издания не принимаются за средневековые редакции; их дата вынесена в собственное поле версии.</w:t>
      </w:r>
      <w:r>
        <w:t xml:space="preserve">  </w:t>
      </w:r>
      <w:hyperlink r:id="rId11">
        <w:r>
          <w:rPr>
            <w:color w:val="1A6381"/>
            <w:u w:val="single"/>
            <w:sz w:val="18"/>
          </w:rPr>
          <w:t>[R019]</w:t>
        </w:r>
      </w:hyperlink>
      <w:r>
        <w:t xml:space="preserve"> · </w:t>
      </w:r>
      <w:hyperlink r:id="rId12">
        <w:r>
          <w:rPr>
            <w:color w:val="1A6381"/>
            <w:u w:val="single"/>
            <w:sz w:val="18"/>
          </w:rPr>
          <w:t>[R020]</w:t>
        </w:r>
      </w:hyperlink>
      <w:r>
        <w:t xml:space="preserve"> · </w:t>
      </w:r>
      <w:hyperlink r:id="rId42">
        <w:r>
          <w:rPr>
            <w:color w:val="1A6381"/>
            <w:u w:val="single"/>
            <w:sz w:val="18"/>
          </w:rPr>
          <w:t>[R028]</w:t>
        </w:r>
      </w:hyperlink>
      <w:r>
        <w:t xml:space="preserve"> · </w:t>
      </w:r>
      <w:hyperlink r:id="rId33">
        <w:r>
          <w:rPr>
            <w:color w:val="1A6381"/>
            <w:u w:val="single"/>
            <w:sz w:val="18"/>
          </w:rPr>
          <w:t>[R058]</w:t>
        </w:r>
      </w:hyperlink>
      <w:r>
        <w:t xml:space="preserve"> · </w:t>
      </w:r>
      <w:hyperlink r:id="rId34">
        <w:r>
          <w:rPr>
            <w:color w:val="1A6381"/>
            <w:u w:val="single"/>
            <w:sz w:val="18"/>
          </w:rPr>
          <w:t>[R059]</w:t>
        </w:r>
      </w:hyperlink>
      <w:r>
        <w:t xml:space="preserve"> · </w:t>
      </w:r>
      <w:hyperlink r:id="rId72">
        <w:r>
          <w:rPr>
            <w:color w:val="1A6381"/>
            <w:u w:val="single"/>
            <w:sz w:val="18"/>
          </w:rPr>
          <w:t>[R061]</w:t>
        </w:r>
      </w:hyperlink>
      <w:r>
        <w:t xml:space="preserve"> · </w:t>
      </w:r>
      <w:hyperlink r:id="rId15">
        <w:r>
          <w:rPr>
            <w:color w:val="1A6381"/>
            <w:u w:val="single"/>
            <w:sz w:val="18"/>
          </w:rPr>
          <w:t>[R071]</w:t>
        </w:r>
      </w:hyperlink>
      <w:r>
        <w:t xml:space="preserve"> · </w:t>
      </w:r>
      <w:hyperlink r:id="rId36">
        <w:r>
          <w:rPr>
            <w:color w:val="1A6381"/>
            <w:u w:val="single"/>
            <w:sz w:val="18"/>
          </w:rPr>
          <w:t>[R075]</w:t>
        </w:r>
      </w:hyperlink>
    </w:p>
    <w:p>
      <w:r>
        <w:t>Поздняя дата не снижает релевантность: например, современное фотофаксимиле может быть лучшим доступом к раннему свидетелю. Но поздний состав не должен маскироваться под исходный: комментарии Лиры и других авторов в печатной Glossa остаются отдельными слоями, даже когда физически напечатаны вокруг того же библейского текста.</w:t>
      </w:r>
    </w:p>
    <w:p>
      <w:pPr>
        <w:pStyle w:val="Heading2"/>
      </w:pPr>
      <w:r>
        <w:t>2.4. Количественная рамка</w:t>
      </w:r>
    </w:p>
    <w:tbl>
      <w:tblPr>
        <w:tblStyle w:val="LightShading-Accent1"/>
        <w:tblW w:type="auto" w:w="0"/>
        <w:jc w:val="center"/>
        <w:tblLayout w:type="fixed"/>
        <w:tblLook w:firstColumn="1" w:firstRow="1" w:lastColumn="0" w:lastRow="0" w:noHBand="0" w:noVBand="1" w:val="04A0"/>
      </w:tblPr>
      <w:tblGrid>
        <w:gridCol w:w="2835"/>
        <w:gridCol w:w="6803"/>
      </w:tblGrid>
      <w:tr>
        <w:trPr>
          <w:tblHeader/>
        </w:trPr>
        <w:tc>
          <w:tcPr>
            <w:tcW w:type="dxa" w:w="2835"/>
            <w:shd w:fill="173D4F"/>
          </w:tcPr>
          <w:p>
            <w:r>
              <w:rPr>
                <w:b/>
                <w:color w:val="FFFFFF"/>
                <w:sz w:val="20"/>
              </w:rPr>
              <w:t>Показатель</w:t>
            </w:r>
          </w:p>
        </w:tc>
        <w:tc>
          <w:tcPr>
            <w:tcW w:type="dxa" w:w="6803"/>
            <w:shd w:fill="173D4F"/>
          </w:tcPr>
          <w:p>
            <w:r>
              <w:rPr>
                <w:b/>
                <w:color w:val="FFFFFF"/>
                <w:sz w:val="20"/>
              </w:rPr>
              <w:t>Результат</w:t>
            </w:r>
          </w:p>
        </w:tc>
      </w:tr>
      <w:tr>
        <w:trPr>
          <w:cantSplit/>
        </w:trPr>
        <w:tc>
          <w:tcPr>
            <w:tcW w:type="dxa" w:w="2835"/>
            <w:vAlign w:val="top"/>
          </w:tcPr>
          <w:p>
            <w:pPr>
              <w:spacing w:after="80" w:line="252" w:lineRule="auto"/>
            </w:pPr>
            <w:r>
              <w:rPr>
                <w:sz w:val="20"/>
              </w:rPr>
              <w:t>Практически отличимые маршруты</w:t>
            </w:r>
          </w:p>
        </w:tc>
        <w:tc>
          <w:tcPr>
            <w:tcW w:type="dxa" w:w="6803"/>
            <w:vAlign w:val="top"/>
          </w:tcPr>
          <w:p>
            <w:pPr>
              <w:spacing w:after="80" w:line="252" w:lineRule="auto"/>
            </w:pPr>
            <w:r>
              <w:rPr>
                <w:sz w:val="20"/>
              </w:rPr>
              <w:t>78 записей registry; из них 73 ведут к первичным текстам, версиям, свидетелям или их предметным карточкам, 4 — к инфраструктуре, 1 — к вспомогательной библиографии.</w:t>
            </w:r>
          </w:p>
        </w:tc>
      </w:tr>
      <w:tr>
        <w:trPr>
          <w:cantSplit/>
        </w:trPr>
        <w:tc>
          <w:tcPr>
            <w:tcW w:type="dxa" w:w="2835"/>
            <w:vAlign w:val="top"/>
          </w:tcPr>
          <w:p>
            <w:pPr>
              <w:spacing w:after="80" w:line="252" w:lineRule="auto"/>
            </w:pPr>
            <w:r>
              <w:rPr>
                <w:sz w:val="20"/>
              </w:rPr>
              <w:t>Произведения и корпусные группы</w:t>
            </w:r>
          </w:p>
        </w:tc>
        <w:tc>
          <w:tcPr>
            <w:tcW w:type="dxa" w:w="6803"/>
            <w:vAlign w:val="top"/>
          </w:tcPr>
          <w:p>
            <w:pPr>
              <w:spacing w:after="80" w:line="252" w:lineRule="auto"/>
            </w:pPr>
            <w:r>
              <w:rPr>
                <w:sz w:val="20"/>
              </w:rPr>
              <w:t>Около 46 при консервативном укрупнении. Четыре книги перевода Silano считаются одним корпусом; несколько экземпляров Glossa не считаются разными произведениями; сборники не раздуваются по каждому внутреннему файлу.</w:t>
            </w:r>
          </w:p>
        </w:tc>
      </w:tr>
      <w:tr>
        <w:trPr>
          <w:cantSplit/>
        </w:trPr>
        <w:tc>
          <w:tcPr>
            <w:tcW w:type="dxa" w:w="2835"/>
            <w:vAlign w:val="top"/>
          </w:tcPr>
          <w:p>
            <w:pPr>
              <w:spacing w:after="80" w:line="252" w:lineRule="auto"/>
            </w:pPr>
            <w:r>
              <w:rPr>
                <w:sz w:val="20"/>
              </w:rPr>
              <w:t>Режимы доступа</w:t>
            </w:r>
          </w:p>
        </w:tc>
        <w:tc>
          <w:tcPr>
            <w:tcW w:type="dxa" w:w="6803"/>
            <w:vAlign w:val="top"/>
          </w:tcPr>
          <w:p>
            <w:pPr>
              <w:spacing w:after="80" w:line="252" w:lineRule="auto"/>
            </w:pPr>
            <w:r>
              <w:rPr>
                <w:sz w:val="20"/>
              </w:rPr>
              <w:t>27 маршрутов предлагают бесплатное чтение и/или скачивание; 31 — покупку; 15 — только предметные метаданные. Preview и институциональный доступ сохранены отдельно. Категории могут пересекаться и включают инфраструктуру.</w:t>
            </w:r>
          </w:p>
        </w:tc>
      </w:tr>
      <w:tr>
        <w:trPr>
          <w:cantSplit/>
        </w:trPr>
        <w:tc>
          <w:tcPr>
            <w:tcW w:type="dxa" w:w="2835"/>
            <w:vAlign w:val="top"/>
          </w:tcPr>
          <w:p>
            <w:pPr>
              <w:spacing w:after="80" w:line="252" w:lineRule="auto"/>
            </w:pPr>
            <w:r>
              <w:rPr>
                <w:sz w:val="20"/>
              </w:rPr>
              <w:t>Релевантность</w:t>
            </w:r>
          </w:p>
        </w:tc>
        <w:tc>
          <w:tcPr>
            <w:tcW w:type="dxa" w:w="6803"/>
            <w:vAlign w:val="top"/>
          </w:tcPr>
          <w:p>
            <w:pPr>
              <w:spacing w:after="80" w:line="252" w:lineRule="auto"/>
            </w:pPr>
            <w:r>
              <w:rPr>
                <w:sz w:val="20"/>
              </w:rPr>
              <w:t>core — 25; same_corpus_or_tradition — 20; antecedent — 8; continuation — 7; transmission_or_preservation — 11; supporting — 2; infrastructure — 4; secondary_navigation — 1.</w:t>
            </w:r>
          </w:p>
        </w:tc>
      </w:tr>
      <w:tr>
        <w:trPr>
          <w:cantSplit/>
        </w:trPr>
        <w:tc>
          <w:tcPr>
            <w:tcW w:type="dxa" w:w="2835"/>
            <w:vAlign w:val="top"/>
          </w:tcPr>
          <w:p>
            <w:pPr>
              <w:spacing w:after="80" w:line="252" w:lineRule="auto"/>
            </w:pPr>
            <w:r>
              <w:rPr>
                <w:sz w:val="20"/>
              </w:rPr>
              <w:t>Ограничения поиска</w:t>
            </w:r>
          </w:p>
        </w:tc>
        <w:tc>
          <w:tcPr>
            <w:tcW w:type="dxa" w:w="6803"/>
            <w:vAlign w:val="top"/>
          </w:tcPr>
          <w:p>
            <w:pPr>
              <w:spacing w:after="80" w:line="252" w:lineRule="auto"/>
            </w:pPr>
            <w:r>
              <w:rPr>
                <w:sz w:val="20"/>
              </w:rPr>
              <w:t>18 записей gaps; это не 18 отсутствующих произведений: часть относится к правам, полноте, конкретной версии или неоткрывшемуся файлу.</w:t>
            </w:r>
          </w:p>
        </w:tc>
      </w:tr>
    </w:tbl>
    <w:p>
      <w:pPr>
        <w:spacing w:after="20"/>
      </w:pPr>
    </w:p>
    <w:p>
      <w:r>
        <w:t>Категории commentary_or_reception и boundary не получили отдельных строк: конкретные рецепции здесь учтены по их основной функции — как передача, продолжение или член той же текстовой семьи. Это классификационное решение, а не отсутствие рецепции. Результат не претендует на исчерпывающий учёт всех рукописей и всех редакций школьного XII века.</w:t>
      </w:r>
    </w:p>
    <w:p>
      <w:pPr>
        <w:pStyle w:val="Heading1"/>
      </w:pPr>
      <w:r>
        <w:t>3. Лучшие пути доступа</w:t>
      </w:r>
    </w:p>
    <w:p>
      <w:r>
        <w:t>«Лучший» ниже означает лучший среди проверенных входов для указанной цели. Старое свободное издание, удобный перевод и наиболее точный критический текст часто находятся на разных страницах. Полнота относится к конкретной версии, книге, фрагменту или свидетелю.</w:t>
      </w:r>
    </w:p>
    <w:p>
      <w:pPr>
        <w:pStyle w:val="Heading2"/>
      </w:pPr>
      <w:r>
        <w:t>3.1. Абеляр: логика и семантика</w:t>
      </w:r>
    </w:p>
    <w:p>
      <w:r/>
      <w:r>
        <w:rPr>
          <w:b/>
        </w:rPr>
        <w:t>Для бесплатной работы с латинским текстом</w:t>
      </w:r>
      <w:r>
        <w:t xml:space="preserve"> полезнее всего начать с институциональных сканов Cousin 1836 и сборного Geyer. Они дают доступ к материалу Dialectica и логических глосс без подмены его современным пересказом. Но том Cousin — составной сборник, а Geyer объединяет выпуски разных лет. Открытые OCR/текстовые файлы удобны как черновой поисковый слой, не как проверенная транскрипция.</w:t>
      </w:r>
      <w:r>
        <w:t xml:space="preserve">  </w:t>
      </w:r>
      <w:hyperlink r:id="rId73">
        <w:r>
          <w:rPr>
            <w:color w:val="1A6381"/>
            <w:u w:val="single"/>
            <w:sz w:val="18"/>
          </w:rPr>
          <w:t>[R018]</w:t>
        </w:r>
      </w:hyperlink>
      <w:r>
        <w:t xml:space="preserve"> · </w:t>
      </w:r>
      <w:hyperlink r:id="rId24">
        <w:r>
          <w:rPr>
            <w:color w:val="1A6381"/>
            <w:u w:val="single"/>
            <w:sz w:val="18"/>
          </w:rPr>
          <w:t>[R027]</w:t>
        </w:r>
      </w:hyperlink>
    </w:p>
    <w:p>
      <w:r/>
      <w:r>
        <w:rPr>
          <w:b/>
        </w:rPr>
        <w:t>Для научной точности</w:t>
      </w:r>
      <w:r>
        <w:t xml:space="preserve"> выделяется Glossae super Peri hermeneias I в редакции Jacobi–Strub 2010: издатель описывает использование другого рукописного свидетельства и исправление ограничений издания Geyer. Это конкретная причина сохранить платный маршрут, а не заменить его старым сканом. Критическая Dialectica de Rijk 1970 пока представлена проверенной ограниченной карточкой; действующая цифровая выдача не подтверждена. Tractatus de intellectibus доступен в отдельном латинско-французском издании Morin.</w:t>
      </w:r>
      <w:r>
        <w:t xml:space="preserve">  </w:t>
      </w:r>
      <w:hyperlink r:id="rId18">
        <w:r>
          <w:rPr>
            <w:color w:val="1A6381"/>
            <w:u w:val="single"/>
            <w:sz w:val="18"/>
          </w:rPr>
          <w:t>[R012]</w:t>
        </w:r>
      </w:hyperlink>
      <w:r>
        <w:t xml:space="preserve"> · </w:t>
      </w:r>
      <w:hyperlink r:id="rId22">
        <w:r>
          <w:rPr>
            <w:color w:val="1A6381"/>
            <w:u w:val="single"/>
            <w:sz w:val="18"/>
          </w:rPr>
          <w:t>[R016]</w:t>
        </w:r>
      </w:hyperlink>
      <w:r>
        <w:t xml:space="preserve"> · </w:t>
      </w:r>
      <w:hyperlink r:id="rId14">
        <w:r>
          <w:rPr>
            <w:color w:val="1A6381"/>
            <w:u w:val="single"/>
            <w:sz w:val="18"/>
          </w:rPr>
          <w:t>[R063]</w:t>
        </w:r>
      </w:hyperlink>
    </w:p>
    <w:p>
      <w:r>
        <w:t>Открытая лицензия на современный полный машиночитаемый корпус логики Абеляра не установлена. Corpus Corporum остаётся потенциально полезной инфраструктурой, но его оболочка не позволила проверить текст и экспорт конкретной версии. Для нового перевода нельзя автоматически брать защищённую реконструкцию или считать неизвестный OCR «чистым оригиналом».</w:t>
      </w:r>
      <w:r>
        <w:t xml:space="preserve">  </w:t>
      </w:r>
      <w:hyperlink r:id="rId74">
        <w:r>
          <w:rPr>
            <w:color w:val="1A6381"/>
            <w:u w:val="single"/>
            <w:sz w:val="18"/>
          </w:rPr>
          <w:t>[R009]</w:t>
        </w:r>
      </w:hyperlink>
    </w:p>
    <w:p>
      <w:pPr>
        <w:pStyle w:val="Heading2"/>
      </w:pPr>
      <w:r>
        <w:t>3.2. Sic et Non</w:t>
      </w:r>
    </w:p>
    <w:p>
      <w:r/>
      <w:r>
        <w:rPr>
          <w:b/>
        </w:rPr>
        <w:t>Самый простой бесплатный вход в метод — английский пролог Lewis на Fordham</w:t>
      </w:r>
      <w:r>
        <w:t>, рядом сохранён авторский немецкий перевод Robl. Оба маршрута покрывают пролог, не весь сборник вопросов. Для латинского печатного материала есть Cousin; карточка полного Henke–Lindenkohl 1851 в BSB найдена, но читатель не отдал содержимое. Критическое Boyer–McKeon идентифицировано в защищённой библиотечной карточке. Таким образом, «полный современный текст бесплатно» этим поиском не подтверждён.</w:t>
      </w:r>
      <w:r>
        <w:t xml:space="preserve">  </w:t>
      </w:r>
      <w:hyperlink r:id="rId75">
        <w:r>
          <w:rPr>
            <w:color w:val="1A6381"/>
            <w:u w:val="single"/>
            <w:sz w:val="18"/>
          </w:rPr>
          <w:t>[R001]</w:t>
        </w:r>
      </w:hyperlink>
      <w:r>
        <w:t xml:space="preserve"> · </w:t>
      </w:r>
      <w:hyperlink r:id="rId76">
        <w:r>
          <w:rPr>
            <w:color w:val="1A6381"/>
            <w:u w:val="single"/>
            <w:sz w:val="18"/>
          </w:rPr>
          <w:t>[R002]</w:t>
        </w:r>
      </w:hyperlink>
      <w:r>
        <w:t xml:space="preserve"> · </w:t>
      </w:r>
      <w:hyperlink r:id="rId77">
        <w:r>
          <w:rPr>
            <w:color w:val="1A6381"/>
            <w:u w:val="single"/>
            <w:sz w:val="18"/>
          </w:rPr>
          <w:t>[R003]</w:t>
        </w:r>
      </w:hyperlink>
      <w:r>
        <w:t xml:space="preserve"> · </w:t>
      </w:r>
      <w:hyperlink r:id="rId23">
        <w:r>
          <w:rPr>
            <w:color w:val="1A6381"/>
            <w:u w:val="single"/>
            <w:sz w:val="18"/>
          </w:rPr>
          <w:t>[R017]</w:t>
        </w:r>
      </w:hyperlink>
      <w:r>
        <w:t xml:space="preserve"> · </w:t>
      </w:r>
      <w:hyperlink r:id="rId73">
        <w:r>
          <w:rPr>
            <w:color w:val="1A6381"/>
            <w:u w:val="single"/>
            <w:sz w:val="18"/>
          </w:rPr>
          <w:t>[R018]</w:t>
        </w:r>
      </w:hyperlink>
    </w:p>
    <w:p>
      <w:r>
        <w:t>Латинская Wikisource не выбрана в качестве самого свободного варианта: отсутствие установленного печатного источника мешает и текстологической проверке, и уверенной оценке прав. G001 — конкретная задача сверки, а не повод терять уже проверенные старые и современные входы.</w:t>
      </w:r>
    </w:p>
    <w:p>
      <w:pPr>
        <w:pStyle w:val="Heading2"/>
      </w:pPr>
      <w:r>
        <w:t>3.3. Другие произведения Абеляра и свидетельство о школах</w:t>
      </w:r>
    </w:p>
    <w:p>
      <w:r>
        <w:t>Ethica имеет современный двуязычный маршрут; Theologia christiana, Summi boni и Scholarium распределены между соответствующими томами CCCM. Expositio in Hexameron и Sententie добавляют экзегетический и школьный слои. Эти издания полезны для понимания состава корпуса, но не получили разрешения на зеркалирование. Незавершённость второй книги Ethica и фрагментарность школьных записей явно отделены от полноты продаваемого тома.</w:t>
      </w:r>
      <w:r>
        <w:t xml:space="preserve">  </w:t>
      </w:r>
      <w:hyperlink r:id="rId17">
        <w:r>
          <w:rPr>
            <w:color w:val="1A6381"/>
            <w:u w:val="single"/>
            <w:sz w:val="18"/>
          </w:rPr>
          <w:t>[R011]</w:t>
        </w:r>
      </w:hyperlink>
      <w:r>
        <w:t xml:space="preserve"> · </w:t>
      </w:r>
      <w:hyperlink r:id="rId19">
        <w:r>
          <w:rPr>
            <w:color w:val="1A6381"/>
            <w:u w:val="single"/>
            <w:sz w:val="18"/>
          </w:rPr>
          <w:t>[R013]</w:t>
        </w:r>
      </w:hyperlink>
      <w:r>
        <w:t xml:space="preserve"> · </w:t>
      </w:r>
      <w:hyperlink r:id="rId20">
        <w:r>
          <w:rPr>
            <w:color w:val="1A6381"/>
            <w:u w:val="single"/>
            <w:sz w:val="18"/>
          </w:rPr>
          <w:t>[R014]</w:t>
        </w:r>
      </w:hyperlink>
      <w:r>
        <w:t xml:space="preserve"> · </w:t>
      </w:r>
      <w:hyperlink r:id="rId21">
        <w:r>
          <w:rPr>
            <w:color w:val="1A6381"/>
            <w:u w:val="single"/>
            <w:sz w:val="18"/>
          </w:rPr>
          <w:t>[R015]</w:t>
        </w:r>
      </w:hyperlink>
      <w:r>
        <w:t xml:space="preserve"> · </w:t>
      </w:r>
      <w:hyperlink r:id="rId26">
        <w:r>
          <w:rPr>
            <w:color w:val="1A6381"/>
            <w:u w:val="single"/>
            <w:sz w:val="18"/>
          </w:rPr>
          <w:t>[R049]</w:t>
        </w:r>
      </w:hyperlink>
    </w:p>
    <w:p>
      <w:r/>
      <w:r>
        <w:rPr>
          <w:b/>
        </w:rPr>
        <w:t>Для русского чтения</w:t>
      </w:r>
      <w:r>
        <w:t xml:space="preserve"> найден официальный PDF «Истории моих бедствий» в переводе С. С. Неретиной, размещённый ИФ РАН. </w:t>
      </w:r>
      <w:r>
        <w:rPr>
          <w:b/>
        </w:rPr>
        <w:t>Для удобного старого английского текста</w:t>
      </w:r>
      <w:r>
        <w:t xml:space="preserve"> — Bellows в Project Gutenberg. Это разные переводы с разными правовыми основаниями; современный русский файл не становится свободным оттого, что английский помечен PD в США. Полный эпистолярный корпус, Collationes, комментарий к Римлянам и Soliloquium остаются в адресном продолжении поиска.</w:t>
      </w:r>
      <w:r>
        <w:t xml:space="preserve">  </w:t>
      </w:r>
      <w:hyperlink r:id="rId29">
        <w:r>
          <w:rPr>
            <w:color w:val="1A6381"/>
            <w:u w:val="single"/>
            <w:sz w:val="18"/>
          </w:rPr>
          <w:t>[R045]</w:t>
        </w:r>
      </w:hyperlink>
      <w:r>
        <w:t xml:space="preserve"> · </w:t>
      </w:r>
      <w:hyperlink r:id="rId30">
        <w:r>
          <w:rPr>
            <w:color w:val="1A6381"/>
            <w:u w:val="single"/>
            <w:sz w:val="18"/>
          </w:rPr>
          <w:t>[R055]</w:t>
        </w:r>
      </w:hyperlink>
    </w:p>
    <w:p>
      <w:pPr>
        <w:pStyle w:val="Heading2"/>
      </w:pPr>
      <w:r>
        <w:t>3.4. Иоанн Солсберийский</w:t>
      </w:r>
    </w:p>
    <w:p>
      <w:r/>
      <w:r>
        <w:rPr>
          <w:b/>
        </w:rPr>
        <w:t>Лучший проверенный современный латинский вход в Metalogicon — Hall, CCCM 98; современный английский — Hall/Haseldine, CCT 12.</w:t>
      </w:r>
      <w:r>
        <w:t xml:space="preserve"> Для бесплатного обращения к ранней печати сохранены Metalogicus 1610 и совместное издание 1639 года. Это исторические версии, не заменяющие критический аппарат. McGarry 1955 в HathiTrust имеет обозначение Full View, однако сам читатель в этой среде не проверен: маршрут сохранён как предметная карточка, а не обещание бесплатного полного текста.</w:t>
      </w:r>
      <w:r>
        <w:t xml:space="preserve">  </w:t>
      </w:r>
      <w:hyperlink r:id="rId27">
        <w:r>
          <w:rPr>
            <w:color w:val="1A6381"/>
            <w:u w:val="single"/>
            <w:sz w:val="18"/>
          </w:rPr>
          <w:t>[R005]</w:t>
        </w:r>
      </w:hyperlink>
      <w:r>
        <w:t xml:space="preserve"> · </w:t>
      </w:r>
      <w:hyperlink r:id="rId28">
        <w:r>
          <w:rPr>
            <w:color w:val="1A6381"/>
            <w:u w:val="single"/>
            <w:sz w:val="18"/>
          </w:rPr>
          <w:t>[R006]</w:t>
        </w:r>
      </w:hyperlink>
      <w:r>
        <w:t xml:space="preserve"> · </w:t>
      </w:r>
      <w:hyperlink r:id="rId78">
        <w:r>
          <w:rPr>
            <w:color w:val="1A6381"/>
            <w:u w:val="single"/>
            <w:sz w:val="18"/>
          </w:rPr>
          <w:t>[R007]</w:t>
        </w:r>
      </w:hyperlink>
      <w:r>
        <w:t xml:space="preserve"> · </w:t>
      </w:r>
      <w:hyperlink r:id="rId33">
        <w:r>
          <w:rPr>
            <w:color w:val="1A6381"/>
            <w:u w:val="single"/>
            <w:sz w:val="18"/>
          </w:rPr>
          <w:t>[R058]</w:t>
        </w:r>
      </w:hyperlink>
      <w:r>
        <w:t xml:space="preserve"> · </w:t>
      </w:r>
      <w:hyperlink r:id="rId34">
        <w:r>
          <w:rPr>
            <w:color w:val="1A6381"/>
            <w:u w:val="single"/>
            <w:sz w:val="18"/>
          </w:rPr>
          <w:t>[R059]</w:t>
        </w:r>
      </w:hyperlink>
    </w:p>
    <w:p>
      <w:r>
        <w:t>Policraticus можно исследовать по двум отдельным сканам Webb 1909; один том не выдаётся за всё восьмикнижие. Для английского ознакомления есть preview Nederman; для линии позднесредневекового перевода — книги I–III Policratique Фулеша в современном издании Brucker. Ни среднефранцузская древность, ни наличие preview не освобождают современную редакцию.</w:t>
      </w:r>
      <w:r>
        <w:t xml:space="preserve">  </w:t>
      </w:r>
      <w:hyperlink r:id="rId31">
        <w:r>
          <w:rPr>
            <w:color w:val="1A6381"/>
            <w:u w:val="single"/>
            <w:sz w:val="18"/>
          </w:rPr>
          <w:t>[R056]</w:t>
        </w:r>
      </w:hyperlink>
      <w:r>
        <w:t xml:space="preserve"> · </w:t>
      </w:r>
      <w:hyperlink r:id="rId32">
        <w:r>
          <w:rPr>
            <w:color w:val="1A6381"/>
            <w:u w:val="single"/>
            <w:sz w:val="18"/>
          </w:rPr>
          <w:t>[R057]</w:t>
        </w:r>
      </w:hyperlink>
      <w:r>
        <w:t xml:space="preserve"> · </w:t>
      </w:r>
      <w:hyperlink r:id="rId35">
        <w:r>
          <w:rPr>
            <w:color w:val="1A6381"/>
            <w:u w:val="single"/>
            <w:sz w:val="18"/>
          </w:rPr>
          <w:t>[R060]</w:t>
        </w:r>
      </w:hyperlink>
      <w:r>
        <w:t xml:space="preserve"> · </w:t>
      </w:r>
      <w:hyperlink r:id="rId36">
        <w:r>
          <w:rPr>
            <w:color w:val="1A6381"/>
            <w:u w:val="single"/>
            <w:sz w:val="18"/>
          </w:rPr>
          <w:t>[R075]</w:t>
        </w:r>
      </w:hyperlink>
    </w:p>
    <w:p>
      <w:pPr>
        <w:pStyle w:val="Heading2"/>
      </w:pPr>
      <w:r>
        <w:t>3.5. Лан, Glossa и лекционная экзегеза</w:t>
      </w:r>
    </w:p>
    <w:p>
      <w:r/>
      <w:r>
        <w:rPr>
          <w:b/>
        </w:rPr>
        <w:t>Лучшие проверенные свободные факсимиле с ясным правовым основанием — два комплекта e-rara:</w:t>
      </w:r>
      <w:r>
        <w:t xml:space="preserve"> базельский 1498 года и цюрихский 1498?–1502 годов. У базельского комплекта дополнительно предложены TXT/ALTO; у обоих есть цифровые форматы для просмотра и загрузки. Это наиболее удобные кандидаты для собственного исследовательского OCR и показа исторической страницы. Они передают поздний печатный состав, а не восстанавливают автоматически ланскую Glossa начала XII века.</w:t>
      </w:r>
      <w:r>
        <w:t xml:space="preserve">  </w:t>
      </w:r>
      <w:hyperlink r:id="rId11">
        <w:r>
          <w:rPr>
            <w:color w:val="1A6381"/>
            <w:u w:val="single"/>
            <w:sz w:val="18"/>
          </w:rPr>
          <w:t>[R019]</w:t>
        </w:r>
      </w:hyperlink>
      <w:r>
        <w:t xml:space="preserve"> · </w:t>
      </w:r>
      <w:hyperlink r:id="rId12">
        <w:r>
          <w:rPr>
            <w:color w:val="1A6381"/>
            <w:u w:val="single"/>
            <w:sz w:val="18"/>
          </w:rPr>
          <w:t>[R020]</w:t>
        </w:r>
      </w:hyperlink>
    </w:p>
    <w:p>
      <w:r>
        <w:t>Для раннего школьного контекста нужен также латинский корпус сентенций в старом издании Bliemetzrieder. Для научной работы с отдельной книгой Glossa сохранено критическое издание Mary Dove. Коместор представлен отдельно прологами к четырём Евангелиям и изданием лекций только к первой главе Иоанна. Ни один из этих отдельных томов не назван полной Glossa или полным евангельским комментарием.</w:t>
      </w:r>
      <w:r>
        <w:t xml:space="preserve">  </w:t>
      </w:r>
      <w:hyperlink r:id="rId38">
        <w:r>
          <w:rPr>
            <w:color w:val="1A6381"/>
            <w:u w:val="single"/>
            <w:sz w:val="18"/>
          </w:rPr>
          <w:t>[R021]</w:t>
        </w:r>
      </w:hyperlink>
      <w:r>
        <w:t xml:space="preserve"> · </w:t>
      </w:r>
      <w:hyperlink r:id="rId46">
        <w:r>
          <w:rPr>
            <w:color w:val="1A6381"/>
            <w:u w:val="single"/>
            <w:sz w:val="18"/>
          </w:rPr>
          <w:t>[R050]</w:t>
        </w:r>
      </w:hyperlink>
      <w:r>
        <w:t xml:space="preserve"> · </w:t>
      </w:r>
      <w:hyperlink r:id="rId47">
        <w:r>
          <w:rPr>
            <w:color w:val="1A6381"/>
            <w:u w:val="single"/>
            <w:sz w:val="18"/>
          </w:rPr>
          <w:t>[R051]</w:t>
        </w:r>
      </w:hyperlink>
      <w:r>
        <w:t xml:space="preserve"> · </w:t>
      </w:r>
      <w:hyperlink r:id="rId48">
        <w:r>
          <w:rPr>
            <w:color w:val="1A6381"/>
            <w:u w:val="single"/>
            <w:sz w:val="18"/>
          </w:rPr>
          <w:t>[R052]</w:t>
        </w:r>
      </w:hyperlink>
    </w:p>
    <w:p>
      <w:r/>
      <w:r>
        <w:rPr>
          <w:b/>
        </w:rPr>
        <w:t>Некоммерческий путь с ND-ограничением</w:t>
      </w:r>
      <w:r>
        <w:t xml:space="preserve"> — шестая часть Glossa с Лирой, Лион 1529, в Deusto. Он годится для распространения неизменённого файла в пределах лицензии, но не заменяет свободную основу для публичного производного текста. Handlist Froehlich–Zier полезен для поиска свидетелей; недоступный в проверке Gloss-e не получил выдуманного открытого TEI/API.</w:t>
      </w:r>
      <w:r>
        <w:t xml:space="preserve">  </w:t>
      </w:r>
      <w:hyperlink r:id="rId79">
        <w:r>
          <w:rPr>
            <w:color w:val="1A6381"/>
            <w:u w:val="single"/>
            <w:sz w:val="18"/>
          </w:rPr>
          <w:t>[R022]</w:t>
        </w:r>
      </w:hyperlink>
      <w:r>
        <w:t xml:space="preserve"> · </w:t>
      </w:r>
      <w:hyperlink r:id="rId72">
        <w:r>
          <w:rPr>
            <w:color w:val="1A6381"/>
            <w:u w:val="single"/>
            <w:sz w:val="18"/>
          </w:rPr>
          <w:t>[R061]</w:t>
        </w:r>
      </w:hyperlink>
    </w:p>
    <w:p>
      <w:pPr>
        <w:pStyle w:val="Heading2"/>
      </w:pPr>
      <w:r>
        <w:t>3.6. Шартрские свидетели и комментарии</w:t>
      </w:r>
    </w:p>
    <w:p>
      <w:r>
        <w:t xml:space="preserve">Для </w:t>
      </w:r>
      <w:r>
        <w:rPr>
          <w:b/>
        </w:rPr>
        <w:t>Heptateuchon</w:t>
      </w:r>
      <w:r>
        <w:t xml:space="preserve"> наиболее предметный бесплатный вход — старое фотофаксимиле первого тома MS 498: ff. 2–85r, а не вся рукопись. Трёхтомный комплект HathiTrust и предметная запись MS 497 сохранены с ограничениями проверки. По Orléans 266 подтверждён сам логический сборник, но пригодный полный цифровой вход из DR не найден. Эти различия особенно важны для задачи сохранения повреждённых или частично доступных свидетелей.</w:t>
      </w:r>
      <w:r>
        <w:t xml:space="preserve">  </w:t>
      </w:r>
      <w:hyperlink r:id="rId37">
        <w:r>
          <w:rPr>
            <w:color w:val="1A6381"/>
            <w:u w:val="single"/>
            <w:sz w:val="18"/>
          </w:rPr>
          <w:t>[R008]</w:t>
        </w:r>
      </w:hyperlink>
      <w:r>
        <w:t xml:space="preserve"> · </w:t>
      </w:r>
      <w:hyperlink r:id="rId40">
        <w:r>
          <w:rPr>
            <w:color w:val="1A6381"/>
            <w:u w:val="single"/>
            <w:sz w:val="18"/>
          </w:rPr>
          <w:t>[R024]</w:t>
        </w:r>
      </w:hyperlink>
      <w:r>
        <w:t xml:space="preserve"> · </w:t>
      </w:r>
      <w:hyperlink r:id="rId41">
        <w:r>
          <w:rPr>
            <w:color w:val="1A6381"/>
            <w:u w:val="single"/>
            <w:sz w:val="18"/>
          </w:rPr>
          <w:t>[R025]</w:t>
        </w:r>
      </w:hyperlink>
      <w:r>
        <w:t xml:space="preserve"> · </w:t>
      </w:r>
      <w:hyperlink r:id="rId80">
        <w:r>
          <w:rPr>
            <w:color w:val="1A6381"/>
            <w:u w:val="single"/>
            <w:sz w:val="18"/>
          </w:rPr>
          <w:t>[R026]</w:t>
        </w:r>
      </w:hyperlink>
    </w:p>
    <w:p>
      <w:r>
        <w:t xml:space="preserve">Для Вильгельма Коншского имеется </w:t>
      </w:r>
      <w:r>
        <w:rPr>
          <w:b/>
        </w:rPr>
        <w:t>PDM-факсимиле LJS 384</w:t>
      </w:r>
      <w:r>
        <w:t xml:space="preserve"> из оцифровки Penn. Оно юридически свободнее новых критических изданий, но качество автоматического OCR низкое. Научные версии Dragmaticon, глосс на Боэция и Платона остаются отдельными защищёнными маршрутами. Бернардовы Glosae super Platonem не объединены с Вильгельмовыми.</w:t>
      </w:r>
      <w:r>
        <w:t xml:space="preserve">  </w:t>
      </w:r>
      <w:hyperlink r:id="rId42">
        <w:r>
          <w:rPr>
            <w:color w:val="1A6381"/>
            <w:u w:val="single"/>
            <w:sz w:val="18"/>
          </w:rPr>
          <w:t>[R028]</w:t>
        </w:r>
      </w:hyperlink>
      <w:r>
        <w:t xml:space="preserve"> · </w:t>
      </w:r>
      <w:hyperlink r:id="rId43">
        <w:r>
          <w:rPr>
            <w:color w:val="1A6381"/>
            <w:u w:val="single"/>
            <w:sz w:val="18"/>
          </w:rPr>
          <w:t>[R029]</w:t>
        </w:r>
      </w:hyperlink>
      <w:r>
        <w:t xml:space="preserve"> · </w:t>
      </w:r>
      <w:hyperlink r:id="rId44">
        <w:r>
          <w:rPr>
            <w:color w:val="1A6381"/>
            <w:u w:val="single"/>
            <w:sz w:val="18"/>
          </w:rPr>
          <w:t>[R030]</w:t>
        </w:r>
      </w:hyperlink>
      <w:r>
        <w:t xml:space="preserve"> · </w:t>
      </w:r>
      <w:hyperlink r:id="rId13">
        <w:r>
          <w:rPr>
            <w:color w:val="1A6381"/>
            <w:u w:val="single"/>
            <w:sz w:val="18"/>
          </w:rPr>
          <w:t>[R043]</w:t>
        </w:r>
      </w:hyperlink>
      <w:r>
        <w:t xml:space="preserve"> · </w:t>
      </w:r>
      <w:hyperlink r:id="rId49">
        <w:r>
          <w:rPr>
            <w:color w:val="1A6381"/>
            <w:u w:val="single"/>
            <w:sz w:val="18"/>
          </w:rPr>
          <w:t>[R064]</w:t>
        </w:r>
      </w:hyperlink>
    </w:p>
    <w:p>
      <w:r>
        <w:t xml:space="preserve">Комментарий Тьерри к De arithmetica доступен через современное издание Caiazzo. Богословский школьный сборник Häring 1971 подтверждён отдельно: у издателя он </w:t>
      </w:r>
      <w:r>
        <w:rPr>
          <w:b/>
        </w:rPr>
        <w:t>Out of Print</w:t>
      </w:r>
      <w:r>
        <w:t>, у Internet Archive — ограниченная копия без доступных файлов. Сохраняется и корпус Гильберта Порретанского по Häring 1966; это не тот же автор и не те же комментарии, что у Тьерри или Вильгельма.</w:t>
      </w:r>
      <w:r>
        <w:t xml:space="preserve">  </w:t>
      </w:r>
      <w:hyperlink r:id="rId45">
        <w:r>
          <w:rPr>
            <w:color w:val="1A6381"/>
            <w:u w:val="single"/>
            <w:sz w:val="18"/>
          </w:rPr>
          <w:t>[R031]</w:t>
        </w:r>
      </w:hyperlink>
      <w:r>
        <w:t xml:space="preserve"> · </w:t>
      </w:r>
      <w:hyperlink r:id="rId61">
        <w:r>
          <w:rPr>
            <w:color w:val="1A6381"/>
            <w:u w:val="single"/>
            <w:sz w:val="18"/>
          </w:rPr>
          <w:t>[R041]</w:t>
        </w:r>
      </w:hyperlink>
      <w:r>
        <w:t xml:space="preserve"> · </w:t>
      </w:r>
      <w:hyperlink r:id="rId50">
        <w:r>
          <w:rPr>
            <w:color w:val="1A6381"/>
            <w:u w:val="single"/>
            <w:sz w:val="18"/>
          </w:rPr>
          <w:t>[R077]</w:t>
        </w:r>
      </w:hyperlink>
      <w:r>
        <w:t xml:space="preserve"> · </w:t>
      </w:r>
      <w:hyperlink r:id="rId51">
        <w:r>
          <w:rPr>
            <w:color w:val="1A6381"/>
            <w:u w:val="single"/>
            <w:sz w:val="18"/>
          </w:rPr>
          <w:t>[R078]</w:t>
        </w:r>
      </w:hyperlink>
    </w:p>
    <w:p>
      <w:pPr>
        <w:pStyle w:val="Heading2"/>
      </w:pPr>
      <w:r>
        <w:t>3.7. Логический канон, его источники и школьные оппоненты</w:t>
      </w:r>
    </w:p>
    <w:p>
      <w:r>
        <w:t xml:space="preserve">Печатные тома </w:t>
      </w:r>
      <w:r>
        <w:rPr>
          <w:b/>
        </w:rPr>
        <w:t>Aristoteles Latinus</w:t>
      </w:r>
      <w:r>
        <w:t xml:space="preserve"> дают наиболее определённую идентификацию латинских версий старой и новой логики: в реестре отдельные издания Categories, De interpretatione, Isagoge/Sex principiorum, обеих Analytics, Topica и Sophistical Refutations. Ранние переводы, XII-вековые версии и редакции Моербеке не смешаны в единую дату. ALD — полезная подписная полнотекстовая база, но не открытый bulk dataset и не полный цифровой двойник печатного аппарата.</w:t>
      </w:r>
      <w:r>
        <w:t xml:space="preserve">  </w:t>
      </w:r>
      <w:hyperlink r:id="rId58">
        <w:r>
          <w:rPr>
            <w:color w:val="1A6381"/>
            <w:u w:val="single"/>
            <w:sz w:val="18"/>
          </w:rPr>
          <w:t>[R034]</w:t>
        </w:r>
      </w:hyperlink>
      <w:r>
        <w:t xml:space="preserve"> · </w:t>
      </w:r>
      <w:hyperlink r:id="rId59">
        <w:r>
          <w:rPr>
            <w:color w:val="1A6381"/>
            <w:u w:val="single"/>
            <w:sz w:val="18"/>
          </w:rPr>
          <w:t>[R035]</w:t>
        </w:r>
      </w:hyperlink>
      <w:r>
        <w:t xml:space="preserve"> · </w:t>
      </w:r>
      <w:hyperlink r:id="rId60">
        <w:r>
          <w:rPr>
            <w:color w:val="1A6381"/>
            <w:u w:val="single"/>
            <w:sz w:val="18"/>
          </w:rPr>
          <w:t>[R036]</w:t>
        </w:r>
      </w:hyperlink>
      <w:r>
        <w:t xml:space="preserve"> · </w:t>
      </w:r>
      <w:hyperlink r:id="rId81">
        <w:r>
          <w:rPr>
            <w:color w:val="1A6381"/>
            <w:u w:val="single"/>
            <w:sz w:val="18"/>
          </w:rPr>
          <w:t>[R037]</w:t>
        </w:r>
      </w:hyperlink>
      <w:r>
        <w:t xml:space="preserve"> · </w:t>
      </w:r>
      <w:hyperlink r:id="rId82">
        <w:r>
          <w:rPr>
            <w:color w:val="1A6381"/>
            <w:u w:val="single"/>
            <w:sz w:val="18"/>
          </w:rPr>
          <w:t>[R038]</w:t>
        </w:r>
      </w:hyperlink>
      <w:r>
        <w:t xml:space="preserve"> · </w:t>
      </w:r>
      <w:hyperlink r:id="rId83">
        <w:r>
          <w:rPr>
            <w:color w:val="1A6381"/>
            <w:u w:val="single"/>
            <w:sz w:val="18"/>
          </w:rPr>
          <w:t>[R039]</w:t>
        </w:r>
      </w:hyperlink>
      <w:r>
        <w:t xml:space="preserve"> · </w:t>
      </w:r>
      <w:hyperlink r:id="rId84">
        <w:r>
          <w:rPr>
            <w:color w:val="1A6381"/>
            <w:u w:val="single"/>
            <w:sz w:val="18"/>
          </w:rPr>
          <w:t>[R040]</w:t>
        </w:r>
      </w:hyperlink>
      <w:r>
        <w:t xml:space="preserve"> · </w:t>
      </w:r>
      <w:hyperlink r:id="rId85">
        <w:r>
          <w:rPr>
            <w:color w:val="1A6381"/>
            <w:u w:val="single"/>
            <w:sz w:val="18"/>
          </w:rPr>
          <w:t>[R062]</w:t>
        </w:r>
      </w:hyperlink>
    </w:p>
    <w:p>
      <w:r>
        <w:t xml:space="preserve">Для раннего боэцианского фонда удобен двуязычный </w:t>
      </w:r>
      <w:r>
        <w:rPr>
          <w:b/>
        </w:rPr>
        <w:t>PG 13316</w:t>
      </w:r>
      <w:r>
        <w:t>, с конкретным латинским текстом и файловыми форматами; сильные рекомендации ограничены его американским статусом. De topicis differentiis в переводе Stump ведёт к институциональному доступу и фрагментам. Кальцидий доступен для preview в современной двуязычной версии. Бесплатные английские переводы Ансельма полезны для чтения, но остаются защищёнными.</w:t>
      </w:r>
      <w:r>
        <w:t xml:space="preserve">  </w:t>
      </w:r>
      <w:hyperlink r:id="rId62">
        <w:r>
          <w:rPr>
            <w:color w:val="1A6381"/>
            <w:u w:val="single"/>
            <w:sz w:val="18"/>
          </w:rPr>
          <w:t>[R044]</w:t>
        </w:r>
      </w:hyperlink>
      <w:r>
        <w:t xml:space="preserve"> · </w:t>
      </w:r>
      <w:hyperlink r:id="rId63">
        <w:r>
          <w:rPr>
            <w:color w:val="1A6381"/>
            <w:u w:val="single"/>
            <w:sz w:val="18"/>
          </w:rPr>
          <w:t>[R046]</w:t>
        </w:r>
      </w:hyperlink>
      <w:r>
        <w:t xml:space="preserve"> · </w:t>
      </w:r>
      <w:hyperlink r:id="rId65">
        <w:r>
          <w:rPr>
            <w:color w:val="1A6381"/>
            <w:u w:val="single"/>
            <w:sz w:val="18"/>
          </w:rPr>
          <w:t>[R069]</w:t>
        </w:r>
      </w:hyperlink>
      <w:r>
        <w:t xml:space="preserve"> · </w:t>
      </w:r>
      <w:hyperlink r:id="rId66">
        <w:r>
          <w:rPr>
            <w:color w:val="1A6381"/>
            <w:u w:val="single"/>
            <w:sz w:val="18"/>
          </w:rPr>
          <w:t>[R070]</w:t>
        </w:r>
      </w:hyperlink>
      <w:r>
        <w:t xml:space="preserve"> · </w:t>
      </w:r>
      <w:hyperlink r:id="rId64">
        <w:r>
          <w:rPr>
            <w:color w:val="1A6381"/>
            <w:u w:val="single"/>
            <w:sz w:val="18"/>
          </w:rPr>
          <w:t>[R074]</w:t>
        </w:r>
      </w:hyperlink>
    </w:p>
    <w:p>
      <w:r>
        <w:t xml:space="preserve">Для конкурентной школьной логики особенно полезны </w:t>
      </w:r>
      <w:r>
        <w:rPr>
          <w:b/>
        </w:rPr>
        <w:t>официальные PDF CIMAGL с C16 и C21/C25/C29</w:t>
      </w:r>
      <w:r>
        <w:t>: они дают именно первичные латинские фрагменты, а не только историческое описание. Современный редакторский слой всё же требует проверки прав. Ars disserendi, Introductiones Montane, Logica modernorum I и Compendium Porretanum сохранены даже там, где удалось подтвердить лишь предметную карточку.</w:t>
      </w:r>
      <w:r>
        <w:t xml:space="preserve">  </w:t>
      </w:r>
      <w:hyperlink r:id="rId52">
        <w:r>
          <w:rPr>
            <w:color w:val="1A6381"/>
            <w:u w:val="single"/>
            <w:sz w:val="18"/>
          </w:rPr>
          <w:t>[R042]</w:t>
        </w:r>
      </w:hyperlink>
      <w:r>
        <w:t xml:space="preserve"> · </w:t>
      </w:r>
      <w:hyperlink r:id="rId53">
        <w:r>
          <w:rPr>
            <w:color w:val="1A6381"/>
            <w:u w:val="single"/>
            <w:sz w:val="18"/>
          </w:rPr>
          <w:t>[R047]</w:t>
        </w:r>
      </w:hyperlink>
      <w:r>
        <w:t xml:space="preserve"> · </w:t>
      </w:r>
      <w:hyperlink r:id="rId54">
        <w:r>
          <w:rPr>
            <w:color w:val="1A6381"/>
            <w:u w:val="single"/>
            <w:sz w:val="18"/>
          </w:rPr>
          <w:t>[R048]</w:t>
        </w:r>
      </w:hyperlink>
      <w:r>
        <w:t xml:space="preserve"> · </w:t>
      </w:r>
      <w:hyperlink r:id="rId55">
        <w:r>
          <w:rPr>
            <w:color w:val="1A6381"/>
            <w:u w:val="single"/>
            <w:sz w:val="18"/>
          </w:rPr>
          <w:t>[R053]</w:t>
        </w:r>
      </w:hyperlink>
      <w:r>
        <w:t xml:space="preserve"> · </w:t>
      </w:r>
      <w:hyperlink r:id="rId56">
        <w:r>
          <w:rPr>
            <w:color w:val="1A6381"/>
            <w:u w:val="single"/>
            <w:sz w:val="18"/>
          </w:rPr>
          <w:t>[R054]</w:t>
        </w:r>
      </w:hyperlink>
      <w:r>
        <w:t xml:space="preserve"> · </w:t>
      </w:r>
      <w:hyperlink r:id="rId57">
        <w:r>
          <w:rPr>
            <w:color w:val="1A6381"/>
            <w:u w:val="single"/>
            <w:sz w:val="18"/>
          </w:rPr>
          <w:t>[R076]</w:t>
        </w:r>
      </w:hyperlink>
    </w:p>
    <w:p>
      <w:pPr>
        <w:pStyle w:val="Heading2"/>
      </w:pPr>
      <w:r>
        <w:t>3.8. Продолжение учебного канона</w:t>
      </w:r>
    </w:p>
    <w:p>
      <w:r>
        <w:t xml:space="preserve">Для «Сентенций» Ломбарда </w:t>
      </w:r>
      <w:r>
        <w:rPr>
          <w:b/>
        </w:rPr>
        <w:t>самая свободная проверенная латинская основа — PDM-факсимиле Париж 1575</w:t>
      </w:r>
      <w:r>
        <w:t>. Для современного английского чтения — четыре отдельно продаваемые книги Silano: это один корпус, но четыре практически самостоятельных покупки. Не следует переносить права старой латинской печати на этот перевод.</w:t>
      </w:r>
      <w:r>
        <w:t xml:space="preserve">  </w:t>
      </w:r>
      <w:hyperlink r:id="rId67">
        <w:r>
          <w:rPr>
            <w:color w:val="1A6381"/>
            <w:u w:val="single"/>
            <w:sz w:val="18"/>
          </w:rPr>
          <w:t>[R065]</w:t>
        </w:r>
      </w:hyperlink>
      <w:r>
        <w:t xml:space="preserve"> · </w:t>
      </w:r>
      <w:hyperlink r:id="rId68">
        <w:r>
          <w:rPr>
            <w:color w:val="1A6381"/>
            <w:u w:val="single"/>
            <w:sz w:val="18"/>
          </w:rPr>
          <w:t>[R066]</w:t>
        </w:r>
      </w:hyperlink>
      <w:r>
        <w:t xml:space="preserve"> · </w:t>
      </w:r>
      <w:hyperlink r:id="rId69">
        <w:r>
          <w:rPr>
            <w:color w:val="1A6381"/>
            <w:u w:val="single"/>
            <w:sz w:val="18"/>
          </w:rPr>
          <w:t>[R067]</w:t>
        </w:r>
      </w:hyperlink>
      <w:r>
        <w:t xml:space="preserve"> · </w:t>
      </w:r>
      <w:hyperlink r:id="rId70">
        <w:r>
          <w:rPr>
            <w:color w:val="1A6381"/>
            <w:u w:val="single"/>
            <w:sz w:val="18"/>
          </w:rPr>
          <w:t>[R068]</w:t>
        </w:r>
      </w:hyperlink>
      <w:r>
        <w:t xml:space="preserve"> · </w:t>
      </w:r>
      <w:hyperlink r:id="rId15">
        <w:r>
          <w:rPr>
            <w:color w:val="1A6381"/>
            <w:u w:val="single"/>
            <w:sz w:val="18"/>
          </w:rPr>
          <w:t>[R071]</w:t>
        </w:r>
      </w:hyperlink>
    </w:p>
    <w:p>
      <w:r>
        <w:t>Викторинский сборник переводов даёт Didascalicon и конкретные тексты о преподавании и толковании, но не полное собрание Гуго или всех викторинцев. Шервудов трактат о синкатегорематических словах добавляет точечное XIII-вековое продолжение школьной логики. Оба маршрута сохранены как современные защищённые способы знакомства с первичными текстами.</w:t>
      </w:r>
      <w:r>
        <w:t xml:space="preserve">  </w:t>
      </w:r>
      <w:hyperlink r:id="rId86">
        <w:r>
          <w:rPr>
            <w:color w:val="1A6381"/>
            <w:u w:val="single"/>
            <w:sz w:val="18"/>
          </w:rPr>
          <w:t>[R072]</w:t>
        </w:r>
      </w:hyperlink>
      <w:r>
        <w:t xml:space="preserve"> · </w:t>
      </w:r>
      <w:hyperlink r:id="rId71">
        <w:r>
          <w:rPr>
            <w:color w:val="1A6381"/>
            <w:u w:val="single"/>
            <w:sz w:val="18"/>
          </w:rPr>
          <w:t>[R073]</w:t>
        </w:r>
      </w:hyperlink>
    </w:p>
    <w:p>
      <w:pPr>
        <w:pStyle w:val="Heading1"/>
      </w:pPr>
      <w:r>
        <w:t>4. Карта прав и практического использования</w:t>
      </w:r>
    </w:p>
    <w:p>
      <w:pPr>
        <w:pStyle w:val="Heading2"/>
      </w:pPr>
      <w:r>
        <w:t>4.1. Наиболее свободные проверенные объекты</w:t>
      </w:r>
    </w:p>
    <w:p>
      <w:r/>
      <w:r>
        <w:rPr>
          <w:b/>
        </w:rPr>
        <w:t>R019, R020, R043 и R071</w:t>
      </w:r>
      <w:r>
        <w:t xml:space="preserve"> имеют маркировку Public Domain Mark на конкретном институциональном объекте. Для этих экземпляров реестр допускает зеркалирование, исследовательский OCR, полнотекстовый индекс, embeddings и собственный перевод исторического латинского слоя. Разрешённый объём неодинаков: два печатных комплекта Glossa, один рукописный свидетель Philosophia mundi и печатное четырёхкнижие Sententiae. Это не четыре универсальные лицензии на все тексты соответствующих авторов.</w:t>
      </w:r>
      <w:r>
        <w:t xml:space="preserve">  </w:t>
      </w:r>
      <w:hyperlink r:id="rId11">
        <w:r>
          <w:rPr>
            <w:color w:val="1A6381"/>
            <w:u w:val="single"/>
            <w:sz w:val="18"/>
          </w:rPr>
          <w:t>[R019]</w:t>
        </w:r>
      </w:hyperlink>
      <w:r>
        <w:t xml:space="preserve"> · </w:t>
      </w:r>
      <w:hyperlink r:id="rId12">
        <w:r>
          <w:rPr>
            <w:color w:val="1A6381"/>
            <w:u w:val="single"/>
            <w:sz w:val="18"/>
          </w:rPr>
          <w:t>[R020]</w:t>
        </w:r>
      </w:hyperlink>
      <w:r>
        <w:t xml:space="preserve"> · </w:t>
      </w:r>
      <w:hyperlink r:id="rId13">
        <w:r>
          <w:rPr>
            <w:color w:val="1A6381"/>
            <w:u w:val="single"/>
            <w:sz w:val="18"/>
          </w:rPr>
          <w:t>[R043]</w:t>
        </w:r>
      </w:hyperlink>
      <w:r>
        <w:t xml:space="preserve"> · </w:t>
      </w:r>
      <w:hyperlink r:id="rId15">
        <w:r>
          <w:rPr>
            <w:color w:val="1A6381"/>
            <w:u w:val="single"/>
            <w:sz w:val="18"/>
          </w:rPr>
          <w:t>[R071]</w:t>
        </w:r>
      </w:hyperlink>
    </w:p>
    <w:p>
      <w:r>
        <w:t>Public Domain Mark — обозначение статуса, а не лицензия и не гарантия отсутствия любого иного ограничения в любой стране. Сохраняются научная атрибуция источника, различение редакций, отсутствие ложного одобрения учреждением и проверка иных прав при конкретной публикации. Для оригиналов, изображений и предлагаемого OCR нельзя расширять scope за пределы явно отмеченного объекта.</w:t>
      </w:r>
      <w:r>
        <w:t xml:space="preserve">  </w:t>
      </w:r>
      <w:hyperlink r:id="rId87">
        <w:r>
          <w:rPr>
            <w:color w:val="1A6381"/>
            <w:u w:val="single"/>
            <w:sz w:val="18"/>
          </w:rPr>
          <w:t>Public Domain Mark 1.0</w:t>
        </w:r>
      </w:hyperlink>
    </w:p>
    <w:p>
      <w:pPr>
        <w:pStyle w:val="Heading2"/>
      </w:pPr>
      <w:r>
        <w:t>4.2. Некоммерческое использование и неизменённые копии</w:t>
      </w:r>
    </w:p>
    <w:p>
      <w:r>
        <w:t xml:space="preserve">В </w:t>
      </w:r>
      <w:r>
        <w:rPr>
          <w:b/>
        </w:rPr>
        <w:t>R061</w:t>
      </w:r>
      <w:r>
        <w:t xml:space="preserve"> Deusto прямо указывает CC BY-NC-ND 4.0. Практический безопасный маршрут для ToS — некоммерческая передача неизменённого PDF шестой части, с авторством/источником, уведомлением о лицензии и без дополнительных ограничений, противоречащих ей. Наличие ND не означает запрет любого внутреннего преобразования: текст лицензии допускает производство и воспроизведение некоммерческих адаптаций, но не их распространение. Публичный OCR, производный индекс, embeddings и новый перевод этой записи автоматически не одобрены.</w:t>
      </w:r>
      <w:r>
        <w:t xml:space="preserve">  </w:t>
      </w:r>
      <w:hyperlink r:id="rId72">
        <w:r>
          <w:rPr>
            <w:color w:val="1A6381"/>
            <w:u w:val="single"/>
            <w:sz w:val="18"/>
          </w:rPr>
          <w:t>[R061]</w:t>
        </w:r>
      </w:hyperlink>
      <w:r>
        <w:t xml:space="preserve"> · </w:t>
      </w:r>
      <w:hyperlink r:id="rId88">
        <w:r>
          <w:rPr>
            <w:color w:val="1A6381"/>
            <w:u w:val="single"/>
            <w:sz w:val="18"/>
          </w:rPr>
          <w:t>CC BY-NC-ND 4.0, legal code</w:t>
        </w:r>
      </w:hyperlink>
    </w:p>
    <w:p>
      <w:r>
        <w:t>Для Chartres MS 497 агрегатор показывает CC BY-NC 3.0, однако исходный manifest и изображения не проверены. Поэтому в R008 сохранена ссылка и неопределённость, без сильного тега зеркалирования. Политика проекта или лицензия соседнего объекта не подставляется вместо отсутствующего item-level подтверждения.</w:t>
      </w:r>
      <w:r>
        <w:t xml:space="preserve">  </w:t>
      </w:r>
      <w:hyperlink r:id="rId37">
        <w:r>
          <w:rPr>
            <w:color w:val="1A6381"/>
            <w:u w:val="single"/>
            <w:sz w:val="18"/>
          </w:rPr>
          <w:t>[R008]</w:t>
        </w:r>
      </w:hyperlink>
    </w:p>
    <w:p>
      <w:pPr>
        <w:pStyle w:val="Heading2"/>
      </w:pPr>
      <w:r>
        <w:t>4.3. Свободно читать — не значит свободно публиковать</w:t>
      </w:r>
    </w:p>
    <w:p>
      <w:r>
        <w:t xml:space="preserve">Современные бесплатные PDF Hansen, Неретиной и переводов Hopkins/Richardson оставлены как чтение, загрузка и локальная исследовательская копия с ручной проверкой иных действий. Разрешение IHSP на образовательное/личное копирование пролога также не превращено в безусловное разрешение на веб-зеркало. </w:t>
      </w:r>
      <w:r>
        <w:rPr>
          <w:b/>
        </w:rPr>
        <w:t>LOCAL_RESEARCH_COPY</w:t>
      </w:r>
      <w:r>
        <w:t xml:space="preserve"> здесь означает использование предоставленного маршрута чтения/загрузки, а не отдельное разрешение на массовый TDM, публикацию корпуса или обучение модели.</w:t>
      </w:r>
      <w:r>
        <w:t xml:space="preserve">  </w:t>
      </w:r>
      <w:hyperlink r:id="rId75">
        <w:r>
          <w:rPr>
            <w:color w:val="1A6381"/>
            <w:u w:val="single"/>
            <w:sz w:val="18"/>
          </w:rPr>
          <w:t>[R001]</w:t>
        </w:r>
      </w:hyperlink>
      <w:r>
        <w:t xml:space="preserve"> · </w:t>
      </w:r>
      <w:hyperlink r:id="rId53">
        <w:r>
          <w:rPr>
            <w:color w:val="1A6381"/>
            <w:u w:val="single"/>
            <w:sz w:val="18"/>
          </w:rPr>
          <w:t>[R047]</w:t>
        </w:r>
      </w:hyperlink>
      <w:r>
        <w:t xml:space="preserve"> · </w:t>
      </w:r>
      <w:hyperlink r:id="rId54">
        <w:r>
          <w:rPr>
            <w:color w:val="1A6381"/>
            <w:u w:val="single"/>
            <w:sz w:val="18"/>
          </w:rPr>
          <w:t>[R048]</w:t>
        </w:r>
      </w:hyperlink>
      <w:r>
        <w:t xml:space="preserve"> · </w:t>
      </w:r>
      <w:hyperlink r:id="rId30">
        <w:r>
          <w:rPr>
            <w:color w:val="1A6381"/>
            <w:u w:val="single"/>
            <w:sz w:val="18"/>
          </w:rPr>
          <w:t>[R055]</w:t>
        </w:r>
      </w:hyperlink>
      <w:r>
        <w:t xml:space="preserve"> · </w:t>
      </w:r>
      <w:hyperlink r:id="rId65">
        <w:r>
          <w:rPr>
            <w:color w:val="1A6381"/>
            <w:u w:val="single"/>
            <w:sz w:val="18"/>
          </w:rPr>
          <w:t>[R069]</w:t>
        </w:r>
      </w:hyperlink>
      <w:r>
        <w:t xml:space="preserve"> · </w:t>
      </w:r>
      <w:hyperlink r:id="rId66">
        <w:r>
          <w:rPr>
            <w:color w:val="1A6381"/>
            <w:u w:val="single"/>
            <w:sz w:val="18"/>
          </w:rPr>
          <w:t>[R070]</w:t>
        </w:r>
      </w:hyperlink>
    </w:p>
    <w:p>
      <w:r>
        <w:t>Покупка критического издания, подписка на ALD или доступ JSTOR не дают автоматического права раздавать файлы посетителям ToS. Для этих маршрутов сохраняются LINK_OK, PURCHASE либо сведения об институциональном доступе и PERMISSION_REQUIRED. Если есть только предметная карточка, разрешение на копирование самой базы метаданных также не выводится из права дать внешнюю ссылку.</w:t>
      </w:r>
      <w:r>
        <w:t xml:space="preserve">  </w:t>
      </w:r>
      <w:hyperlink r:id="rId27">
        <w:r>
          <w:rPr>
            <w:color w:val="1A6381"/>
            <w:u w:val="single"/>
            <w:sz w:val="18"/>
          </w:rPr>
          <w:t>[R005]</w:t>
        </w:r>
      </w:hyperlink>
      <w:r>
        <w:t xml:space="preserve"> · </w:t>
      </w:r>
      <w:hyperlink r:id="rId28">
        <w:r>
          <w:rPr>
            <w:color w:val="1A6381"/>
            <w:u w:val="single"/>
            <w:sz w:val="18"/>
          </w:rPr>
          <w:t>[R006]</w:t>
        </w:r>
      </w:hyperlink>
      <w:r>
        <w:t xml:space="preserve"> · </w:t>
      </w:r>
      <w:hyperlink r:id="rId63">
        <w:r>
          <w:rPr>
            <w:color w:val="1A6381"/>
            <w:u w:val="single"/>
            <w:sz w:val="18"/>
          </w:rPr>
          <w:t>[R046]</w:t>
        </w:r>
      </w:hyperlink>
      <w:r>
        <w:t xml:space="preserve"> · </w:t>
      </w:r>
      <w:hyperlink r:id="rId56">
        <w:r>
          <w:rPr>
            <w:color w:val="1A6381"/>
            <w:u w:val="single"/>
            <w:sz w:val="18"/>
          </w:rPr>
          <w:t>[R054]</w:t>
        </w:r>
      </w:hyperlink>
      <w:r>
        <w:t xml:space="preserve"> · </w:t>
      </w:r>
      <w:hyperlink r:id="rId85">
        <w:r>
          <w:rPr>
            <w:color w:val="1A6381"/>
            <w:u w:val="single"/>
            <w:sz w:val="18"/>
          </w:rPr>
          <w:t>[R062]</w:t>
        </w:r>
      </w:hyperlink>
      <w:r>
        <w:t xml:space="preserve"> · </w:t>
      </w:r>
      <w:hyperlink r:id="rId14">
        <w:r>
          <w:rPr>
            <w:color w:val="1A6381"/>
            <w:u w:val="single"/>
            <w:sz w:val="18"/>
          </w:rPr>
          <w:t>[R063]</w:t>
        </w:r>
      </w:hyperlink>
    </w:p>
    <w:p>
      <w:r>
        <w:t xml:space="preserve">Два файла Gutenberg — </w:t>
      </w:r>
      <w:r>
        <w:rPr>
          <w:b/>
        </w:rPr>
        <w:t>R044 и R045</w:t>
      </w:r>
      <w:r>
        <w:t xml:space="preserve"> — помечены public domain в США. Зеркалирование и вычислительные действия в их строках ограничены указанным статусом и условиями PG; RIGHTS_REVIEW_REQUIRED блокирует автоматический перенос этого вывода на другие юрисдикции. Включённая лицензия и правила использования обозначений Project Gutenberg сохраняют самостоятельное значение.</w:t>
      </w:r>
      <w:r>
        <w:t xml:space="preserve">  </w:t>
      </w:r>
      <w:hyperlink r:id="rId62">
        <w:r>
          <w:rPr>
            <w:color w:val="1A6381"/>
            <w:u w:val="single"/>
            <w:sz w:val="18"/>
          </w:rPr>
          <w:t>[R044]</w:t>
        </w:r>
      </w:hyperlink>
      <w:r>
        <w:t xml:space="preserve"> · </w:t>
      </w:r>
      <w:hyperlink r:id="rId29">
        <w:r>
          <w:rPr>
            <w:color w:val="1A6381"/>
            <w:u w:val="single"/>
            <w:sz w:val="18"/>
          </w:rPr>
          <w:t>[R045]</w:t>
        </w:r>
      </w:hyperlink>
    </w:p>
    <w:p>
      <w:pPr>
        <w:pStyle w:val="Heading2"/>
      </w:pPr>
      <w:r>
        <w:t>4.4. Чистая основа собственного перевода</w:t>
      </w:r>
    </w:p>
    <w:p>
      <w:r>
        <w:t>Наиболее ясная основа — латинские исторические страницы четырёх PDM-объектов. Собственный перевод с них нужно маркировать по версии: например, «по печати 1575», а не «по окончательному критическому тексту». Для R043 объём ограничен одним свидетелем; для Glossa следует переводить и обозначать выбранный текстовый слой, а не смешивать его с постиллами Лиры.</w:t>
      </w:r>
    </w:p>
    <w:p>
      <w:r>
        <w:t>У R044 дополнительно выделен конкретный латинский слой PG, с юрисдикционной оговоркой. Английский Bellows, современный русский перевод, новые критические конъектуры, защищённые английские переводы и неидентифицированная Wikisource-транскрипция не получили безусловного OWN_TRANSLATION_POSSIBLE. Древность описываемого содержания сама по себе не очищает доступную современную основу.</w:t>
      </w:r>
      <w:r>
        <w:t xml:space="preserve">  </w:t>
      </w:r>
      <w:hyperlink r:id="rId62">
        <w:r>
          <w:rPr>
            <w:color w:val="1A6381"/>
            <w:u w:val="single"/>
            <w:sz w:val="18"/>
          </w:rPr>
          <w:t>[R044]</w:t>
        </w:r>
      </w:hyperlink>
      <w:r>
        <w:t xml:space="preserve"> · </w:t>
      </w:r>
      <w:hyperlink r:id="rId29">
        <w:r>
          <w:rPr>
            <w:color w:val="1A6381"/>
            <w:u w:val="single"/>
            <w:sz w:val="18"/>
          </w:rPr>
          <w:t>[R045]</w:t>
        </w:r>
      </w:hyperlink>
      <w:r>
        <w:t xml:space="preserve"> · </w:t>
      </w:r>
      <w:hyperlink r:id="rId30">
        <w:r>
          <w:rPr>
            <w:color w:val="1A6381"/>
            <w:u w:val="single"/>
            <w:sz w:val="18"/>
          </w:rPr>
          <w:t>[R055]</w:t>
        </w:r>
      </w:hyperlink>
      <w:r>
        <w:t xml:space="preserve"> · </w:t>
      </w:r>
      <w:hyperlink r:id="rId14">
        <w:r>
          <w:rPr>
            <w:color w:val="1A6381"/>
            <w:u w:val="single"/>
            <w:sz w:val="18"/>
          </w:rPr>
          <w:t>[R063]</w:t>
        </w:r>
      </w:hyperlink>
    </w:p>
    <w:p>
      <w:pPr>
        <w:pStyle w:val="Heading1"/>
      </w:pPr>
      <w:r>
        <w:t>5. Характерные правовые и текстологические тонкости</w:t>
      </w:r>
    </w:p>
    <w:p>
      <w:r/>
      <w:r>
        <w:rPr>
          <w:b/>
        </w:rPr>
        <w:t>Составной том может иметь несколько дат.</w:t>
      </w:r>
      <w:r>
        <w:t xml:space="preserve"> Карточки Geyer сокращают историю комплектов до 1919 года, хотя конкретные выпуски относятся и к более поздним годам. Нельзя определять статус всего файла по первой дате серии. Аналогично полная выдача карточки или название libri VIII не означают, что отдельный том содержит все книги произведения.</w:t>
      </w:r>
      <w:r>
        <w:t xml:space="preserve">  </w:t>
      </w:r>
      <w:hyperlink r:id="rId16">
        <w:r>
          <w:rPr>
            <w:color w:val="1A6381"/>
            <w:u w:val="single"/>
            <w:sz w:val="18"/>
          </w:rPr>
          <w:t>[R004]</w:t>
        </w:r>
      </w:hyperlink>
      <w:r>
        <w:t xml:space="preserve"> · </w:t>
      </w:r>
      <w:hyperlink r:id="rId24">
        <w:r>
          <w:rPr>
            <w:color w:val="1A6381"/>
            <w:u w:val="single"/>
            <w:sz w:val="18"/>
          </w:rPr>
          <w:t>[R027]</w:t>
        </w:r>
      </w:hyperlink>
      <w:r>
        <w:t xml:space="preserve"> · </w:t>
      </w:r>
      <w:hyperlink r:id="rId31">
        <w:r>
          <w:rPr>
            <w:color w:val="1A6381"/>
            <w:u w:val="single"/>
            <w:sz w:val="18"/>
          </w:rPr>
          <w:t>[R056]</w:t>
        </w:r>
      </w:hyperlink>
      <w:r>
        <w:t xml:space="preserve"> · </w:t>
      </w:r>
      <w:hyperlink r:id="rId32">
        <w:r>
          <w:rPr>
            <w:color w:val="1A6381"/>
            <w:u w:val="single"/>
            <w:sz w:val="18"/>
          </w:rPr>
          <w:t>[R057]</w:t>
        </w:r>
      </w:hyperlink>
    </w:p>
    <w:p>
      <w:r/>
      <w:r>
        <w:rPr>
          <w:b/>
        </w:rPr>
        <w:t>Критическая редакция важнее удобства скачивания.</w:t>
      </w:r>
      <w:r>
        <w:t xml:space="preserve"> Издание Абеляра 2010 года и новые фрагменты Albricani являются источниками редакторских решений. Бесплатный старый скан может быть законным входом, но не равнозначной основой для нового научного перевода. Полный текст ALD, со своей стороны, не включает весь аппарат печатных томов.</w:t>
      </w:r>
      <w:r>
        <w:t xml:space="preserve">  </w:t>
      </w:r>
      <w:hyperlink r:id="rId53">
        <w:r>
          <w:rPr>
            <w:color w:val="1A6381"/>
            <w:u w:val="single"/>
            <w:sz w:val="18"/>
          </w:rPr>
          <w:t>[R047]</w:t>
        </w:r>
      </w:hyperlink>
      <w:r>
        <w:t xml:space="preserve"> · </w:t>
      </w:r>
      <w:hyperlink r:id="rId54">
        <w:r>
          <w:rPr>
            <w:color w:val="1A6381"/>
            <w:u w:val="single"/>
            <w:sz w:val="18"/>
          </w:rPr>
          <w:t>[R048]</w:t>
        </w:r>
      </w:hyperlink>
      <w:r>
        <w:t xml:space="preserve"> · </w:t>
      </w:r>
      <w:hyperlink r:id="rId85">
        <w:r>
          <w:rPr>
            <w:color w:val="1A6381"/>
            <w:u w:val="single"/>
            <w:sz w:val="18"/>
          </w:rPr>
          <w:t>[R062]</w:t>
        </w:r>
      </w:hyperlink>
      <w:r>
        <w:t xml:space="preserve"> · </w:t>
      </w:r>
      <w:hyperlink r:id="rId14">
        <w:r>
          <w:rPr>
            <w:color w:val="1A6381"/>
            <w:u w:val="single"/>
            <w:sz w:val="18"/>
          </w:rPr>
          <w:t>[R063]</w:t>
        </w:r>
      </w:hyperlink>
    </w:p>
    <w:p>
      <w:r/>
      <w:r>
        <w:rPr>
          <w:b/>
        </w:rPr>
        <w:t>Историческая атрибуция не равна установленному авторству.</w:t>
      </w:r>
      <w:r>
        <w:t xml:space="preserve"> Ланские сборники, школьные Sententie, Liber sex principiorum и анонимные полемические глоссы требуют собственных атрибуционных оговорок. Каталожное имя, унаследованное от старой печати Glossa, не используется как новое доказательство её единоличного авторства.</w:t>
      </w:r>
      <w:r>
        <w:t xml:space="preserve">  </w:t>
      </w:r>
      <w:hyperlink r:id="rId21">
        <w:r>
          <w:rPr>
            <w:color w:val="1A6381"/>
            <w:u w:val="single"/>
            <w:sz w:val="18"/>
          </w:rPr>
          <w:t>[R015]</w:t>
        </w:r>
      </w:hyperlink>
      <w:r>
        <w:t xml:space="preserve"> · </w:t>
      </w:r>
      <w:hyperlink r:id="rId11">
        <w:r>
          <w:rPr>
            <w:color w:val="1A6381"/>
            <w:u w:val="single"/>
            <w:sz w:val="18"/>
          </w:rPr>
          <w:t>[R019]</w:t>
        </w:r>
      </w:hyperlink>
      <w:r>
        <w:t xml:space="preserve"> · </w:t>
      </w:r>
      <w:hyperlink r:id="rId25">
        <w:r>
          <w:rPr>
            <w:color w:val="1A6381"/>
            <w:u w:val="single"/>
            <w:sz w:val="18"/>
          </w:rPr>
          <w:t>[R032]</w:t>
        </w:r>
      </w:hyperlink>
      <w:r>
        <w:t xml:space="preserve"> · </w:t>
      </w:r>
      <w:hyperlink r:id="rId60">
        <w:r>
          <w:rPr>
            <w:color w:val="1A6381"/>
            <w:u w:val="single"/>
            <w:sz w:val="18"/>
          </w:rPr>
          <w:t>[R036]</w:t>
        </w:r>
      </w:hyperlink>
      <w:r>
        <w:t xml:space="preserve"> · </w:t>
      </w:r>
      <w:hyperlink r:id="rId53">
        <w:r>
          <w:rPr>
            <w:color w:val="1A6381"/>
            <w:u w:val="single"/>
            <w:sz w:val="18"/>
          </w:rPr>
          <w:t>[R047]</w:t>
        </w:r>
      </w:hyperlink>
      <w:r>
        <w:t xml:space="preserve"> · </w:t>
      </w:r>
      <w:hyperlink r:id="rId54">
        <w:r>
          <w:rPr>
            <w:color w:val="1A6381"/>
            <w:u w:val="single"/>
            <w:sz w:val="18"/>
          </w:rPr>
          <w:t>[R048]</w:t>
        </w:r>
      </w:hyperlink>
      <w:r>
        <w:t xml:space="preserve"> · </w:t>
      </w:r>
      <w:hyperlink r:id="rId48">
        <w:r>
          <w:rPr>
            <w:color w:val="1A6381"/>
            <w:u w:val="single"/>
            <w:sz w:val="18"/>
          </w:rPr>
          <w:t>[R052]</w:t>
        </w:r>
      </w:hyperlink>
    </w:p>
    <w:p>
      <w:r/>
      <w:r>
        <w:rPr>
          <w:b/>
        </w:rPr>
        <w:t>Открытость карточки не доказывает доступность файла.</w:t>
      </w:r>
      <w:r>
        <w:t xml:space="preserve"> HathiTrust Full View, IA inlibrary, общий заголовок «Free Download, Borrow» и цена на странице Out of Print проверялись против реального состояния объекта. Подтверждённого действующего CDL/заимствования после регистрации в пакет не добавлено. Именно поэтому некоторые современные книги остались metadata_only.</w:t>
      </w:r>
      <w:r>
        <w:t xml:space="preserve">  </w:t>
      </w:r>
      <w:hyperlink r:id="rId78">
        <w:r>
          <w:rPr>
            <w:color w:val="1A6381"/>
            <w:u w:val="single"/>
            <w:sz w:val="18"/>
          </w:rPr>
          <w:t>[R007]</w:t>
        </w:r>
      </w:hyperlink>
      <w:r>
        <w:t xml:space="preserve"> · </w:t>
      </w:r>
      <w:hyperlink r:id="rId22">
        <w:r>
          <w:rPr>
            <w:color w:val="1A6381"/>
            <w:u w:val="single"/>
            <w:sz w:val="18"/>
          </w:rPr>
          <w:t>[R016]</w:t>
        </w:r>
      </w:hyperlink>
      <w:r>
        <w:t xml:space="preserve"> · </w:t>
      </w:r>
      <w:hyperlink r:id="rId23">
        <w:r>
          <w:rPr>
            <w:color w:val="1A6381"/>
            <w:u w:val="single"/>
            <w:sz w:val="18"/>
          </w:rPr>
          <w:t>[R017]</w:t>
        </w:r>
      </w:hyperlink>
      <w:r>
        <w:t xml:space="preserve"> · </w:t>
      </w:r>
      <w:hyperlink r:id="rId41">
        <w:r>
          <w:rPr>
            <w:color w:val="1A6381"/>
            <w:u w:val="single"/>
            <w:sz w:val="18"/>
          </w:rPr>
          <w:t>[R025]</w:t>
        </w:r>
      </w:hyperlink>
      <w:r>
        <w:t xml:space="preserve"> · </w:t>
      </w:r>
      <w:hyperlink r:id="rId61">
        <w:r>
          <w:rPr>
            <w:color w:val="1A6381"/>
            <w:u w:val="single"/>
            <w:sz w:val="18"/>
          </w:rPr>
          <w:t>[R041]</w:t>
        </w:r>
      </w:hyperlink>
      <w:r>
        <w:t xml:space="preserve"> · </w:t>
      </w:r>
      <w:hyperlink r:id="rId52">
        <w:r>
          <w:rPr>
            <w:color w:val="1A6381"/>
            <w:u w:val="single"/>
            <w:sz w:val="18"/>
          </w:rPr>
          <w:t>[R042]</w:t>
        </w:r>
      </w:hyperlink>
      <w:r>
        <w:t xml:space="preserve"> · </w:t>
      </w:r>
      <w:hyperlink r:id="rId50">
        <w:r>
          <w:rPr>
            <w:color w:val="1A6381"/>
            <w:u w:val="single"/>
            <w:sz w:val="18"/>
          </w:rPr>
          <w:t>[R077]</w:t>
        </w:r>
      </w:hyperlink>
      <w:r>
        <w:t xml:space="preserve"> · </w:t>
      </w:r>
      <w:hyperlink r:id="rId51">
        <w:r>
          <w:rPr>
            <w:color w:val="1A6381"/>
            <w:u w:val="single"/>
            <w:sz w:val="18"/>
          </w:rPr>
          <w:t>[R078]</w:t>
        </w:r>
      </w:hyperlink>
    </w:p>
    <w:p>
      <w:r/>
      <w:r>
        <w:rPr>
          <w:b/>
        </w:rPr>
        <w:t>Открытые права не исправляют качество изображения или OCR.</w:t>
      </w:r>
      <w:r>
        <w:t xml:space="preserve"> У LJS 384 обнаружены неверный автоматический язык и технические предупреждения; старое фотофаксимиле Chartres покрывает ограниченный набор листов. OCR пригоден как вспомогательный индекс после проверки, но не как самодостаточное критическое издание рукописи.</w:t>
      </w:r>
      <w:r>
        <w:t xml:space="preserve">  </w:t>
      </w:r>
      <w:hyperlink r:id="rId40">
        <w:r>
          <w:rPr>
            <w:color w:val="1A6381"/>
            <w:u w:val="single"/>
            <w:sz w:val="18"/>
          </w:rPr>
          <w:t>[R024]</w:t>
        </w:r>
      </w:hyperlink>
      <w:r>
        <w:t xml:space="preserve"> · </w:t>
      </w:r>
      <w:hyperlink r:id="rId13">
        <w:r>
          <w:rPr>
            <w:color w:val="1A6381"/>
            <w:u w:val="single"/>
            <w:sz w:val="18"/>
          </w:rPr>
          <w:t>[R043]</w:t>
        </w:r>
      </w:hyperlink>
    </w:p>
    <w:p>
      <w:r/>
      <w:r>
        <w:rPr>
          <w:b/>
        </w:rPr>
        <w:t>Одна страница может скрывать разные слои.</w:t>
      </w:r>
      <w:r>
        <w:t xml:space="preserve"> Скан печати, современное описание, OCR, реконструкция, английское введение и программный код не наследуют лицензию друг друга автоматически. Поэтому отдельные положительные теги в сочетании с RIGHTS_REVIEW_REQUIRED применяются только к явно указанным компонентам и действиям; этот флаг не является декоративной оговоркой.</w:t>
      </w:r>
    </w:p>
    <w:p>
      <w:pPr>
        <w:pStyle w:val="Heading1"/>
      </w:pPr>
      <w:r>
        <w:t>6. Пробелы и дальнейший поиск</w:t>
      </w:r>
    </w:p>
    <w:p>
      <w:r>
        <w:t>Открытым остался не вопрос существования большинства текстов, а точный маршрут к нужному слою: полный PDF, конкретная редакция, действующая выдача, мастер-изображения или применимая лицензия. Ошибки 403, Anubis, JavaScript-оболочки и тайм-ауты зафиксированы как ограничения проверки. Они не превращены в утверждение, что объект не оцифрован.</w:t>
      </w:r>
    </w:p>
    <w:p>
      <w:pPr>
        <w:pStyle w:val="Heading2"/>
      </w:pPr>
      <w:r>
        <w:t>6.1. Логика и малые произведения Абеляра — G001, G011–G013</w:t>
      </w:r>
    </w:p>
    <w:p>
      <w:r>
        <w:t>Сверить источник латинского Sic et Non на Wikisource; отдельно пройти Introductiones parvulorum и ранние глоссы, не выдавая главы старого сборника за самостоятельные цифровые объекты. Для Collationes/Dialogus, Expositio in Epistolam ad Romanos, Soliloquium и полного эпистолярного корпуса нужны предметные издательские/библиотечные входы. Это прямые члены корпуса, а не исключённые «соседи»; поисковый проход по ним не завершён.</w:t>
      </w:r>
    </w:p>
    <w:p>
      <w:pPr>
        <w:pStyle w:val="Heading2"/>
      </w:pPr>
      <w:r>
        <w:t>6.2. Рукописи Шартра и Орлеана — G002, G003, G018</w:t>
      </w:r>
    </w:p>
    <w:p>
      <w:r>
        <w:t>Для Orléans MS 0266 / ancien 222 проверить Aurelia и ARCA; для Chartres 497/498 — исходные IIIF-manifests и фактический набор сохранившихся изображений. Для Lewis E45 и LJS384 сопоставить OPenn-мастера с уже доступным разворотом или IA-файлом Penn. Установить полноту, разрешение, условия изображений; не переносить общий статус OPenn без item-level проверки.</w:t>
      </w:r>
    </w:p>
    <w:p>
      <w:pPr>
        <w:pStyle w:val="Heading2"/>
      </w:pPr>
      <w:r>
        <w:t>6.3. Слои Glossa и ланские линии — G004, G005, G016</w:t>
      </w:r>
    </w:p>
    <w:p>
      <w:r>
        <w:t>Открыть предметные книги Gloss-e, проверить XML/TEI и отделить Glossa ordinaria от Glossa media Гильберта и Magna glossatura Ломбарда. Найти полный законный маршрут к Andrée, Glossa in Lamentationes: Prothemata et Liber I, и текстам Ральфа Ланского. Уже доступная печатная Glossa XVI века не закрывает автоматически эти самостоятельные редакционные линии.</w:t>
      </w:r>
    </w:p>
    <w:p>
      <w:pPr>
        <w:pStyle w:val="Heading2"/>
      </w:pPr>
      <w:r>
        <w:t>6.4. Конкурентные школьные корпуса — G008–G010</w:t>
      </w:r>
    </w:p>
    <w:p>
      <w:r>
        <w:t>Для Compendium logicae Porretanum нужен сам критический текст CIMAGL 46, а не только статья Martin и библиотечная карточка. Далее — Вильгельм из Шампо, Sententiae/Liber Pancrisis, Ars Meliduna, Introductiones Parisienses и оставшиеся части Logica modernorum. Установить состав сборников и атрибуции; не превращать сведения оппонентов в автографические произведения магистров.</w:t>
      </w:r>
    </w:p>
    <w:p>
      <w:pPr>
        <w:pStyle w:val="Heading2"/>
      </w:pPr>
      <w:r>
        <w:t>6.5. Богословский корпус Тьерри — G014</w:t>
      </w:r>
    </w:p>
    <w:p>
      <w:r>
        <w:t>При финальной сверке найдено издание Häring 1971 и проверена ограниченная копия: предметная идентификация теперь закрыта записями R077–R078. Не закрыт полный доступ. Требуется библиотечный экземпляр, действующая цифровая услуга или переиздание; индивидуальная атрибуция Commentum, Librum hunc и Glosa должна проверяться отдельно.</w:t>
      </w:r>
      <w:r>
        <w:t xml:space="preserve">  </w:t>
      </w:r>
      <w:hyperlink r:id="rId50">
        <w:r>
          <w:rPr>
            <w:color w:val="1A6381"/>
            <w:u w:val="single"/>
            <w:sz w:val="18"/>
          </w:rPr>
          <w:t>[R077]</w:t>
        </w:r>
      </w:hyperlink>
      <w:r>
        <w:t xml:space="preserve"> · </w:t>
      </w:r>
      <w:hyperlink r:id="rId51">
        <w:r>
          <w:rPr>
            <w:color w:val="1A6381"/>
            <w:u w:val="single"/>
            <w:sz w:val="18"/>
          </w:rPr>
          <w:t>[R078]</w:t>
        </w:r>
      </w:hyperlink>
    </w:p>
    <w:p>
      <w:pPr>
        <w:pStyle w:val="Heading2"/>
      </w:pPr>
      <w:r>
        <w:t>6.6. Дополнительные версии Иоанна — G007, G017</w:t>
      </w:r>
    </w:p>
    <w:p>
      <w:r>
        <w:t>Проверить полный латинский Metalogicon по Webb 1929 и современные французские версии по официальным издательствам. Для русских фрагментов ИФ РАН установить переводчика, страницы и объём: они не должны фигурировать как полный русский Metalogicon. Английские Hall и McGarry, ранняя латинская печать и среднефранцузский Policratique — уже отдельные, не взаимозаменяемые маршруты.</w:t>
      </w:r>
    </w:p>
    <w:p>
      <w:pPr>
        <w:pStyle w:val="Heading2"/>
      </w:pPr>
      <w:r>
        <w:t>6.7. Боэцианский и школьный входящий фонд — G006, G015</w:t>
      </w:r>
    </w:p>
    <w:p>
      <w:r>
        <w:t>Проверить возможный Cornell Open для Stump: отметка в поисковой выдаче не подтвердилась открытым полным файлом. В Heptateuchon выделить самостоятельные учебники Присциана, Доната, риторические и боэцианские компоненты; продолжить поиск конкретных ранних комментариев, а не включать весь каролингский или античный канон по общему сходству. Полное покрытие этих входящих слоёв в данном пакете не заявлено.</w:t>
      </w:r>
    </w:p>
    <w:p>
      <w:pPr>
        <w:pStyle w:val="Heading2"/>
      </w:pPr>
      <w:r>
        <w:t>6.8. Проверка прав перед публичной загрузкой</w:t>
      </w:r>
    </w:p>
    <w:p>
      <w:r>
        <w:t>Для объектов с rights_unknown получить применимые условия у исходного учреждения либо разрешение на нужное действие. Отдельно проверить цифровые фотографии, современный OCR, редакторский аппарат и публикацию производных. Регистрация, запросы разрешений и фактическое размещение от имени ToS в этом исследовании не выполнялись. G001 остаётся явно неподтверждённым цифровым кандидатом; остальные gaps преимущественно фиксируют известные произведения с непроверенным доступом или составом.</w:t>
      </w:r>
    </w:p>
    <w:p>
      <w:pPr>
        <w:pStyle w:val="Heading1"/>
      </w:pPr>
      <w:r>
        <w:t>7. Итоговая оценка</w:t>
      </w:r>
    </w:p>
    <w:p>
      <w:r/>
      <w:r>
        <w:rPr>
          <w:b/>
        </w:rPr>
        <w:t>Ядро покрыто предметными маршрутами, но не исчерпано.</w:t>
      </w:r>
      <w:r>
        <w:t xml:space="preserve"> Есть старые латинские тексты, конкретные свидетели, новые критические издания и переводы. Наиболее подробно раскрыты Абеляр, Metalogicon, печатная Glossa, шартрские комментарии и логический учебный канон. Слабее покрыты малые анонимные школьные тексты, отдельные ланские редакции, все внутренние компоненты Heptateuchon и полный набор версий ряда авторов.</w:t>
      </w:r>
    </w:p>
    <w:p>
      <w:r>
        <w:t>Оригиналы доступны неравномерно: свободные старые издания и факсимиле часто соседствуют с защищённым лучшим критическим текстом. Английские переводы представлены существенно шире русских. Самый свободный проверенный слой — четыре институционально помеченных PDM-объекта; отдельно полезен один CC BY-NC-ND-файл и два PG-текста со статусом в США. Открытый проверенный TEI/bulk-корпус всего ядра не установлен.</w:t>
      </w:r>
    </w:p>
    <w:p>
      <w:r/>
      <w:r>
        <w:rPr>
          <w:b/>
        </w:rPr>
        <w:t>Пакет пригоден для передачи Codex как исследовательский реестр:</w:t>
      </w:r>
      <w:r>
        <w:t xml:space="preserve"> 78 маршрутов, 32 поля, 18 адресных пробелов и раздельные оценки доступа и прав. Это не готовый список на автоматическое зеркалирование. Следующий технический этап может нормализовать библиографию и сопоставить свидетели, но должен сохранять coverage, rights_scope, источник разрешения и блокирующие условия каждой записи.</w:t>
      </w:r>
    </w:p>
    <w:p>
      <w:pPr>
        <w:pStyle w:val="Small"/>
      </w:pPr>
      <w:r>
        <w:t>Исходный ToS Deep Research и мастер-строка не изменены. Реестр и отчёт представляют результаты одного исследования по состоянию на 04.09.2026.</w:t>
      </w:r>
    </w:p>
    <w:sectPr w:rsidR="00FC693F" w:rsidRPr="0006063C" w:rsidSect="00034616">
      <w:headerReference w:type="default" r:id="rId9"/>
      <w:footerReference w:type="default" r:id="rId10"/>
      <w:pgSz w:w="11906" w:h="16838"/>
      <w:pgMar w:top="1020" w:right="1020" w:bottom="1020" w:left="1134"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F8D"/>
        <w:sz w:val="18"/>
      </w:rPr>
      <w:t xml:space="preserve">Corpus &amp; Rights Registry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F8D"/>
        <w:sz w:val="18"/>
      </w:rPr>
      <w:t>TREE OF SOPHIA  /  T2-22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Calibri" w:hAnsi="Calibri"/>
      <w:sz w:val="22"/>
      <w:rFonts w:ascii="Calibri" w:hAnsi="Calibri" w:eastAsia="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D4F"/>
      <w:sz w:val="34"/>
      <w:szCs w:val="28"/>
      <w:rFonts w:ascii="Calibri" w:hAnsi="Calibri" w:eastAsia="Calibri" w:cs="Calibri"/>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73D4F"/>
      <w:sz w:val="25"/>
      <w:szCs w:val="26"/>
      <w:rFonts w:ascii="Calibri" w:hAnsi="Calibri" w:eastAsia="Calibri" w:cs="Calibri"/>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rFonts w:ascii="Calibri" w:hAnsi="Calibri" w:eastAsia="Calibri" w:cs="Calibri"/>
      <w:color w:val="173D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173D4F"/>
      <w:spacing w:val="5"/>
      <w:kern w:val="28"/>
      <w:sz w:val="52"/>
      <w:szCs w:val="52"/>
      <w:rFonts w:ascii="Calibri" w:hAnsi="Calibri" w:eastAsia="Calibri" w:cs="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35576B"/>
      <w:spacing w:val="15"/>
      <w:sz w:val="28"/>
      <w:szCs w:val="24"/>
      <w:rFonts w:ascii="Calibri" w:hAnsi="Calibri" w:eastAsia="Calibri" w:cs="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00" w:line="240" w:lineRule="auto"/>
    </w:pPr>
    <w:rPr>
      <w:rFonts w:ascii="Calibri" w:hAnsi="Calibri"/>
      <w:color w:val="526878"/>
      <w:sz w:val="18"/>
    </w:rPr>
  </w:style>
  <w:style w:type="paragraph" w:customStyle="1" w:styleId="Small">
    <w:name w:val="Small"/>
    <w:pPr>
      <w:spacing w:after="100" w:line="240" w:lineRule="auto"/>
    </w:pPr>
    <w:rPr>
      <w:rFonts w:ascii="Calibri" w:hAnsi="Calibri"/>
      <w:color w:val="5268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rara.ch/bau_1/content/titleinfo/5083763" TargetMode="External"/><Relationship Id="rId12" Type="http://schemas.openxmlformats.org/officeDocument/2006/relationships/hyperlink" Target="https://www.e-rara.ch/zuz/content/titleinfo/17320305" TargetMode="External"/><Relationship Id="rId13" Type="http://schemas.openxmlformats.org/officeDocument/2006/relationships/hyperlink" Target="https://archive.org/details/ljs384" TargetMode="External"/><Relationship Id="rId14" Type="http://schemas.openxmlformats.org/officeDocument/2006/relationships/hyperlink" Target="https://www.brepols.net/products/IS-9782503050690-1" TargetMode="External"/><Relationship Id="rId15" Type="http://schemas.openxmlformats.org/officeDocument/2006/relationships/hyperlink" Target="https://www.e-rara.ch/zuz/content/titleinfo/7694478" TargetMode="External"/><Relationship Id="rId16" Type="http://schemas.openxmlformats.org/officeDocument/2006/relationships/hyperlink" Target="https://archive.org/details/philosophischesc02abeluoft" TargetMode="External"/><Relationship Id="rId17" Type="http://schemas.openxmlformats.org/officeDocument/2006/relationships/hyperlink" Target="https://www.brepols.net/products/IS-9782503601632-1" TargetMode="External"/><Relationship Id="rId18" Type="http://schemas.openxmlformats.org/officeDocument/2006/relationships/hyperlink" Target="https://www.vrin.fr/livre/9782711611669/traite-des-intellections" TargetMode="External"/><Relationship Id="rId19" Type="http://schemas.openxmlformats.org/officeDocument/2006/relationships/hyperlink" Target="https://www.brepols.net/products/IS-9782503031217-1" TargetMode="External"/><Relationship Id="rId20" Type="http://schemas.openxmlformats.org/officeDocument/2006/relationships/hyperlink" Target="https://www.brepols.net/products/IS-9782503031514-1" TargetMode="External"/><Relationship Id="rId21" Type="http://schemas.openxmlformats.org/officeDocument/2006/relationships/hyperlink" Target="https://www.brepols.net/products/IS-9782503031415-1" TargetMode="External"/><Relationship Id="rId22" Type="http://schemas.openxmlformats.org/officeDocument/2006/relationships/hyperlink" Target="https://archive.org/details/dialecticafirstc0000abel" TargetMode="External"/><Relationship Id="rId23" Type="http://schemas.openxmlformats.org/officeDocument/2006/relationships/hyperlink" Target="https://archive.org/details/sicetnoncritical0000abel" TargetMode="External"/><Relationship Id="rId24" Type="http://schemas.openxmlformats.org/officeDocument/2006/relationships/hyperlink" Target="https://archive.org/details/peterabaelardsph00abel" TargetMode="External"/><Relationship Id="rId25" Type="http://schemas.openxmlformats.org/officeDocument/2006/relationships/hyperlink" Target="https://www.brepols.net/products/IS-9782503554686-1" TargetMode="External"/><Relationship Id="rId26" Type="http://schemas.openxmlformats.org/officeDocument/2006/relationships/hyperlink" Target="https://www.brepols.net/products/IS-9782503031316-1" TargetMode="External"/><Relationship Id="rId27" Type="http://schemas.openxmlformats.org/officeDocument/2006/relationships/hyperlink" Target="https://www.brepols.net/products/IS-9782503039817-1" TargetMode="External"/><Relationship Id="rId28" Type="http://schemas.openxmlformats.org/officeDocument/2006/relationships/hyperlink" Target="https://www.brepols.net/products/IS-9782503533988-1" TargetMode="External"/><Relationship Id="rId29" Type="http://schemas.openxmlformats.org/officeDocument/2006/relationships/hyperlink" Target="https://www.gutenberg.org/ebooks/14268" TargetMode="External"/><Relationship Id="rId30" Type="http://schemas.openxmlformats.org/officeDocument/2006/relationships/hyperlink" Target="https://iphras.ru/uplfile/root/biblio/2011/abelar_neretina.pdf" TargetMode="External"/><Relationship Id="rId31" Type="http://schemas.openxmlformats.org/officeDocument/2006/relationships/hyperlink" Target="https://archive.org/details/ioannissaresberi01johnuoft" TargetMode="External"/><Relationship Id="rId32" Type="http://schemas.openxmlformats.org/officeDocument/2006/relationships/hyperlink" Target="https://archive.org/details/ioannissaresberi02johnuoft" TargetMode="External"/><Relationship Id="rId33" Type="http://schemas.openxmlformats.org/officeDocument/2006/relationships/hyperlink" Target="https://archive.org/details/ioannissaresberiensispolycra" TargetMode="External"/><Relationship Id="rId34" Type="http://schemas.openxmlformats.org/officeDocument/2006/relationships/hyperlink" Target="https://archive.org/details/bub_gb_KkIwRZGFjpYC" TargetMode="External"/><Relationship Id="rId35" Type="http://schemas.openxmlformats.org/officeDocument/2006/relationships/hyperlink" Target="https://books.google.com/books/about/John_of_Salisbury_Policraticus.html?id=VjIYTHRXa9wC" TargetMode="External"/><Relationship Id="rId36" Type="http://schemas.openxmlformats.org/officeDocument/2006/relationships/hyperlink" Target="https://books.google.com/books/about/Le_Policratique_de_Jean_de_Salisbury_137.html?id=nFZJQ8h2MB0C" TargetMode="External"/><Relationship Id="rId37" Type="http://schemas.openxmlformats.org/officeDocument/2006/relationships/hyperlink" Target="https://iiif.biblissima.fr/collections/manifest/443b6e880fecf77539d639cc5e84c4fdf0f792e8" TargetMode="External"/><Relationship Id="rId38" Type="http://schemas.openxmlformats.org/officeDocument/2006/relationships/hyperlink" Target="https://www.brepols.net/products/IS-9782503047010-1" TargetMode="External"/><Relationship Id="rId39" Type="http://schemas.openxmlformats.org/officeDocument/2006/relationships/hyperlink" Target="https://libwww.freelibrary.org/digital/item/4113" TargetMode="External"/><Relationship Id="rId40" Type="http://schemas.openxmlformats.org/officeDocument/2006/relationships/hyperlink" Target="https://archive.org/details/heptateuchon00unse" TargetMode="External"/><Relationship Id="rId41" Type="http://schemas.openxmlformats.org/officeDocument/2006/relationships/hyperlink" Target="https://catalog.hathitrust.org/Record/102798520" TargetMode="External"/><Relationship Id="rId42" Type="http://schemas.openxmlformats.org/officeDocument/2006/relationships/hyperlink" Target="https://www.brepols.net/products/IS-9782503045214-1" TargetMode="External"/><Relationship Id="rId43" Type="http://schemas.openxmlformats.org/officeDocument/2006/relationships/hyperlink" Target="https://www.brepols.net/products/IS-9782503045818-1" TargetMode="External"/><Relationship Id="rId44" Type="http://schemas.openxmlformats.org/officeDocument/2006/relationships/hyperlink" Target="https://www.brepols.net/products/IS-9782503050393-1" TargetMode="External"/><Relationship Id="rId45" Type="http://schemas.openxmlformats.org/officeDocument/2006/relationships/hyperlink" Target="https://pims.ca/publication/isbn-978-0-88844-191-1/" TargetMode="External"/><Relationship Id="rId46" Type="http://schemas.openxmlformats.org/officeDocument/2006/relationships/hyperlink" Target="https://pims.ca/publication/isbn-978-0-88844-487-5/" TargetMode="External"/><Relationship Id="rId47" Type="http://schemas.openxmlformats.org/officeDocument/2006/relationships/hyperlink" Target="https://www.cuapress.org/9780813237688/peter-comestors-lectures-on-the-glossed-gospel-of-john/" TargetMode="External"/><Relationship Id="rId48" Type="http://schemas.openxmlformats.org/officeDocument/2006/relationships/hyperlink" Target="https://archive.org/details/anselmsvonlaonsy01anse" TargetMode="External"/><Relationship Id="rId49" Type="http://schemas.openxmlformats.org/officeDocument/2006/relationships/hyperlink" Target="https://pims.ca/publication/isbn-978-0-88844-107-2/" TargetMode="External"/><Relationship Id="rId50" Type="http://schemas.openxmlformats.org/officeDocument/2006/relationships/hyperlink" Target="https://www.brepols.net/products/IS-9780888440204-1" TargetMode="External"/><Relationship Id="rId51" Type="http://schemas.openxmlformats.org/officeDocument/2006/relationships/hyperlink" Target="https://archive.org/details/commentariesonbo0000thie" TargetMode="External"/><Relationship Id="rId52" Type="http://schemas.openxmlformats.org/officeDocument/2006/relationships/hyperlink" Target="https://archive.org/details/logicamodernorum0001rijk" TargetMode="External"/><Relationship Id="rId53" Type="http://schemas.openxmlformats.org/officeDocument/2006/relationships/hyperlink" Target="https://cimagl.saxo.ku.dk/download/92/92hansen570-627.pdf" TargetMode="External"/><Relationship Id="rId54" Type="http://schemas.openxmlformats.org/officeDocument/2006/relationships/hyperlink" Target="https://cimagl.saxo.ku.dk/download/93/93hansen268-331.pdf" TargetMode="External"/><Relationship Id="rId55" Type="http://schemas.openxmlformats.org/officeDocument/2006/relationships/hyperlink" Target="https://books.google.com/books/about/Twelfth_Century_Logic.html?id=bjdPnQAACAAJ" TargetMode="External"/><Relationship Id="rId56" Type="http://schemas.openxmlformats.org/officeDocument/2006/relationships/hyperlink" Target="https://cris.maastrichtuniversity.nl/en/publications/anonymi-introductiones-montane-maiores/" TargetMode="External"/><Relationship Id="rId57" Type="http://schemas.openxmlformats.org/officeDocument/2006/relationships/hyperlink" Target="https://bibliotek.dk/materiale/titel_skaber/work-of%3A870970-basis%3A06033482" TargetMode="External"/><Relationship Id="rId58" Type="http://schemas.openxmlformats.org/officeDocument/2006/relationships/hyperlink" Target="https://www.brepols.net/products/IS-9789004033139-1" TargetMode="External"/><Relationship Id="rId59" Type="http://schemas.openxmlformats.org/officeDocument/2006/relationships/hyperlink" Target="https://www.brepols.net/products/ON-M1-F1-02CL0068-1" TargetMode="External"/><Relationship Id="rId60" Type="http://schemas.openxmlformats.org/officeDocument/2006/relationships/hyperlink" Target="https://www.brepols.net/products/IS-9789004033146-1" TargetMode="External"/><Relationship Id="rId61" Type="http://schemas.openxmlformats.org/officeDocument/2006/relationships/hyperlink" Target="https://archive.org/details/commentariesonbo0000niko" TargetMode="External"/><Relationship Id="rId62" Type="http://schemas.openxmlformats.org/officeDocument/2006/relationships/hyperlink" Target="https://www.gutenberg.org/ebooks/13316" TargetMode="External"/><Relationship Id="rId63" Type="http://schemas.openxmlformats.org/officeDocument/2006/relationships/hyperlink" Target="https://www.jstor.org/stable/10.7591/j.ctvrf8cwj" TargetMode="External"/><Relationship Id="rId64" Type="http://schemas.openxmlformats.org/officeDocument/2006/relationships/hyperlink" Target="https://books.google.fr/books?id=teKcDQAAQBAJ" TargetMode="External"/><Relationship Id="rId65" Type="http://schemas.openxmlformats.org/officeDocument/2006/relationships/hyperlink" Target="https://www.americancusanussociety.org/s/DeGrammatico.pdf" TargetMode="External"/><Relationship Id="rId66" Type="http://schemas.openxmlformats.org/officeDocument/2006/relationships/hyperlink" Target="https://www.americancusanussociety.org/s/LettersreRoscelin.pdf" TargetMode="External"/><Relationship Id="rId67" Type="http://schemas.openxmlformats.org/officeDocument/2006/relationships/hyperlink" Target="https://pims.ca/publication/isbn-978-0-88844-292-5/" TargetMode="External"/><Relationship Id="rId68" Type="http://schemas.openxmlformats.org/officeDocument/2006/relationships/hyperlink" Target="https://pims.ca/publication/isbn-978-0-88844-293-2/" TargetMode="External"/><Relationship Id="rId69" Type="http://schemas.openxmlformats.org/officeDocument/2006/relationships/hyperlink" Target="https://pims.ca/publication/isbn-978-0-88844-295-6/" TargetMode="External"/><Relationship Id="rId70" Type="http://schemas.openxmlformats.org/officeDocument/2006/relationships/hyperlink" Target="https://pims.ca/publication/isbn-978-0-88844-296-3/" TargetMode="External"/><Relationship Id="rId71" Type="http://schemas.openxmlformats.org/officeDocument/2006/relationships/hyperlink" Target="https://www.upress.umn.edu/9780816658053/william-of-sherwoods-treatise-on-syncategorematic-words/" TargetMode="External"/><Relationship Id="rId72" Type="http://schemas.openxmlformats.org/officeDocument/2006/relationships/hyperlink" Target="https://loyola.biblioteca.deusto.es/items/11818ee3-6c1d-492b-90e2-96056cbc4814" TargetMode="External"/><Relationship Id="rId73" Type="http://schemas.openxmlformats.org/officeDocument/2006/relationships/hyperlink" Target="https://archive.org/details/ouvragesinditsda00abel" TargetMode="External"/><Relationship Id="rId74" Type="http://schemas.openxmlformats.org/officeDocument/2006/relationships/hyperlink" Target="https://mlat.uzh.ch/" TargetMode="External"/><Relationship Id="rId75" Type="http://schemas.openxmlformats.org/officeDocument/2006/relationships/hyperlink" Target="https://sourcebooks.web.fordham.edu/source/Abelard-SicetNon-Prologue.asp" TargetMode="External"/><Relationship Id="rId76" Type="http://schemas.openxmlformats.org/officeDocument/2006/relationships/hyperlink" Target="https://www.abaelard.de/050503sicnond.htm" TargetMode="External"/><Relationship Id="rId77" Type="http://schemas.openxmlformats.org/officeDocument/2006/relationships/hyperlink" Target="https://www.digitale-sammlungen.de/en/view/bsb10742381" TargetMode="External"/><Relationship Id="rId78" Type="http://schemas.openxmlformats.org/officeDocument/2006/relationships/hyperlink" Target="https://catalog.hathitrust.org/Record/001381658" TargetMode="External"/><Relationship Id="rId79" Type="http://schemas.openxmlformats.org/officeDocument/2006/relationships/hyperlink" Target="https://glossaordinaria.net/" TargetMode="External"/><Relationship Id="rId80" Type="http://schemas.openxmlformats.org/officeDocument/2006/relationships/hyperlink" Target="https://ccfr.bnf.fr/portailccfr/ark:/16871/004D18011997" TargetMode="External"/><Relationship Id="rId81" Type="http://schemas.openxmlformats.org/officeDocument/2006/relationships/hyperlink" Target="https://www.brepols.net/products/IS-9789004112155-1" TargetMode="External"/><Relationship Id="rId82" Type="http://schemas.openxmlformats.org/officeDocument/2006/relationships/hyperlink" Target="https://www.brepols.net/products/IS-9789004033177-1" TargetMode="External"/><Relationship Id="rId83" Type="http://schemas.openxmlformats.org/officeDocument/2006/relationships/hyperlink" Target="https://www.brepols.net/products/ON-M1-F1-02CL0050-1" TargetMode="External"/><Relationship Id="rId84" Type="http://schemas.openxmlformats.org/officeDocument/2006/relationships/hyperlink" Target="https://www.brepols.net/products/ON-M1-F1-02CL0051-1" TargetMode="External"/><Relationship Id="rId85" Type="http://schemas.openxmlformats.org/officeDocument/2006/relationships/hyperlink" Target="https://about.brepolis.net/aristoteles-latinus-database-ald-2/" TargetMode="External"/><Relationship Id="rId86" Type="http://schemas.openxmlformats.org/officeDocument/2006/relationships/hyperlink" Target="https://www.brepols.net/products/IS-9782503534602-1" TargetMode="External"/><Relationship Id="rId87" Type="http://schemas.openxmlformats.org/officeDocument/2006/relationships/hyperlink" Target="https://creativecommons.org/publicdomain/mark/1.0/" TargetMode="External"/><Relationship Id="rId88" Type="http://schemas.openxmlformats.org/officeDocument/2006/relationships/hyperlink" Target="https://creativecommons.org/licenses/by-nc-nd/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T2-22</dc:title>
  <dc:subject>Школы XII века и логическое оживление: первичные корпуса, законный доступ, права</dc:subject>
  <dc:creator>Tree of Sophia</dc:creator>
  <cp:keywords>T2-22; Abelard; Metalogicon; Glossa ordinaria; Heptateuchon; corpus; rights</cp:keywords>
  <dc:description>generated by python-docx</dc:description>
  <cp:lastModifiedBy/>
  <cp:revision>1</cp:revision>
  <dcterms:created xsi:type="dcterms:W3CDTF">2013-12-23T23:15:00Z</dcterms:created>
  <dcterms:modified xsi:type="dcterms:W3CDTF">2013-12-23T23:15:00Z</dcterms:modified>
  <cp:category/>
</cp:coreProperties>
</file>